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A0DB2" w14:textId="77B1E476" w:rsidR="006A3DDA" w:rsidRDefault="006A3DDA" w:rsidP="006A3DDA">
      <w:pPr>
        <w:pStyle w:val="MStitle"/>
        <w:spacing w:line="480" w:lineRule="auto"/>
        <w:rPr>
          <w:shd w:val="clear" w:color="auto" w:fill="FFFFFF"/>
          <w:lang w:eastAsia="zh-CN"/>
        </w:rPr>
      </w:pPr>
      <w:r>
        <w:rPr>
          <w:shd w:val="clear" w:color="auto" w:fill="FFFFFF"/>
          <w:lang w:eastAsia="zh-CN"/>
        </w:rPr>
        <w:t xml:space="preserve">“Matthew Effect” </w:t>
      </w:r>
      <w:r w:rsidRPr="002D77AB">
        <w:rPr>
          <w:rFonts w:hint="eastAsia"/>
          <w:shd w:val="clear" w:color="auto" w:fill="FFFFFF"/>
          <w:lang w:eastAsia="zh-CN"/>
        </w:rPr>
        <w:t>in</w:t>
      </w:r>
      <w:r>
        <w:rPr>
          <w:shd w:val="clear" w:color="auto" w:fill="FFFFFF"/>
          <w:lang w:eastAsia="zh-CN"/>
        </w:rPr>
        <w:t xml:space="preserve"> Global Major</w:t>
      </w:r>
      <w:r w:rsidRPr="00E53AD8">
        <w:rPr>
          <w:shd w:val="clear" w:color="auto" w:fill="FFFFFF"/>
          <w:lang w:eastAsia="zh-CN"/>
        </w:rPr>
        <w:t xml:space="preserve"> </w:t>
      </w:r>
      <w:r>
        <w:rPr>
          <w:shd w:val="clear" w:color="auto" w:fill="FFFFFF"/>
          <w:lang w:eastAsia="zh-CN"/>
        </w:rPr>
        <w:t>C</w:t>
      </w:r>
      <w:r w:rsidRPr="00E53AD8">
        <w:rPr>
          <w:shd w:val="clear" w:color="auto" w:fill="FFFFFF"/>
          <w:lang w:eastAsia="zh-CN"/>
        </w:rPr>
        <w:t xml:space="preserve">ities </w:t>
      </w:r>
      <w:r w:rsidRPr="00443292">
        <w:rPr>
          <w:shd w:val="clear" w:color="auto" w:fill="FFFFFF"/>
          <w:lang w:eastAsia="zh-CN"/>
        </w:rPr>
        <w:t>Over Decade</w:t>
      </w:r>
      <w:r w:rsidRPr="00632EEC">
        <w:rPr>
          <w:rFonts w:asciiTheme="majorHAnsi" w:hAnsiTheme="majorHAnsi" w:cstheme="majorHAnsi"/>
          <w:shd w:val="clear" w:color="auto" w:fill="FFFFFF"/>
          <w:lang w:eastAsia="zh-CN"/>
        </w:rPr>
        <w:t>s</w:t>
      </w:r>
      <w:r w:rsidR="00632EEC" w:rsidRPr="00632EEC">
        <w:rPr>
          <w:rFonts w:asciiTheme="majorHAnsi" w:eastAsiaTheme="minorEastAsia" w:hAnsiTheme="majorHAnsi" w:cstheme="majorHAnsi"/>
          <w:shd w:val="clear" w:color="auto" w:fill="FFFFFF"/>
          <w:lang w:eastAsia="zh-CN"/>
        </w:rPr>
        <w:t>:</w:t>
      </w:r>
      <w:r w:rsidRPr="00632EEC">
        <w:rPr>
          <w:rFonts w:asciiTheme="majorHAnsi" w:eastAsiaTheme="minorEastAsia" w:hAnsiTheme="majorHAnsi" w:cstheme="majorHAnsi"/>
          <w:shd w:val="clear" w:color="auto" w:fill="FFFFFF"/>
          <w:lang w:eastAsia="zh-CN"/>
        </w:rPr>
        <w:t xml:space="preserve"> </w:t>
      </w:r>
      <w:r w:rsidRPr="00D1454C">
        <w:rPr>
          <w:shd w:val="clear" w:color="auto" w:fill="FFFFFF"/>
          <w:lang w:eastAsia="zh-CN"/>
        </w:rPr>
        <w:t>In the context of the spatiotemporal</w:t>
      </w:r>
      <w:r>
        <w:rPr>
          <w:shd w:val="clear" w:color="auto" w:fill="FFFFFF"/>
          <w:lang w:eastAsia="zh-CN"/>
        </w:rPr>
        <w:t xml:space="preserve"> </w:t>
      </w:r>
      <w:r w:rsidRPr="00D1454C">
        <w:rPr>
          <w:rFonts w:hint="eastAsia"/>
          <w:shd w:val="clear" w:color="auto" w:fill="FFFFFF"/>
          <w:lang w:eastAsia="zh-CN"/>
        </w:rPr>
        <w:t>3</w:t>
      </w:r>
      <w:r>
        <w:rPr>
          <w:shd w:val="clear" w:color="auto" w:fill="FFFFFF"/>
          <w:lang w:eastAsia="zh-CN"/>
        </w:rPr>
        <w:t xml:space="preserve">D </w:t>
      </w:r>
      <w:r w:rsidRPr="00D1454C">
        <w:rPr>
          <w:rFonts w:hint="eastAsia"/>
          <w:shd w:val="clear" w:color="auto" w:fill="FFFFFF"/>
          <w:lang w:eastAsia="zh-CN"/>
        </w:rPr>
        <w:t>urban</w:t>
      </w:r>
      <w:r>
        <w:rPr>
          <w:shd w:val="clear" w:color="auto" w:fill="FFFFFF"/>
          <w:lang w:eastAsia="zh-CN"/>
        </w:rPr>
        <w:t xml:space="preserve"> </w:t>
      </w:r>
      <w:r w:rsidRPr="00D1454C">
        <w:rPr>
          <w:rFonts w:hint="eastAsia"/>
          <w:shd w:val="clear" w:color="auto" w:fill="FFFFFF"/>
          <w:lang w:eastAsia="zh-CN"/>
        </w:rPr>
        <w:t>expansion</w:t>
      </w:r>
    </w:p>
    <w:p w14:paraId="409114B8" w14:textId="5C9B1FB0" w:rsidR="00685ADE" w:rsidRDefault="006A3DDA" w:rsidP="003F3839">
      <w:pPr>
        <w:pStyle w:val="2"/>
        <w:jc w:val="center"/>
        <w:rPr>
          <w:lang w:eastAsia="zh-CN"/>
        </w:rPr>
      </w:pPr>
      <w:r>
        <w:rPr>
          <w:rFonts w:hint="eastAsia"/>
          <w:lang w:eastAsia="zh-CN"/>
        </w:rPr>
        <w:t>Supplementary</w:t>
      </w:r>
      <w:r>
        <w:rPr>
          <w:lang w:eastAsia="zh-CN"/>
        </w:rPr>
        <w:t xml:space="preserve"> </w:t>
      </w:r>
      <w:r>
        <w:rPr>
          <w:rFonts w:hint="eastAsia"/>
          <w:lang w:eastAsia="zh-CN"/>
        </w:rPr>
        <w:t>Information</w:t>
      </w:r>
    </w:p>
    <w:p w14:paraId="15B1C29E" w14:textId="77777777" w:rsidR="00685ADE" w:rsidRDefault="00685ADE" w:rsidP="001A2B73">
      <w:pPr>
        <w:pStyle w:val="1"/>
        <w:rPr>
          <w:lang w:eastAsia="zh-CN"/>
        </w:rPr>
      </w:pPr>
      <w:r>
        <w:rPr>
          <w:lang w:eastAsia="zh-CN"/>
        </w:rPr>
        <w:t>D</w:t>
      </w:r>
      <w:r w:rsidRPr="00713EA8">
        <w:rPr>
          <w:lang w:eastAsia="zh-CN"/>
        </w:rPr>
        <w:t>ata</w:t>
      </w:r>
    </w:p>
    <w:p w14:paraId="5F83D6E7" w14:textId="77777777" w:rsidR="00685ADE" w:rsidRPr="007553EF" w:rsidRDefault="00685ADE" w:rsidP="001A2B73">
      <w:pPr>
        <w:pStyle w:val="2"/>
      </w:pPr>
      <w:r>
        <w:rPr>
          <w:lang w:eastAsia="zh-CN"/>
        </w:rPr>
        <w:t>Sentinel-1</w:t>
      </w:r>
    </w:p>
    <w:p w14:paraId="1B04FE17" w14:textId="645D835D" w:rsidR="00046320" w:rsidRDefault="00046320" w:rsidP="00046320">
      <w:pPr>
        <w:ind w:firstLine="420"/>
        <w:rPr>
          <w:lang w:eastAsia="zh-CN"/>
        </w:rPr>
      </w:pPr>
      <w:r w:rsidRPr="005017E9">
        <w:rPr>
          <w:lang w:eastAsia="zh-CN"/>
        </w:rPr>
        <w:t>Sentinel-1 Ground Range Detected (GRD) scenes, acquired from a dual-polarization C-band Synthetic Aperture Radar (SAR) instrument, were employed for estimating urban building heights. These Sentinel-1 images offer a spatial resolution of 10 meters and a rapid revisit frequency ranging from 6 to 12 days</w:t>
      </w:r>
      <w:r>
        <w:rPr>
          <w:lang w:eastAsia="zh-CN"/>
        </w:rPr>
        <w:fldChar w:fldCharType="begin"/>
      </w:r>
      <w:r>
        <w:rPr>
          <w:lang w:eastAsia="zh-CN"/>
        </w:rPr>
        <w:instrText xml:space="preserve"> ADDIN ZOTERO_ITEM CSL_CITATION {"citationID":"c0S9cG1E","properties":{"formattedCitation":"(Dai et al., 2016)","plainCitation":"(Dai et al., 2016)","noteIndex":0},"citationItems":[{"id":1888,"uris":["http://zotero.org/users/10015936/items/YAXMI6QW"],"itemData":{"id":1888,"type":"article-journal","abstract":"The Daguangbao mega-landslide (China), induced by the 2008 Wenchuan earthquake (Mw=7.9), with an area of approximately 8km2, is one of the largest landslides in the world. Experts predicted that the potential risk and instability of the landslide might remain for many decades, or even longer. Monitoring the activity of such a large landslide is hence critical. Terrain Observation by Progressive Scans (TOPS) mode from the Sentinel-1 satellite provides us with up-to-date high-quality Synthetic Aperture Radar (SAR) images over a wide ground coverage (250×250km), enabling full exploitation of various InSAR applications. However, the TOPS mode introduces azimuth-dependent Doppler variations to radar signals, which requires an additional processing step especially for SAR interferometry. Sentinel-1 TOPS data have been widely applied to earthquakes, but the performance of TOPS data-based time series analysis requires further exploitation. In this study, Sentinel-1 TOPS data were employed to investigate landslide post-seismic activities for the first time. To deal with the azimuth-dependent Doppler variations, a processing chain of TOPS time series interferometry approach was developed. Since the Daguangbao landslide is as a result of the collapse of a whole mountain caused by the 2008 Mw 7.9 Wenchuan earthquake, the existing Digital Elevation Models (DEMs, e.g. SRTM and ASTER) exhibit height differences of up to approximately 500m. Tandem-X images acquired after the earthquake were used to generate a high resolution post-seismic DEM. The high gradient topographic errors of the SRTM DEM (i.e. the differences between the pre-seismic SRTM and the actual post-seismic elevation), together with low coherence in mountainous areas make it difficult to derive a precise DEM using the traditional InSAR processing procedure. A re-flattening iterative method was hence developed to generate a precise TanDEM-X DEM in this study. The volume of the coseismic Daguangbao landslide was estimated to be of 1.189±0.110×109m3 by comparing the postseismic Tandem-X DEM with the preseismic SRTM DEM, which is consistent with the engineering geological survey result. The time-series results from Sentinel-1 show that some sectors of the Daguangbao landslide are still active (and displaying four sliding zones) and exhibiting a maximum displacement rate of 8cm/year, even eight years after the Wenchuan earthquake. The good performance of TOPS in this time series analysis indicates that up-to-date high-quality TOPS data with spatiotemporal baselines offer significant potential in terms of future InSAR applications.","call-number":"1","container-title":"Remote Sensing of Environment","DOI":"10.1016/j.rse.2016.09.009","ISSN":"0034-4257","journalAbbreviation":"Remote Sensing of Environment","language":"en","page":"501-513","source":"13.5 (Q1)","title":"Monitoring activity at the Daguangbao mega-landslide (China) using Sentinel-1 TOPS time series interferometry","volume":"186","author":[{"family":"Dai","given":"Keren"},{"family":"Li","given":"Zhenhong"},{"family":"Tomás","given":"Roberto"},{"family":"Liu","given":"Guoxiang"},{"family":"Yu","given":"Bing"},{"family":"Wang","given":"Xiaowen"},{"family":"Cheng","given":"Haiqin"},{"family":"Chen","given":"Jiajun"},{"family":"Stockamp","given":"Julia"}],"issued":{"date-parts":[["2016",12]]}}}],"schema":"https://github.com/citation-style-language/schema/raw/master/csl-citation.json"} </w:instrText>
      </w:r>
      <w:r>
        <w:rPr>
          <w:lang w:eastAsia="zh-CN"/>
        </w:rPr>
        <w:fldChar w:fldCharType="separate"/>
      </w:r>
      <w:r w:rsidRPr="00632B83">
        <w:t>(Dai et al., 2016)</w:t>
      </w:r>
      <w:r>
        <w:rPr>
          <w:lang w:eastAsia="zh-CN"/>
        </w:rPr>
        <w:fldChar w:fldCharType="end"/>
      </w:r>
      <w:r w:rsidRPr="005017E9">
        <w:rPr>
          <w:lang w:eastAsia="zh-CN"/>
        </w:rPr>
        <w:t>. In this study, the analysis leveraged two polarization bands</w:t>
      </w:r>
      <w:r>
        <w:rPr>
          <w:lang w:eastAsia="zh-CN"/>
        </w:rPr>
        <w:t>,</w:t>
      </w:r>
      <w:r w:rsidRPr="005017E9">
        <w:rPr>
          <w:lang w:eastAsia="zh-CN"/>
        </w:rPr>
        <w:t xml:space="preserve"> VV and VH, a</w:t>
      </w:r>
      <w:r>
        <w:rPr>
          <w:lang w:eastAsia="zh-CN"/>
        </w:rPr>
        <w:t>nd</w:t>
      </w:r>
      <w:r w:rsidRPr="005017E9">
        <w:rPr>
          <w:lang w:eastAsia="zh-CN"/>
        </w:rPr>
        <w:t xml:space="preserve"> the dual-polarization information known as VVH</w:t>
      </w:r>
      <w:r>
        <w:rPr>
          <w:lang w:eastAsia="zh-CN"/>
        </w:rPr>
        <w:t xml:space="preserve"> (Eq. 1) </w:t>
      </w:r>
      <w:r>
        <w:rPr>
          <w:lang w:eastAsia="zh-CN"/>
        </w:rPr>
        <w:fldChar w:fldCharType="begin"/>
      </w:r>
      <w:r w:rsidR="006E101F">
        <w:rPr>
          <w:lang w:eastAsia="zh-CN"/>
        </w:rPr>
        <w:instrText xml:space="preserve"> ADDIN ZOTERO_ITEM CSL_CITATION {"citationID":"IlVxme3g","properties":{"formattedCitation":"(X. Li, Zhou, et al., 2020)","plainCitation":"(X. Li, Zhou, et al., 2020)","noteIndex":0},"citationItems":[{"id":1891,"uris":["http://zotero.org/users/10015936/items/27DKW4RR"],"itemData":{"id":1891,"type":"article-journal","abstract":"Building height is one of the key variables in studying anthropogenic activities and built environments in the urban system. However, the information of urban building height over large areas is still limited due to the lack of available data. In this study, we developed an approach to estimate building height using the Sentinel-1 Ground Range Detected data. First, we proposed an indicator of VVH that integrates the dual-polarization information (i.e., VV and VH) from the Sentinel-1 synthetic aperture radar data. Second, we developed a building height model using the indicator of VVH and the reference building height from airborne light detection and ranging (LiDAR) images in seven cities in the United States (US). Third, we estimated building height of major cities with area larger than 500 km2 in the US using the developed model. The root mean square error between estimated and reference height is 1.5 m in seven study cities in the US. The comparison with the Laser observations from the Ice, Cloud, and land Elevation Satellite data in available footprints also indicates that the estimated building height from Sentinel-1 data is reliable. The estimated building height from Sentinel-1 data shows a better agreement with the reference data compared to the Advanced Land Observing Satellite data in seven US cities. Our results of building height in major US cities indicate that there are more cities with tall buildings in the Northeastern US compared to the Western and Southern US, with more aggregated tall buildings in central business districts of cities. The information of building height from this study is of great value in urban studies, such as estimating energy consumption and carbon emissions in urban areas.","call-number":"1","container-title":"Remote Sensing of Environment","DOI":"10.1016/j.rse.2020.111705","ISSN":"0034-4257","journalAbbreviation":"Remote Sensing of Environment","language":"en","page":"111705","source":"13.5 (Q1)","title":"Developing a method to estimate building height from Sentinel-1 data","volume":"240","author":[{"family":"Li","given":"Xuecao"},{"family":"Zhou","given":"Yuyu"},{"family":"Gong","given":"Peng"},{"family":"Seto","given":"Karen C."},{"family":"Clinton","given":"Nicholas"}],"issued":{"date-parts":[["2020",4]]}}}],"schema":"https://github.com/citation-style-language/schema/raw/master/csl-citation.json"} </w:instrText>
      </w:r>
      <w:r>
        <w:rPr>
          <w:lang w:eastAsia="zh-CN"/>
        </w:rPr>
        <w:fldChar w:fldCharType="separate"/>
      </w:r>
      <w:r w:rsidR="006E101F" w:rsidRPr="006E101F">
        <w:t>(X. Li, Zhou, et al., 2020)</w:t>
      </w:r>
      <w:r>
        <w:rPr>
          <w:lang w:eastAsia="zh-CN"/>
        </w:rPr>
        <w:fldChar w:fldCharType="end"/>
      </w:r>
      <w:r w:rsidRPr="005017E9">
        <w:rPr>
          <w:lang w:eastAsia="zh-CN"/>
        </w:rPr>
        <w:t xml:space="preserve">, to enhance building height estimations. All Sentinel-1 SAR GRD data </w:t>
      </w:r>
      <w:r>
        <w:rPr>
          <w:lang w:eastAsia="zh-CN"/>
        </w:rPr>
        <w:t>are</w:t>
      </w:r>
      <w:r w:rsidRPr="005017E9">
        <w:rPr>
          <w:lang w:eastAsia="zh-CN"/>
        </w:rPr>
        <w:t xml:space="preserve"> accessible via the Google Earth Engine (GEE) platform </w:t>
      </w:r>
      <w:r>
        <w:rPr>
          <w:lang w:eastAsia="zh-CN"/>
        </w:rPr>
        <w:fldChar w:fldCharType="begin"/>
      </w:r>
      <w:r>
        <w:rPr>
          <w:lang w:eastAsia="zh-CN"/>
        </w:rPr>
        <w:instrText xml:space="preserve"> ADDIN ZOTERO_ITEM CSL_CITATION {"citationID":"2ld2twS4","properties":{"formattedCitation":"(Gorelick et al., 2017)","plainCitation":"(Gorelick et al., 2017)","noteIndex":0},"citationItems":[{"id":777,"uris":["http://zotero.org/users/10015936/items/8GTF4TWH"],"itemData":{"id":777,"type":"article-journal","call-number":"1","container-title":"Remote sensing of Environment","note":"publisher: Elsevier","page":"18–27","source":"13.85","title":"Google Earth Engine: Planetary-scale geospatial analysis for everyone","title-short":"Google Earth Engine","volume":"202","author":[{"family":"Gorelick","given":"Noel"},{"family":"Hancher","given":"Matt"},{"family":"Dixon","given":"Mike"},{"family":"Ilyushchenko","given":"Simon"},{"family":"Thau","given":"David"},{"family":"Moore","given":"Rebecca"}],"issued":{"date-parts":[["2017"]]}}}],"schema":"https://github.com/citation-style-language/schema/raw/master/csl-citation.json"} </w:instrText>
      </w:r>
      <w:r>
        <w:rPr>
          <w:lang w:eastAsia="zh-CN"/>
        </w:rPr>
        <w:fldChar w:fldCharType="separate"/>
      </w:r>
      <w:r w:rsidRPr="00632B83">
        <w:t>(Gorelick et al., 2017)</w:t>
      </w:r>
      <w:r>
        <w:rPr>
          <w:lang w:eastAsia="zh-CN"/>
        </w:rPr>
        <w:fldChar w:fldCharType="end"/>
      </w:r>
      <w:r w:rsidRPr="005017E9">
        <w:rPr>
          <w:lang w:eastAsia="zh-CN"/>
        </w:rPr>
        <w:t xml:space="preserve">. </w:t>
      </w:r>
      <w:r>
        <w:rPr>
          <w:rFonts w:hint="eastAsia"/>
          <w:lang w:eastAsia="zh-CN"/>
        </w:rPr>
        <w:t>In</w:t>
      </w:r>
      <w:r>
        <w:rPr>
          <w:lang w:eastAsia="zh-CN"/>
        </w:rPr>
        <w:t xml:space="preserve"> order t</w:t>
      </w:r>
      <w:r w:rsidRPr="005017E9">
        <w:rPr>
          <w:lang w:eastAsia="zh-CN"/>
        </w:rPr>
        <w:t xml:space="preserve">o ensure data quality, all GEE-hosted data underwent processing using the Sentinel-1 Toolbox </w:t>
      </w:r>
      <w:r>
        <w:rPr>
          <w:lang w:eastAsia="zh-CN"/>
        </w:rPr>
        <w:fldChar w:fldCharType="begin"/>
      </w:r>
      <w:r>
        <w:rPr>
          <w:lang w:eastAsia="zh-CN"/>
        </w:rPr>
        <w:instrText xml:space="preserve"> ADDIN ZOTERO_ITEM CSL_CITATION {"citationID":"iSVmwZdY","properties":{"formattedCitation":"(Veci et al., 2014)","plainCitation":"(Veci et al., 2014)","noteIndex":0},"citationItems":[{"id":1895,"uris":["http://zotero.org/users/10015936/items/3MG5NUYK"],"itemData":{"id":1895,"type":"paper-conference","abstract":"The SENTINEL-1 Toolbox is a new open source software for scientific learning, research and exploitation of the large archives of SENTINEL and heritage missions. The Toolbox\nis based on the proven BEAM/NEST architecture inheriting all current NEST functionality including multi-mission support for most civilian satellite SAR missions. The Toolbox will also be compatible with the SENTINEL-2 and SENTINEL-3 Toolboxes incorporating tools for multispectral optical products. The project is funded through ESA's\nScientific Exploitation of Operational Missions (SEOM). SEOM seeks to federate, support and expand the large international research community that the ERS, ENVISAT and the Envelope programmes have built up over the last 20 years. The SENTINEL-1 Toolbox will strive to serve the\nSEOM mandate by providing leading-edge software to the science and application users in support of ESA's operational SAR mission as well as by educating and growing a SAR user community. The Toolbox will also make use of polarimetric tools developed for the CSA through the Earth Observation Application Development Program(EOADP). The SENTINEL-1 Toolbox will evolutionary replace the Next ESA SAR Toolbox (NEST ) currently used by thousands of SAR users in academic and operational environments. The first release of the software will be\nfreely available in mid-2014.","container-title":"Proceedings of the IEEE International Geoscience and Remote Sensing Symposium (IGARSS)","event-place":"Québec, Canada","event-title":"IEEE International Geoscience and Remote Sensing Symposium (IGARSS)","language":"en","page":"1-3","publisher":"IEEE","publisher-place":"Québec, Canada","title":"The Sentinel-1 Toolbox","URL":"http://www.igarss2014.org/","author":[{"family":"Veci","given":"Luis"},{"family":"Prats-Iraola","given":"Pau"},{"family":"Scheiber","given":"Rolf"},{"family":"Collard","given":"Fabrice"},{"family":"Fomferra","given":"Norman"},{"family":"Engdahl","given":"Marcus"}],"accessed":{"date-parts":[["2023",9,20]]},"issued":{"date-parts":[["2014",7,14]]}}}],"schema":"https://github.com/citation-style-language/schema/raw/master/csl-citation.json"} </w:instrText>
      </w:r>
      <w:r>
        <w:rPr>
          <w:lang w:eastAsia="zh-CN"/>
        </w:rPr>
        <w:fldChar w:fldCharType="separate"/>
      </w:r>
      <w:r w:rsidRPr="00632B83">
        <w:t>(Veci et al., 2014)</w:t>
      </w:r>
      <w:r>
        <w:rPr>
          <w:lang w:eastAsia="zh-CN"/>
        </w:rPr>
        <w:fldChar w:fldCharType="end"/>
      </w:r>
      <w:r w:rsidRPr="005017E9">
        <w:rPr>
          <w:lang w:eastAsia="zh-CN"/>
        </w:rPr>
        <w:t xml:space="preserve"> to produce calibrated, ortho-corrected products</w:t>
      </w:r>
      <w:r>
        <w:rPr>
          <w:lang w:eastAsia="zh-CN"/>
        </w:rPr>
        <w:fldChar w:fldCharType="begin"/>
      </w:r>
      <w:r w:rsidR="006E101F">
        <w:rPr>
          <w:lang w:eastAsia="zh-CN"/>
        </w:rPr>
        <w:instrText xml:space="preserve"> ADDIN ZOTERO_ITEM CSL_CITATION {"citationID":"pIZ5M5ad","properties":{"formattedCitation":"(Wu et al., 2023)","plainCitation":"(Wu et al., 2023)","noteIndex":0},"citationItems":[{"id":1239,"uris":["http://zotero.org/users/10015936/items/HTLXHAJD"],"itemData":{"id":1239,"type":"article-journal","abstract":"Building height is a crucial variable in the study of urban environments, regional climates, and human-environment interactions. However, high-resolution data on building height, especially at the national scale, are limited. Fortunately, high spatial-temporal resolution earth observations, harnessed using a cloud-based platform, offer an opportunity to fill this gap. We describe an approach to estimate 2020 building height for China at 10 m spatial resolution based on all-weather earth observations (radar, optical, and night light images) using the Random Forest (RF) model. Results show that our building height simulation has a strong correlation with real observations at the national scale (RMSE of 6.1 m, MAE = 5.2 m, R = 0.77). The Combinational Shadow Index (CSI) is the most important contributor (15.1%) to building height simulation. Analysis of the distribution of building morphology reveals significant differences in building volume and average building height at the city scale across China. Macau has the tallest buildings (22.3 m) among Chinese cities, while Shanghai has the largest building volume (298.4 108 m3). The strong correlation between modelled building volume and socio-economic parameters indicates the potential application of building height products. The building height map developed in this study with a resolution of 10 m is open access, provides insights into the 3D morphological characteristics of cities and serves as an important contribution to future urban studies in China.","call-number":"1","container-title":"Remote Sensing of Environment","DOI":"10.1016/j.rse.2023.113578","ISSN":"0034-4257","journalAbbreviation":"Remote Sensing of Environment","language":"en","page":"113578","source":"13.85","title":"A first Chinese building height estimate at 10 m resolution (CNBH-10 m) using multi-source earth observations and machine learning","volume":"291","author":[{"family":"Wu","given":"Wan-Ben"},{"family":"Ma","given":"Jun"},{"family":"Banzhaf","given":"Ellen"},{"family":"Meadows","given":"Michael E."},{"family":"Yu","given":"Zhao-Wu"},{"family":"Guo","given":"Feng-Xiang"},{"family":"Sengupta","given":"Dhritiraj"},{"family":"Cai","given":"Xing-Xing"},{"family":"Zhao","given":"Bin"}],"issued":{"date-parts":[["2023",6,1]]}}}],"schema":"https://github.com/citation-style-language/schema/raw/master/csl-citation.json"} </w:instrText>
      </w:r>
      <w:r>
        <w:rPr>
          <w:lang w:eastAsia="zh-CN"/>
        </w:rPr>
        <w:fldChar w:fldCharType="separate"/>
      </w:r>
      <w:r w:rsidR="006E101F" w:rsidRPr="006E101F">
        <w:t>(Wu et al., 2023)</w:t>
      </w:r>
      <w:r>
        <w:rPr>
          <w:lang w:eastAsia="zh-CN"/>
        </w:rPr>
        <w:fldChar w:fldCharType="end"/>
      </w:r>
      <w:r w:rsidRPr="005017E9">
        <w:rPr>
          <w:lang w:eastAsia="zh-CN"/>
        </w:rPr>
        <w:t>.</w:t>
      </w:r>
    </w:p>
    <w:p w14:paraId="057EDA8C" w14:textId="77777777" w:rsidR="00685ADE" w:rsidRDefault="00685ADE" w:rsidP="00685ADE">
      <w:pPr>
        <w:rPr>
          <w:lang w:eastAsia="zh-CN"/>
        </w:rPr>
      </w:pPr>
      <m:oMathPara>
        <m:oMath>
          <m:r>
            <w:rPr>
              <w:rFonts w:ascii="Cambria Math" w:hAnsi="Cambria Math"/>
              <w:lang w:eastAsia="zh-CN"/>
            </w:rPr>
            <m:t>VVH=VV×</m:t>
          </m:r>
          <m:sSup>
            <m:sSupPr>
              <m:ctrlPr>
                <w:rPr>
                  <w:rFonts w:ascii="Cambria Math" w:hAnsi="Cambria Math"/>
                  <w:i/>
                  <w:lang w:eastAsia="zh-CN"/>
                </w:rPr>
              </m:ctrlPr>
            </m:sSupPr>
            <m:e>
              <m:r>
                <w:rPr>
                  <w:rFonts w:ascii="Cambria Math" w:hAnsi="Cambria Math"/>
                  <w:lang w:eastAsia="zh-CN"/>
                </w:rPr>
                <m:t>γ</m:t>
              </m:r>
            </m:e>
            <m:sup>
              <m:r>
                <w:rPr>
                  <w:rFonts w:ascii="Cambria Math" w:hAnsi="Cambria Math"/>
                  <w:lang w:eastAsia="zh-CN"/>
                </w:rPr>
                <m:t>VH</m:t>
              </m:r>
            </m:sup>
          </m:sSup>
          <m:r>
            <w:rPr>
              <w:rFonts w:ascii="Cambria Math" w:hAnsi="Cambria Math"/>
              <w:lang w:eastAsia="zh-CN"/>
            </w:rPr>
            <m:t xml:space="preserve">                                                                                          (1)</m:t>
          </m:r>
        </m:oMath>
      </m:oMathPara>
    </w:p>
    <w:p w14:paraId="6E92E73A" w14:textId="18F2CE26" w:rsidR="00685ADE" w:rsidRPr="00556390" w:rsidRDefault="00685ADE" w:rsidP="00685ADE">
      <w:pPr>
        <w:ind w:firstLine="420"/>
        <w:rPr>
          <w:lang w:eastAsia="zh-CN"/>
        </w:rPr>
      </w:pPr>
      <w:r w:rsidRPr="00556390">
        <w:rPr>
          <w:lang w:eastAsia="zh-CN"/>
        </w:rPr>
        <w:t>Where, γ was set to 5 based on</w:t>
      </w:r>
      <w:r>
        <w:rPr>
          <w:lang w:eastAsia="zh-CN"/>
        </w:rPr>
        <w:t xml:space="preserve"> </w:t>
      </w:r>
      <w:r w:rsidRPr="00556390">
        <w:rPr>
          <w:lang w:eastAsia="zh-CN"/>
        </w:rPr>
        <w:t xml:space="preserve">previous research </w:t>
      </w:r>
      <w:r>
        <w:rPr>
          <w:lang w:eastAsia="zh-CN"/>
        </w:rPr>
        <w:fldChar w:fldCharType="begin"/>
      </w:r>
      <w:r w:rsidR="002623B5">
        <w:rPr>
          <w:lang w:eastAsia="zh-CN"/>
        </w:rPr>
        <w:instrText xml:space="preserve"> ADDIN ZOTERO_ITEM CSL_CITATION {"citationID":"G4SRrZS2","properties":{"formattedCitation":"(X. Li, Zhou, et al., 2020)","plainCitation":"(X. Li, Zhou, et al., 2020)","noteIndex":0},"citationItems":[{"id":1891,"uris":["http://zotero.org/users/10015936/items/27DKW4RR"],"itemData":{"id":1891,"type":"article-journal","abstract":"Building height is one of the key variables in studying anthropogenic activities and built environments in the urban system. However, the information of urban building height over large areas is still limited due to the lack of available data. In this study, we developed an approach to estimate building height using the Sentinel-1 Ground Range Detected data. First, we proposed an indicator of VVH that integrates the dual-polarization information (i.e., VV and VH) from the Sentinel-1 synthetic aperture radar data. Second, we developed a building height model using the indicator of VVH and the reference building height from airborne light detection and ranging (LiDAR) images in seven cities in the United States (US). Third, we estimated building height of major cities with area larger than 500 km2 in the US using the developed model. The root mean square error between estimated and reference height is 1.5 m in seven study cities in the US. The comparison with the Laser observations from the Ice, Cloud, and land Elevation Satellite data in available footprints also indicates that the estimated building height from Sentinel-1 data is reliable. The estimated building height from Sentinel-1 data shows a better agreement with the reference data compared to the Advanced Land Observing Satellite data in seven US cities. Our results of building height in major US cities indicate that there are more cities with tall buildings in the Northeastern US compared to the Western and Southern US, with more aggregated tall buildings in central business districts of cities. The information of building height from this study is of great value in urban studies, such as estimating energy consumption and carbon emissions in urban areas.","call-number":"1","container-title":"Remote Sensing of Environment","DOI":"10.1016/j.rse.2020.111705","ISSN":"0034-4257","journalAbbreviation":"Remote Sensing of Environment","language":"en","page":"111705","source":"13.5 (Q1)","title":"Developing a method to estimate building height from Sentinel-1 data","volume":"240","author":[{"family":"Li","given":"Xuecao"},{"family":"Zhou","given":"Yuyu"},{"family":"Gong","given":"Peng"},{"family":"Seto","given":"Karen C."},{"family":"Clinton","given":"Nicholas"}],"issued":{"date-parts":[["2020",4]]}}}],"schema":"https://github.com/citation-style-language/schema/raw/master/csl-citation.json"} </w:instrText>
      </w:r>
      <w:r>
        <w:rPr>
          <w:lang w:eastAsia="zh-CN"/>
        </w:rPr>
        <w:fldChar w:fldCharType="separate"/>
      </w:r>
      <w:r w:rsidR="002623B5" w:rsidRPr="002623B5">
        <w:t>(X. Li, Zhou, et al., 2020)</w:t>
      </w:r>
      <w:r>
        <w:rPr>
          <w:lang w:eastAsia="zh-CN"/>
        </w:rPr>
        <w:fldChar w:fldCharType="end"/>
      </w:r>
      <w:r w:rsidRPr="00556390">
        <w:rPr>
          <w:lang w:eastAsia="zh-CN"/>
        </w:rPr>
        <w:t>.</w:t>
      </w:r>
    </w:p>
    <w:p w14:paraId="14BD8905" w14:textId="77777777" w:rsidR="00685ADE" w:rsidRPr="007553EF" w:rsidRDefault="00685ADE" w:rsidP="001A2B73">
      <w:pPr>
        <w:pStyle w:val="2"/>
      </w:pPr>
      <w:r>
        <w:rPr>
          <w:lang w:eastAsia="zh-CN"/>
        </w:rPr>
        <w:t>Sentinel-2</w:t>
      </w:r>
    </w:p>
    <w:p w14:paraId="45E2294A" w14:textId="622C19DA" w:rsidR="002562D1" w:rsidRDefault="002562D1" w:rsidP="002562D1">
      <w:pPr>
        <w:ind w:firstLine="420"/>
        <w:rPr>
          <w:lang w:eastAsia="zh-CN"/>
        </w:rPr>
      </w:pPr>
      <w:r>
        <w:rPr>
          <w:lang w:eastAsia="zh-CN"/>
        </w:rPr>
        <w:t xml:space="preserve">After masking out poor-quality observations in Sentinel-2 images using the QA60 bitmask band, we selected RGB, NIR, SWIR, and red-edge bands as independent </w:t>
      </w:r>
      <w:r>
        <w:rPr>
          <w:lang w:eastAsia="zh-CN"/>
        </w:rPr>
        <w:lastRenderedPageBreak/>
        <w:t xml:space="preserve">variables. Additionally, based on raw indices of Sentinel-2, six </w:t>
      </w:r>
      <w:r w:rsidRPr="00E01837">
        <w:rPr>
          <w:lang w:eastAsia="zh-CN"/>
        </w:rPr>
        <w:t>calculated indices are also used as input variables</w:t>
      </w:r>
      <w:r>
        <w:rPr>
          <w:lang w:eastAsia="zh-CN"/>
        </w:rPr>
        <w:t>, including the</w:t>
      </w:r>
      <w:r w:rsidRPr="00D50EB6">
        <w:rPr>
          <w:lang w:eastAsia="zh-CN"/>
        </w:rPr>
        <w:t xml:space="preserve"> Normalized Difference Vegetation Index (NDVI)</w:t>
      </w:r>
      <w:r>
        <w:rPr>
          <w:lang w:eastAsia="zh-CN"/>
        </w:rPr>
        <w:t xml:space="preserve"> </w:t>
      </w:r>
      <w:r>
        <w:rPr>
          <w:lang w:eastAsia="zh-CN"/>
        </w:rPr>
        <w:fldChar w:fldCharType="begin"/>
      </w:r>
      <w:r>
        <w:rPr>
          <w:lang w:eastAsia="zh-CN"/>
        </w:rPr>
        <w:instrText xml:space="preserve"> ADDIN ZOTERO_ITEM CSL_CITATION {"citationID":"juj6DJjd","properties":{"formattedCitation":"(Tucker, 1979)","plainCitation":"(Tucker, 1979)","noteIndex":0},"citationItems":[{"id":1897,"uris":["http://zotero.org/users/10015936/items/M7WZ2HSM"],"itemData":{"id":1897,"type":"article-journal","abstract":"In situ collected spectrometer data were used to evaluate and quantify the relationships between various linear combinations of red and photographic infrared radiances and experimental plot biomass, leaf water content, and chlorophyll content. The radiance variables evaluated included the red and photographic infrared (IR) radiance and the linear combinations of the IR/red ratio, the square root of the IR/red ratio, the IR-red difference, the vegetation index, and the transformed vegetation index. In addition, the corresponding green and red linear combinations were evaluated for comparative purposes. Three data sets were used from June, September, and October sampling periods. Regression analysis showed the increased utility of the IR and red linear combinations vis-à-vis the same green and red linear combinations. The red and IR linear combinations had 7% and 14% greater regression significance than the green and red linear combinations for the June and September sampling periods, respectively. The vegetation index, transformed vegetation index, and square root of the IR/red ratio were the most significant, followed closely by the IR/red ratio. Less than a 6% difference separated the highest and lowest of these four ER and red linear combinations. The use of these linear combinations was shown to be sensitive primarily to the green leaf area or green leaf biomass. As such, these linear combinations of the red and photographic IR radiances can be employed to monitor the photosynthetically active biomass of plant canopies.","call-number":"1","container-title":"Remote Sensing of Environment","DOI":"10.1016/0034-4257(79)90013-0","ISSN":"0034-4257","issue":"2","journalAbbreviation":"Remote Sensing of Environment","language":"en","page":"127-150","source":"13.5 (Q1)","title":"Red and photographic infrared linear combinations for monitoring vegetation","volume":"8","author":[{"family":"Tucker","given":"Compton J."}],"issued":{"date-parts":[["1979",5]]}}}],"schema":"https://github.com/citation-style-language/schema/raw/master/csl-citation.json"} </w:instrText>
      </w:r>
      <w:r>
        <w:rPr>
          <w:lang w:eastAsia="zh-CN"/>
        </w:rPr>
        <w:fldChar w:fldCharType="separate"/>
      </w:r>
      <w:r w:rsidRPr="007452DC">
        <w:t>(Tucker, 1979)</w:t>
      </w:r>
      <w:r>
        <w:rPr>
          <w:lang w:eastAsia="zh-CN"/>
        </w:rPr>
        <w:fldChar w:fldCharType="end"/>
      </w:r>
      <w:r>
        <w:rPr>
          <w:lang w:eastAsia="zh-CN"/>
        </w:rPr>
        <w:t xml:space="preserve">, the </w:t>
      </w:r>
      <w:r w:rsidRPr="00D50EB6">
        <w:rPr>
          <w:lang w:eastAsia="zh-CN"/>
        </w:rPr>
        <w:t>Normalized Difference Built-up Index (NDBI)</w:t>
      </w:r>
      <w:r>
        <w:rPr>
          <w:lang w:eastAsia="zh-CN"/>
        </w:rPr>
        <w:t xml:space="preserve"> </w:t>
      </w:r>
      <w:r>
        <w:rPr>
          <w:lang w:eastAsia="zh-CN"/>
        </w:rPr>
        <w:fldChar w:fldCharType="begin"/>
      </w:r>
      <w:r>
        <w:rPr>
          <w:lang w:eastAsia="zh-CN"/>
        </w:rPr>
        <w:instrText xml:space="preserve"> ADDIN ZOTERO_ITEM CSL_CITATION {"citationID":"zspR6Md3","properties":{"formattedCitation":"(Zha et al., 2003)","plainCitation":"(Zha et al., 2003)","noteIndex":0},"citationItems":[{"id":1900,"uris":["http://zotero.org/users/10015936/items/FYA6YLSY"],"itemData":{"id":1900,"type":"article-journal","abstract":"Remotely sensed imagery is ideally used to monitor and detect land cover changes that occur frequently in urban and peri-urban areas as a consequence of incessant urbanization. It is a lengthy process to convert satellite imagery into land cover map using the existing methods of manual interpretation and parametric image classification digitally. In this paper we propose a new method based on Normalized Difference Built-up Index (NDBI) to automate the process of mapping built-up areas. It takes advantage of the unique spectral response of built-up areas and other land covers. Built-up areas are effectively mapped through arithmetic manipulation of re-coded Normalized Difference Vegetation Index (NDVI) and NDBI images derived from TM imagery. The devised NDBI method was applied to map urban land in the city of Nanjing, eastern China. The mapped results at an accuracy of 92.6% indicate that it can be used to fulfil the mapping objective reliably. Compared with the maximum likelihood classification method, the proposed NDBI is able to serve as a worthwhile alternative for quickly and objectively mapping built-up areas.","archive":"Scopus","call-number":"3","container-title":"International Journal of Remote Sensing","DOI":"10.1080/01431160304987","ISSN":"0143-1161","issue":"3","journalAbbreviation":"International Journal of Remote Sensing","language":"en","page":"583-594","source":"3.4 (Q2)","title":"Use of normalized difference built-up index in automatically mapping urban areas from TM imagery","volume":"24","author":[{"family":"Zha","given":"Y."},{"family":"Gao","given":"J."},{"family":"Ni","given":"S."}],"issued":{"date-parts":[["2003",1]]}}}],"schema":"https://github.com/citation-style-language/schema/raw/master/csl-citation.json"} </w:instrText>
      </w:r>
      <w:r>
        <w:rPr>
          <w:lang w:eastAsia="zh-CN"/>
        </w:rPr>
        <w:fldChar w:fldCharType="separate"/>
      </w:r>
      <w:r w:rsidRPr="007452DC">
        <w:t>(Zha et al., 2003)</w:t>
      </w:r>
      <w:r>
        <w:rPr>
          <w:lang w:eastAsia="zh-CN"/>
        </w:rPr>
        <w:fldChar w:fldCharType="end"/>
      </w:r>
      <w:r>
        <w:rPr>
          <w:lang w:eastAsia="zh-CN"/>
        </w:rPr>
        <w:t xml:space="preserve">, the </w:t>
      </w:r>
      <w:r w:rsidRPr="00D50EB6">
        <w:rPr>
          <w:lang w:eastAsia="zh-CN"/>
        </w:rPr>
        <w:t>Modified Normalized Difference Water Index (MNDWI)</w:t>
      </w:r>
      <w:r>
        <w:rPr>
          <w:lang w:eastAsia="zh-CN"/>
        </w:rPr>
        <w:t xml:space="preserve"> </w:t>
      </w:r>
      <w:r>
        <w:rPr>
          <w:lang w:eastAsia="zh-CN"/>
        </w:rPr>
        <w:fldChar w:fldCharType="begin"/>
      </w:r>
      <w:r>
        <w:rPr>
          <w:lang w:eastAsia="zh-CN"/>
        </w:rPr>
        <w:instrText xml:space="preserve"> ADDIN ZOTERO_ITEM CSL_CITATION {"citationID":"z3YxqJT7","properties":{"formattedCitation":"(Xu, 2006)","plainCitation":"(Xu, 2006)","noteIndex":0},"citationItems":[{"id":1902,"uris":["http://zotero.org/users/10015936/items/RU382AHC"],"itemData":{"id":1902,"type":"article-journal","abstract":"The normalized difference water index (NDWI) of McFeeters (1996) was modified by substitution of a middle infrared band such as Landsat TM band 5 for the near infrared band used in the NDWI. The modified NDWI (MNDWI)</w:instrText>
      </w:r>
      <w:r>
        <w:rPr>
          <w:rFonts w:hint="eastAsia"/>
          <w:lang w:eastAsia="zh-CN"/>
        </w:rPr>
        <w:instrText xml:space="preserve"> can enhance open water features while efficiently suppressing and even removing built</w:instrText>
      </w:r>
      <w:r>
        <w:rPr>
          <w:rFonts w:hint="eastAsia"/>
          <w:lang w:eastAsia="zh-CN"/>
        </w:rPr>
        <w:instrText>‐</w:instrText>
      </w:r>
      <w:r>
        <w:rPr>
          <w:rFonts w:hint="eastAsia"/>
          <w:lang w:eastAsia="zh-CN"/>
        </w:rPr>
        <w:instrText>up land noise as well as vegetation and soil noise. The enhanced water information using the NDWI is often mixed with built</w:instrText>
      </w:r>
      <w:r>
        <w:rPr>
          <w:rFonts w:hint="eastAsia"/>
          <w:lang w:eastAsia="zh-CN"/>
        </w:rPr>
        <w:instrText>‐</w:instrText>
      </w:r>
      <w:r>
        <w:rPr>
          <w:rFonts w:hint="eastAsia"/>
          <w:lang w:eastAsia="zh-CN"/>
        </w:rPr>
        <w:instrText>up land noise and the area of extracted water is thus overestimated. Accordingly, the MNDWI is more suitable for enhancing and extracting water information for a water region with a background dominated by built</w:instrText>
      </w:r>
      <w:r>
        <w:rPr>
          <w:rFonts w:hint="eastAsia"/>
          <w:lang w:eastAsia="zh-CN"/>
        </w:rPr>
        <w:instrText>‐</w:instrText>
      </w:r>
      <w:r>
        <w:rPr>
          <w:rFonts w:hint="eastAsia"/>
          <w:lang w:eastAsia="zh-CN"/>
        </w:rPr>
        <w:instrText>up land areas because of its advantage in reducing and even removing built</w:instrText>
      </w:r>
      <w:r>
        <w:rPr>
          <w:rFonts w:hint="eastAsia"/>
          <w:lang w:eastAsia="zh-CN"/>
        </w:rPr>
        <w:instrText>‐</w:instrText>
      </w:r>
      <w:r>
        <w:rPr>
          <w:rFonts w:hint="eastAsia"/>
          <w:lang w:eastAsia="zh-CN"/>
        </w:rPr>
        <w:instrText>up land nois</w:instrText>
      </w:r>
      <w:r>
        <w:rPr>
          <w:lang w:eastAsia="zh-CN"/>
        </w:rPr>
        <w:instrText xml:space="preserve">e over the NDWI.","call-number":"3","container-title":"International Journal of Remote Sensing","DOI":"10.1080/01431160600589179","ISSN":"0143-1161","issue":"14","journalAbbreviation":"International Journal of Remote Sensing","language":"en","note":"publisher: Taylor &amp; Francis\n_eprint: https://doi.org/10.1080/01431160600589179","page":"3025-3033","source":"3.4 (Q2)","title":"Modification of normalised difference water index (NDWI) to enhance open water features in remotely sensed imagery","volume":"27","author":[{"family":"Xu","given":"Hanqiu"}],"issued":{"date-parts":[["2006",7,20]]}}}],"schema":"https://github.com/citation-style-language/schema/raw/master/csl-citation.json"} </w:instrText>
      </w:r>
      <w:r>
        <w:rPr>
          <w:lang w:eastAsia="zh-CN"/>
        </w:rPr>
        <w:fldChar w:fldCharType="separate"/>
      </w:r>
      <w:r w:rsidRPr="007452DC">
        <w:t>(Xu, 2006)</w:t>
      </w:r>
      <w:r>
        <w:rPr>
          <w:lang w:eastAsia="zh-CN"/>
        </w:rPr>
        <w:fldChar w:fldCharType="end"/>
      </w:r>
      <w:r>
        <w:rPr>
          <w:lang w:eastAsia="zh-CN"/>
        </w:rPr>
        <w:t xml:space="preserve">, the </w:t>
      </w:r>
      <w:r w:rsidRPr="00D50EB6">
        <w:rPr>
          <w:lang w:eastAsia="zh-CN"/>
        </w:rPr>
        <w:t>Enhanced Vegetation Index (EVI)</w:t>
      </w:r>
      <w:r>
        <w:rPr>
          <w:lang w:eastAsia="zh-CN"/>
        </w:rPr>
        <w:t xml:space="preserve"> </w:t>
      </w:r>
      <w:r>
        <w:rPr>
          <w:lang w:eastAsia="zh-CN"/>
        </w:rPr>
        <w:fldChar w:fldCharType="begin"/>
      </w:r>
      <w:r>
        <w:rPr>
          <w:lang w:eastAsia="zh-CN"/>
        </w:rPr>
        <w:instrText xml:space="preserve"> ADDIN ZOTERO_ITEM CSL_CITATION {"citationID":"dlMZ0KLZ","properties":{"formattedCitation":"(Huete et al., 2002)","plainCitation":"(Huete et al., 2002)","noteIndex":0},"citationItems":[{"id":1905,"uris":["http://zotero.org/users/10015936/items/N89FD3VF"],"itemData":{"id":1905,"type":"article-journal","abstract":"We evaluated the initial 12 months of vegetation index product availability from the Moderate Resolution Imaging Spectroradiometer (MODIS) on board the Earth Observing System-Terra platform. Two MODIS vegetation indices (VI), the normalized difference vegetation index (NDVI) and enhanced vegetation index (EVI), are produced at 1-km and 500-m resolutions and 16-day compositing periods. This paper presents an initial analysis of the MODIS NDVI and EVI performance from both radiometric and biophysical perspectives. We utilize a combination of site-intensive and regionally extensive approaches to demonstrate the performance and validity of the two indices. Our results showed a good correspondence between airborne-measured, top-of-canopy reflectances and VI values with those from the MODIS sensor at four intensively measured test sites representing semi-arid grass/shrub, savanna, and tropical forest biomes. Simultaneously derived field biophysical measures also demonstrated the scientific utility of the MODIS VI. Multitemporal profiles of the MODIS VIs over numerous biome types in North and South America well represented their seasonal phenologies. Comparisons of the MODIS-NDVI with the NOAA-14, 1-km AVHRR-NDVI temporal profiles showed that the MODIS-based index performed with higher fidelity. The dynamic range of the MODIS VIs are presented and their sensitivities in discriminating vegetation differences are evaluated in sparse and dense vegetation areas. We found the NDVI to asymptotically saturate in high biomass regions such as in the Amazon while the EVI remained sensitive to canopy variations.","call-number":"1","collection-title":"The Moderate Resolution Imaging Spectroradiometer (MODIS): a new generation of Land Surface Monitoring","container-title":"Remote Sensing of Environment","DOI":"10.1016/S0034-4257(02)00096-2","ISSN":"0034-4257","issue":"1-2","journalAbbreviation":"Remote Sensing of Environment","language":"en","page":"195-213","source":"13.5 (Q1)","title":"Overview of the radiometric and biophysical performance of the MODIS vegetation indices","volume":"83","author":[{"family":"Huete","given":"A"},{"family":"Didan","given":"K"},{"family":"Miura","given":"T"},{"family":"Rodriguez","given":"E.P"},{"family":"Gao","given":"X"},{"family":"Ferreira","given":"L.G"}],"issued":{"date-parts":[["2002",11]]}}}],"schema":"https://github.com/citation-style-language/schema/raw/master/csl-citation.json"} </w:instrText>
      </w:r>
      <w:r>
        <w:rPr>
          <w:lang w:eastAsia="zh-CN"/>
        </w:rPr>
        <w:fldChar w:fldCharType="separate"/>
      </w:r>
      <w:r w:rsidRPr="001F61C1">
        <w:t>(Huete et al., 2002)</w:t>
      </w:r>
      <w:r>
        <w:rPr>
          <w:lang w:eastAsia="zh-CN"/>
        </w:rPr>
        <w:fldChar w:fldCharType="end"/>
      </w:r>
      <w:r>
        <w:rPr>
          <w:lang w:eastAsia="zh-CN"/>
        </w:rPr>
        <w:t>, the</w:t>
      </w:r>
      <w:r w:rsidRPr="00D50EB6">
        <w:rPr>
          <w:lang w:eastAsia="zh-CN"/>
        </w:rPr>
        <w:t xml:space="preserve"> Land Surface Water Index (LSWI)</w:t>
      </w:r>
      <w:r>
        <w:rPr>
          <w:lang w:eastAsia="zh-CN"/>
        </w:rPr>
        <w:t xml:space="preserve"> </w:t>
      </w:r>
      <w:r>
        <w:rPr>
          <w:lang w:eastAsia="zh-CN"/>
        </w:rPr>
        <w:fldChar w:fldCharType="begin"/>
      </w:r>
      <w:r>
        <w:rPr>
          <w:lang w:eastAsia="zh-CN"/>
        </w:rPr>
        <w:instrText xml:space="preserve"> ADDIN ZOTERO_ITEM CSL_CITATION {"citationID":"udPZWe6i","properties":{"formattedCitation":"(Xiao et al., 2004)","plainCitation":"(Xiao et al., 2004)","noteIndex":0},"citationItems":[{"id":1906,"uris":["http://zotero.org/users/10015936/items/NMHQQ77M"],"itemData":{"id":1906,"type":"article-journal","abstract":"The eddy covariance technique provides valuable information on net ecosystem exchange (NEE) of CO2, between the atmosphere and terrestrial ecosystems, ecosystem respiration, and gross primary production (GPP) at a variety of CO2 eddy flux tower sites. In this paper, we develop a new, satellite-based Vegetation Photosynthesis Model (VPM) to estimate the seasonal dynamics and interannual variation of GPP of evergreen needleleaf forests. The VPM model uses two improved vegetation indices (Enhanced Vegetation Index (EVI), Land Surface Water Index (LSWI)). We used multi-year (1998–2001) images from the VEGETATION sensor onboard the SPOT-4 satellite and CO2 flux data from a CO2 eddy flux tower site in Howland, Maine, USA. The seasonal dynamics of GPP predicted by the VPM model agreed well with observed GPP in 1998–2001 at the Howland Forest. These results demonstrate the potential of the satellite-driven VPM model for scaling-up GPP of forests at the CO2 flux tower sites, a key component for the study of the carbon cycle at regional and global scales.","call-number":"1","container-title":"Remote Sensing of Environment","DOI":"10.1016/j.rse.2003.11.008","ISSN":"0034-4257","issue":"4","journalAbbreviation":"Remote Sensing of Environment","language":"en","page":"519-534","source":"13.5 (Q1)","title":"Satellite-based modeling of gross primary production in an evergreen needleleaf forest","volume":"89","author":[{"family":"Xiao","given":"Xiangming"},{"family":"Hollinger","given":"David"},{"family":"Aber","given":"John"},{"family":"Goltz","given":"Mike"},{"family":"Davidson","given":"Eric A."},{"family":"Zhang","given":"Qingyuan"},{"family":"Moore","given":"Berrien"}],"issued":{"date-parts":[["2004",2]]}}}],"schema":"https://github.com/citation-style-language/schema/raw/master/csl-citation.json"} </w:instrText>
      </w:r>
      <w:r>
        <w:rPr>
          <w:lang w:eastAsia="zh-CN"/>
        </w:rPr>
        <w:fldChar w:fldCharType="separate"/>
      </w:r>
      <w:r w:rsidRPr="001F61C1">
        <w:t>(Xiao et al., 2004)</w:t>
      </w:r>
      <w:r>
        <w:rPr>
          <w:lang w:eastAsia="zh-CN"/>
        </w:rPr>
        <w:fldChar w:fldCharType="end"/>
      </w:r>
      <w:r>
        <w:rPr>
          <w:lang w:eastAsia="zh-CN"/>
        </w:rPr>
        <w:t xml:space="preserve">, and the </w:t>
      </w:r>
      <w:r w:rsidRPr="00D50EB6">
        <w:rPr>
          <w:lang w:eastAsia="zh-CN"/>
        </w:rPr>
        <w:t>Combinational Shadow Index (CSI)</w:t>
      </w:r>
      <w:r>
        <w:rPr>
          <w:lang w:eastAsia="zh-CN"/>
        </w:rPr>
        <w:fldChar w:fldCharType="begin"/>
      </w:r>
      <w:r w:rsidR="006E101F">
        <w:rPr>
          <w:lang w:eastAsia="zh-CN"/>
        </w:rPr>
        <w:instrText xml:space="preserve"> ADDIN ZOTERO_ITEM CSL_CITATION {"citationID":"EcfdppP6","properties":{"formattedCitation":"(Sun et al., 2019)","plainCitation":"(Sun et al., 2019)","noteIndex":0},"citationItems":[{"id":1907,"uris":["http://zotero.org/users/10015936/items/WPC96BM5"],"itemData":{"id":1907,"type":"article-journal","abstract":"Images from Multispectral Instrument (MSI) on Sentinel-2A are useful for studies of urban environments and their spatio-temporal changes. However, the frequent occurrence of building shadows in urban areas brings about great challenges in urban studies. Existing building shadow indices are not effective for Sentinel-2A MSI images due to that these indices do not make full use of the rich spectral information contained in Sentinel-2A. In this study, we propose a combinational shadow index (CSI) to address this challenge. In the formulation of CSI, three features, including the proposed shadow enhancement index (SEI), the normalized difference water index (NDWI) and the NIR band (B8), were combined to separate spectrally similar objects, such as building shadows, water and low albedo features at the Earth surface. The accuracy and robustness of CSI were tested by using six data sets from four cities, including Beijing, Shanghai, Guangzhou and Shenzhen in China. The performance of CSI was compared with three existing shadow indices, i.e., P algorithm, the normalized saturation-value difference index (NSVDI) and the shadow index (SI). Results show that CSI can detect building shadows with fine structures in both clear and cloudy images more effectively and worked well on large areas too. CSI can separate shadows from water and low albedo features as measured by a spectral discrimination index (SDI). Compared with the existing building shadow indices, CSI can improve the performance of building shadow detection by combining the feature information of SEI, NDWI and NIR band, and yielded satisfactory results for extracting building shadows from Sentinel-2A MSI imagery.","call-number":"1","container-title":"International Journal of Applied Earth Observation and Geoinformation","DOI":"10.1016/j.jag.2019.01.012","ISSN":"1569-8432","journalAbbreviation":"International Journal of Applied Earth Observation and Geoinformation","language":"en","page":"53-65","source":"7.5 (Q1)","title":"Combinational shadow index for building shadow extraction in urban areas from Sentinel-2A MSI imagery","volume":"78","author":[{"family":"Sun","given":"Genyun"},{"family":"Huang","given":"Hui"},{"family":"Weng","given":"Qihao"},{"family":"Zhang","given":"Aizhu"},{"family":"Jia","given":"Xiuping"},{"family":"Ren","given":"Jinchang"},{"family":"Sun","given":"Lin"},{"family":"Chen","given":"Xiaolin"}],"issued":{"date-parts":[["2019",6]]}}}],"schema":"https://github.com/citation-style-language/schema/raw/master/csl-citation.json"} </w:instrText>
      </w:r>
      <w:r>
        <w:rPr>
          <w:lang w:eastAsia="zh-CN"/>
        </w:rPr>
        <w:fldChar w:fldCharType="separate"/>
      </w:r>
      <w:r w:rsidR="006E101F" w:rsidRPr="006E101F">
        <w:t>(Sun et al., 2019)</w:t>
      </w:r>
      <w:r>
        <w:rPr>
          <w:lang w:eastAsia="zh-CN"/>
        </w:rPr>
        <w:fldChar w:fldCharType="end"/>
      </w:r>
      <w:r>
        <w:rPr>
          <w:lang w:eastAsia="zh-CN"/>
        </w:rPr>
        <w:t>:</w:t>
      </w:r>
    </w:p>
    <w:p w14:paraId="5CA35FAD" w14:textId="77777777" w:rsidR="00685ADE" w:rsidRPr="00746A43" w:rsidRDefault="00685ADE" w:rsidP="00685ADE">
      <w:pPr>
        <w:rPr>
          <w:lang w:eastAsia="zh-CN"/>
        </w:rPr>
      </w:pPr>
      <m:oMathPara>
        <m:oMath>
          <m:r>
            <w:rPr>
              <w:rFonts w:ascii="Cambria Math" w:hAnsi="Cambria Math"/>
              <w:lang w:eastAsia="zh-CN"/>
            </w:rPr>
            <m:t>NDVI=</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red</m:t>
                  </m:r>
                </m:sub>
              </m:sSub>
            </m:num>
            <m:den>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red</m:t>
                  </m:r>
                </m:sub>
              </m:sSub>
            </m:den>
          </m:f>
          <m:r>
            <w:rPr>
              <w:rFonts w:ascii="Cambria Math" w:hAnsi="Cambria Math"/>
              <w:lang w:eastAsia="zh-CN"/>
            </w:rPr>
            <m:t xml:space="preserve">                                                                                       (2)</m:t>
          </m:r>
        </m:oMath>
      </m:oMathPara>
    </w:p>
    <w:p w14:paraId="029A48A4" w14:textId="77777777" w:rsidR="00685ADE" w:rsidRPr="00746A43" w:rsidRDefault="00685ADE" w:rsidP="00685ADE">
      <w:pPr>
        <w:rPr>
          <w:lang w:eastAsia="zh-CN"/>
        </w:rPr>
      </w:pPr>
      <m:oMathPara>
        <m:oMath>
          <m:r>
            <w:rPr>
              <w:rFonts w:ascii="Cambria Math" w:hAnsi="Cambria Math"/>
              <w:lang w:eastAsia="zh-CN"/>
            </w:rPr>
            <m:t>EVI=</m:t>
          </m:r>
          <m:f>
            <m:fPr>
              <m:ctrlPr>
                <w:rPr>
                  <w:rFonts w:ascii="Cambria Math" w:hAnsi="Cambria Math"/>
                  <w:i/>
                  <w:lang w:eastAsia="zh-CN"/>
                </w:rPr>
              </m:ctrlPr>
            </m:fPr>
            <m:num>
              <m:r>
                <w:rPr>
                  <w:rFonts w:ascii="Cambria Math" w:hAnsi="Cambria Math"/>
                  <w:lang w:eastAsia="zh-CN"/>
                </w:rPr>
                <m:t>2.5(</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red</m:t>
                  </m:r>
                </m:sub>
              </m:sSub>
              <m:r>
                <w:rPr>
                  <w:rFonts w:ascii="Cambria Math" w:hAnsi="Cambria Math"/>
                  <w:lang w:eastAsia="zh-CN"/>
                </w:rPr>
                <m:t>)</m:t>
              </m:r>
            </m:num>
            <m:den>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+6</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red</m:t>
                  </m:r>
                </m:sub>
              </m:sSub>
              <m:r>
                <w:rPr>
                  <w:rFonts w:ascii="Cambria Math" w:hAnsi="Cambria Math"/>
                  <w:lang w:eastAsia="zh-CN"/>
                </w:rPr>
                <m:t>-7.5</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blue</m:t>
                  </m:r>
                </m:sub>
              </m:sSub>
              <m:r>
                <w:rPr>
                  <w:rFonts w:ascii="Cambria Math" w:hAnsi="Cambria Math"/>
                  <w:lang w:eastAsia="zh-CN"/>
                </w:rPr>
                <m:t>+1)</m:t>
              </m:r>
            </m:den>
          </m:f>
          <m:r>
            <w:rPr>
              <w:rFonts w:ascii="Cambria Math" w:hAnsi="Cambria Math"/>
              <w:lang w:eastAsia="zh-CN"/>
            </w:rPr>
            <m:t xml:space="preserve">                                                        (3)</m:t>
          </m:r>
        </m:oMath>
      </m:oMathPara>
    </w:p>
    <w:p w14:paraId="73E1786B" w14:textId="77777777" w:rsidR="00685ADE" w:rsidRPr="00746A43" w:rsidRDefault="00685ADE" w:rsidP="00685ADE">
      <w:pPr>
        <w:rPr>
          <w:lang w:eastAsia="zh-CN"/>
        </w:rPr>
      </w:pPr>
      <m:oMathPara>
        <m:oMath>
          <m:r>
            <w:rPr>
              <w:rFonts w:ascii="Cambria Math" w:hAnsi="Cambria Math"/>
              <w:lang w:eastAsia="zh-CN"/>
            </w:rPr>
            <m:t>LSWI=</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swir1</m:t>
                  </m:r>
                </m:sub>
              </m:sSub>
            </m:num>
            <m:den>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swir1</m:t>
                  </m:r>
                </m:sub>
              </m:sSub>
            </m:den>
          </m:f>
          <m:r>
            <w:rPr>
              <w:rFonts w:ascii="Cambria Math" w:hAnsi="Cambria Math"/>
              <w:lang w:eastAsia="zh-CN"/>
            </w:rPr>
            <m:t xml:space="preserve">                                                                                     (4)</m:t>
          </m:r>
        </m:oMath>
      </m:oMathPara>
    </w:p>
    <w:p w14:paraId="2BD58D99" w14:textId="77777777" w:rsidR="00685ADE" w:rsidRPr="00746A43" w:rsidRDefault="00685ADE" w:rsidP="00685ADE">
      <w:pPr>
        <w:rPr>
          <w:lang w:eastAsia="zh-CN"/>
        </w:rPr>
      </w:pPr>
      <m:oMathPara>
        <m:oMath>
          <m:r>
            <w:rPr>
              <w:rFonts w:ascii="Cambria Math" w:hAnsi="Cambria Math"/>
              <w:lang w:eastAsia="zh-CN"/>
            </w:rPr>
            <m:t>mNDWI=</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green</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swir1</m:t>
                  </m:r>
                </m:sub>
              </m:sSub>
            </m:num>
            <m:den>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green</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swir1</m:t>
                  </m:r>
                </m:sub>
              </m:sSub>
            </m:den>
          </m:f>
          <m:r>
            <w:rPr>
              <w:rFonts w:ascii="Cambria Math" w:hAnsi="Cambria Math"/>
              <w:lang w:eastAsia="zh-CN"/>
            </w:rPr>
            <m:t xml:space="preserve">                                                                             (5)</m:t>
          </m:r>
        </m:oMath>
      </m:oMathPara>
    </w:p>
    <w:p w14:paraId="3AA5E034" w14:textId="77777777" w:rsidR="00685ADE" w:rsidRPr="00746A43" w:rsidRDefault="00685ADE" w:rsidP="00685ADE">
      <w:pPr>
        <w:rPr>
          <w:lang w:eastAsia="zh-CN"/>
        </w:rPr>
      </w:pPr>
      <m:oMathPara>
        <m:oMath>
          <m:r>
            <w:rPr>
              <w:rFonts w:ascii="Cambria Math" w:hAnsi="Cambria Math"/>
              <w:lang w:eastAsia="zh-CN"/>
            </w:rPr>
            <m:t>NDBI=</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swir1</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num>
            <m:den>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swir1</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den>
          </m:f>
          <m:r>
            <w:rPr>
              <w:rFonts w:ascii="Cambria Math" w:hAnsi="Cambria Math"/>
              <w:lang w:eastAsia="zh-CN"/>
            </w:rPr>
            <m:t xml:space="preserve">                                                                                      (6)</m:t>
          </m:r>
        </m:oMath>
      </m:oMathPara>
    </w:p>
    <w:p w14:paraId="0896F885" w14:textId="77777777" w:rsidR="00685ADE" w:rsidRPr="00842DE6" w:rsidRDefault="00685ADE" w:rsidP="00685ADE">
      <w:pPr>
        <w:rPr>
          <w:lang w:eastAsia="zh-CN"/>
        </w:rPr>
      </w:pPr>
      <m:oMathPara>
        <m:oMath>
          <m:r>
            <w:rPr>
              <w:rFonts w:ascii="Cambria Math" w:hAnsi="Cambria Math"/>
              <w:lang w:eastAsia="zh-CN"/>
            </w:rPr>
            <m:t>SEI=</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aerosols</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water vapor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green</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m:t>
              </m:r>
            </m:num>
            <m:den>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aerosols</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water vapor</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green</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m:t>
              </m:r>
            </m:den>
          </m:f>
          <m:r>
            <w:rPr>
              <w:rFonts w:ascii="Cambria Math" w:hAnsi="Cambria Math"/>
              <w:lang w:eastAsia="zh-CN"/>
            </w:rPr>
            <m:t xml:space="preserve">                                 (7)</m:t>
          </m:r>
        </m:oMath>
      </m:oMathPara>
    </w:p>
    <w:p w14:paraId="22C8C0B0" w14:textId="77777777" w:rsidR="00685ADE" w:rsidRPr="007120DB" w:rsidRDefault="00685ADE" w:rsidP="00685ADE">
      <w:pPr>
        <w:rPr>
          <w:lang w:eastAsia="zh-CN"/>
        </w:rPr>
      </w:pPr>
      <m:oMathPara>
        <m:oMath>
          <m:r>
            <w:rPr>
              <w:rFonts w:ascii="Cambria Math" w:hAnsi="Cambria Math"/>
              <w:lang w:eastAsia="zh-CN"/>
            </w:rPr>
            <m:t>CSI=</m:t>
          </m:r>
          <m:d>
            <m:dPr>
              <m:begChr m:val="{"/>
              <m:endChr m:val=""/>
              <m:ctrlPr>
                <w:rPr>
                  <w:rFonts w:ascii="Cambria Math" w:hAnsi="Cambria Math"/>
                  <w:i/>
                  <w:lang w:eastAsia="zh-CN"/>
                </w:rPr>
              </m:ctrlPr>
            </m:dPr>
            <m:e>
              <m:eqArr>
                <m:eqArrPr>
                  <m:ctrlPr>
                    <w:rPr>
                      <w:rFonts w:ascii="Cambria Math" w:hAnsi="Cambria Math"/>
                      <w:i/>
                      <w:lang w:eastAsia="zh-CN"/>
                    </w:rPr>
                  </m:ctrlPr>
                </m:eqArrPr>
                <m:e>
                  <m:r>
                    <w:rPr>
                      <w:rFonts w:ascii="Cambria Math" w:hAnsi="Cambria Math"/>
                      <w:lang w:eastAsia="zh-CN"/>
                    </w:rPr>
                    <m:t>SEI-</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 xml:space="preserve">,   if </m:t>
                  </m:r>
                  <m:sSub>
                    <m:sSubPr>
                      <m:ctrlPr>
                        <w:rPr>
                          <w:rFonts w:ascii="Cambria Math" w:hAnsi="Cambria Math"/>
                          <w:i/>
                          <w:lang w:eastAsia="zh-CN"/>
                        </w:rPr>
                      </m:ctrlPr>
                    </m:sSubPr>
                    <m:e>
                      <m:r>
                        <w:rPr>
                          <w:rFonts w:ascii="Cambria Math" w:hAnsi="Cambria Math"/>
                          <w:lang w:eastAsia="zh-CN"/>
                        </w:rPr>
                        <m:t>ρ</m:t>
                      </m:r>
                    </m:e>
                    <m:sub>
                      <m:r>
                        <w:rPr>
                          <w:rFonts w:ascii="Cambria Math" w:hAnsi="Cambria Math"/>
                          <w:lang w:eastAsia="zh-CN"/>
                        </w:rPr>
                        <m:t>NIR</m:t>
                      </m:r>
                    </m:sub>
                  </m:sSub>
                  <m:r>
                    <w:rPr>
                      <w:rFonts w:ascii="Cambria Math" w:hAnsi="Cambria Math"/>
                      <w:lang w:eastAsia="zh-CN"/>
                    </w:rPr>
                    <m:t>≥NDWI</m:t>
                  </m:r>
                </m:e>
                <m:e>
                  <m:r>
                    <w:rPr>
                      <w:rFonts w:ascii="Cambria Math" w:hAnsi="Cambria Math"/>
                      <w:lang w:eastAsia="zh-CN"/>
                    </w:rPr>
                    <m:t>SEI-NDWI,   else</m:t>
                  </m:r>
                </m:e>
              </m:eqArr>
            </m:e>
          </m:d>
          <m:r>
            <w:rPr>
              <w:rFonts w:ascii="Cambria Math" w:hAnsi="Cambria Math"/>
              <w:lang w:eastAsia="zh-CN"/>
            </w:rPr>
            <m:t xml:space="preserve">                                                          (8)</m:t>
          </m:r>
        </m:oMath>
      </m:oMathPara>
    </w:p>
    <w:p w14:paraId="0A94E686" w14:textId="77777777" w:rsidR="00685ADE" w:rsidRDefault="00685ADE" w:rsidP="001A2B73">
      <w:pPr>
        <w:pStyle w:val="2"/>
        <w:rPr>
          <w:lang w:eastAsia="zh-CN"/>
        </w:rPr>
      </w:pPr>
      <w:r>
        <w:rPr>
          <w:lang w:eastAsia="zh-CN"/>
        </w:rPr>
        <w:t>PALSAR</w:t>
      </w:r>
    </w:p>
    <w:p w14:paraId="35A44AFA" w14:textId="77777777" w:rsidR="00F515F5" w:rsidRPr="00F20C86" w:rsidRDefault="00F515F5" w:rsidP="00F515F5">
      <w:pPr>
        <w:ind w:firstLine="420"/>
        <w:rPr>
          <w:lang w:eastAsia="zh-CN"/>
        </w:rPr>
      </w:pPr>
      <w:r w:rsidRPr="00F20C86">
        <w:rPr>
          <w:lang w:eastAsia="zh-CN"/>
        </w:rPr>
        <w:t xml:space="preserve">The Phased Array Type L-band Synthetic Aperture Radar (PALSAR) is a multi-polarization active microwave sensor. </w:t>
      </w:r>
      <w:r>
        <w:rPr>
          <w:lang w:eastAsia="zh-CN"/>
        </w:rPr>
        <w:t>In</w:t>
      </w:r>
      <w:r w:rsidRPr="00F20C86">
        <w:rPr>
          <w:lang w:eastAsia="zh-CN"/>
        </w:rPr>
        <w:t xml:space="preserve"> this </w:t>
      </w:r>
      <w:r>
        <w:rPr>
          <w:lang w:eastAsia="zh-CN"/>
        </w:rPr>
        <w:t>study</w:t>
      </w:r>
      <w:r w:rsidRPr="00F20C86">
        <w:rPr>
          <w:lang w:eastAsia="zh-CN"/>
        </w:rPr>
        <w:t>, we obtained global 25-meter PALSAR/PALSAR-2 yearly mosaic data covering the period from 2019 to 2021 from the Google Earth Engine (GEE) data catalog under the collection "JAXA/ALOS/PALSAR/YEARLY/SAR</w:t>
      </w:r>
      <w:r>
        <w:rPr>
          <w:lang w:eastAsia="zh-CN"/>
        </w:rPr>
        <w:t>."</w:t>
      </w:r>
      <w:r w:rsidRPr="00F20C86">
        <w:rPr>
          <w:lang w:eastAsia="zh-CN"/>
        </w:rPr>
        <w:t xml:space="preserve"> </w:t>
      </w:r>
      <w:r>
        <w:rPr>
          <w:lang w:eastAsia="zh-CN"/>
        </w:rPr>
        <w:t>W</w:t>
      </w:r>
      <w:r w:rsidRPr="00CD4D32">
        <w:rPr>
          <w:lang w:eastAsia="zh-CN"/>
        </w:rPr>
        <w:t xml:space="preserve">e collected </w:t>
      </w:r>
      <w:r>
        <w:rPr>
          <w:lang w:eastAsia="zh-CN"/>
        </w:rPr>
        <w:t>HH and HV polarizations data</w:t>
      </w:r>
      <w:r w:rsidRPr="00CD4D32">
        <w:rPr>
          <w:lang w:eastAsia="zh-CN"/>
        </w:rPr>
        <w:t xml:space="preserve"> to c</w:t>
      </w:r>
      <w:r>
        <w:rPr>
          <w:lang w:eastAsia="zh-CN"/>
        </w:rPr>
        <w:t>apture surface reflectance and scattering characteristics comprehensively</w:t>
      </w:r>
      <w:r w:rsidRPr="00CD4D32">
        <w:rPr>
          <w:lang w:eastAsia="zh-CN"/>
        </w:rPr>
        <w:t>.</w:t>
      </w:r>
    </w:p>
    <w:p w14:paraId="2AFD4739" w14:textId="77777777" w:rsidR="00685ADE" w:rsidRDefault="00685ADE" w:rsidP="001A2B73">
      <w:pPr>
        <w:pStyle w:val="2"/>
        <w:rPr>
          <w:lang w:eastAsia="zh-CN"/>
        </w:rPr>
      </w:pPr>
      <w:r>
        <w:rPr>
          <w:lang w:eastAsia="zh-CN"/>
        </w:rPr>
        <w:lastRenderedPageBreak/>
        <w:t>VIIRS</w:t>
      </w:r>
    </w:p>
    <w:p w14:paraId="615848D5" w14:textId="1C5F5F0C" w:rsidR="00F515F5" w:rsidRDefault="00F515F5" w:rsidP="00685ADE">
      <w:pPr>
        <w:ind w:firstLine="420"/>
        <w:rPr>
          <w:lang w:eastAsia="zh-CN"/>
        </w:rPr>
      </w:pPr>
      <w:r w:rsidRPr="0054710E">
        <w:rPr>
          <w:lang w:eastAsia="zh-CN"/>
        </w:rPr>
        <w:t>Visible Infrared Imaging Radiometer Suite</w:t>
      </w:r>
      <w:r>
        <w:rPr>
          <w:lang w:eastAsia="zh-CN"/>
        </w:rPr>
        <w:t xml:space="preserve"> (VIIRS) </w:t>
      </w:r>
      <w:r w:rsidRPr="0054710E">
        <w:rPr>
          <w:lang w:eastAsia="zh-CN"/>
        </w:rPr>
        <w:t xml:space="preserve">is an </w:t>
      </w:r>
      <w:r>
        <w:rPr>
          <w:lang w:eastAsia="zh-CN"/>
        </w:rPr>
        <w:t>e</w:t>
      </w:r>
      <w:r w:rsidRPr="0054710E">
        <w:rPr>
          <w:lang w:eastAsia="zh-CN"/>
        </w:rPr>
        <w:t>arth</w:t>
      </w:r>
      <w:r>
        <w:rPr>
          <w:lang w:eastAsia="zh-CN"/>
        </w:rPr>
        <w:t xml:space="preserve"> observation</w:t>
      </w:r>
      <w:r w:rsidRPr="0054710E">
        <w:rPr>
          <w:lang w:eastAsia="zh-CN"/>
        </w:rPr>
        <w:t xml:space="preserve"> sensor usually mounted on satellites</w:t>
      </w:r>
      <w:r>
        <w:rPr>
          <w:lang w:eastAsia="zh-CN"/>
        </w:rPr>
        <w:t xml:space="preserve"> to</w:t>
      </w:r>
      <w:r w:rsidRPr="0054710E">
        <w:rPr>
          <w:lang w:eastAsia="zh-CN"/>
        </w:rPr>
        <w:t xml:space="preserve"> capture image data in the visible and infrared spectral </w:t>
      </w:r>
      <w:r>
        <w:rPr>
          <w:lang w:eastAsia="zh-CN"/>
        </w:rPr>
        <w:t>spectrums.</w:t>
      </w:r>
      <w:r>
        <w:rPr>
          <w:rFonts w:hint="eastAsia"/>
          <w:lang w:eastAsia="zh-CN"/>
        </w:rPr>
        <w:t xml:space="preserve"> </w:t>
      </w:r>
      <w:r w:rsidRPr="0053379E">
        <w:rPr>
          <w:lang w:eastAsia="zh-CN"/>
        </w:rPr>
        <w:t xml:space="preserve">The Annual Global VIIRS Nighttime Lights </w:t>
      </w:r>
      <w:r>
        <w:rPr>
          <w:lang w:eastAsia="zh-CN"/>
        </w:rPr>
        <w:t xml:space="preserve">dataset </w:t>
      </w:r>
      <w:r>
        <w:rPr>
          <w:lang w:eastAsia="zh-CN"/>
        </w:rPr>
        <w:fldChar w:fldCharType="begin"/>
      </w:r>
      <w:r>
        <w:rPr>
          <w:lang w:eastAsia="zh-CN"/>
        </w:rPr>
        <w:instrText xml:space="preserve"> ADDIN ZOTERO_ITEM CSL_CITATION {"citationID":"IFyI5peL","properties":{"formattedCitation":"(Elvidge et al., 2021)","plainCitation":"(Elvidge et al., 2021)","noteIndex":0},"citationItems":[{"id":1880,"uris":["http://zotero.org/users/10015936/items/CNHI8A89"],"itemData":{"id":1880,"type":"article-journal","abstract":"A consistently processed annual global nighttime lights time series (2012–2019) was produced using monthly cloud-free radiance averages made from low light imaging day/night band (DNB) data collected by the NASA/NOAA Visible Infrared Imaging Radiometer Suite (VIIRS). The processing steps are modified from the original methods developed to produce annual nighttime lights products from nightly data. Only two years of VIIRS nighttime lights (VNL) were produced with the V.1 methods: 2015 and 2016. Here we report on methods used to produce a V.2 VNL time series from the monthly averages with filtering to remove extraneous features such as biomass burning, aurora, and background. In this case, outlier removal is achieved with a twelve-month median, which discards high and low radiance outliers, thus isolating the background to a narrow range of radiances under 1 nW/cm2/sr. Background areas with no detectable lighting are further isolated using a statistical measure of texture, 3 × 3 data range (DR). The DR threshold for zeroing out background rises as the number of cloud-free observations falls. The V.2 method extends the temporal leverage in the noise filtering by developing the DR threshold from a multiyear maximum DR and a multiyear percent cloud-free grid. Additional noise filtering is achieved by zeroing out grid cells that have low average radiances (&lt;0.6 nW/cm2/sr) and detection in only one or two years out of eight. The spatial extent and average radiance levels are compared for the V.1 and V.2 2015 VNL. For the vast majority of grid cells, the average radiances are nearly the same in the two products. However, the V.2 product has more areas of dim lighting detected. The key advantages of the V.2 time series include consistent processing and threshold levels across all years, thus optimizing the set for change detection analyses.","archive_location":"173 </w:instrText>
      </w:r>
      <w:r>
        <w:rPr>
          <w:rFonts w:ascii="Segoe UI Emoji" w:hAnsi="Segoe UI Emoji" w:cs="Segoe UI Emoji"/>
          <w:lang w:eastAsia="zh-CN"/>
        </w:rPr>
        <w:instrText>📊</w:instrText>
      </w:r>
      <w:r>
        <w:rPr>
          <w:lang w:eastAsia="zh-CN"/>
        </w:rPr>
        <w:instrText xml:space="preserve">","call-number":"2","container-title":"Remote Sensing","DOI":"10.3390/rs13050922","ISSN":"2072-4292","issue":"5","journalAbbreviation":"Remote Sensing","language":"en","license":"http://creativecommons.org/licenses/by/3.0/","note":"number: 5\npublisher: Multidisciplinary Digital Publishing Institute","page":"922","source":"5 (Q1)","title":"Annual Time Series of Global VIIRS Nighttime Lights Derived from Monthly Averages: 2012 to 2019","title-short":"Annual Time Series of Global VIIRS Nighttime Lights Derived from Monthly Averages","volume":"13","author":[{"family":"Elvidge","given":"Christopher D."},{"family":"Zhizhin","given":"Mikhail"},{"family":"Ghosh","given":"Tilottama"},{"family":"Hsu","given":"Feng-Chi"},{"family":"Taneja","given":"Jay"}],"issued":{"date-parts":[["2021",1]]}}}],"schema":"https://github.com/citation-style-language/schema/raw/master/csl-citation.json"} </w:instrText>
      </w:r>
      <w:r>
        <w:rPr>
          <w:lang w:eastAsia="zh-CN"/>
        </w:rPr>
        <w:fldChar w:fldCharType="separate"/>
      </w:r>
      <w:r w:rsidRPr="00657E09">
        <w:t>(Elvidge et al., 2021)</w:t>
      </w:r>
      <w:r>
        <w:rPr>
          <w:lang w:eastAsia="zh-CN"/>
        </w:rPr>
        <w:fldChar w:fldCharType="end"/>
      </w:r>
      <w:r w:rsidRPr="0053379E">
        <w:rPr>
          <w:lang w:eastAsia="zh-CN"/>
        </w:rPr>
        <w:t xml:space="preserve"> is a collection of Earth observation data derived from the VIIRS sensor</w:t>
      </w:r>
      <w:r>
        <w:rPr>
          <w:lang w:eastAsia="zh-CN"/>
        </w:rPr>
        <w:t xml:space="preserve">, </w:t>
      </w:r>
      <w:r w:rsidRPr="0053379E">
        <w:rPr>
          <w:lang w:eastAsia="zh-CN"/>
        </w:rPr>
        <w:t>provid</w:t>
      </w:r>
      <w:r>
        <w:rPr>
          <w:lang w:eastAsia="zh-CN"/>
        </w:rPr>
        <w:t>ing</w:t>
      </w:r>
      <w:r w:rsidRPr="0053379E">
        <w:rPr>
          <w:lang w:eastAsia="zh-CN"/>
        </w:rPr>
        <w:t xml:space="preserve"> valuable information about the distribution of artificial nighttime lights</w:t>
      </w:r>
      <w:r>
        <w:rPr>
          <w:lang w:eastAsia="zh-CN"/>
        </w:rPr>
        <w:t xml:space="preserve"> (NTL)</w:t>
      </w:r>
      <w:r w:rsidRPr="0053379E">
        <w:rPr>
          <w:lang w:eastAsia="zh-CN"/>
        </w:rPr>
        <w:t xml:space="preserve"> across the globe</w:t>
      </w:r>
      <w:r>
        <w:rPr>
          <w:lang w:eastAsia="zh-CN"/>
        </w:rPr>
        <w:t>.</w:t>
      </w:r>
    </w:p>
    <w:p w14:paraId="515B1554" w14:textId="77777777" w:rsidR="00685ADE" w:rsidRDefault="00685ADE" w:rsidP="001A2B73">
      <w:pPr>
        <w:pStyle w:val="2"/>
        <w:rPr>
          <w:lang w:eastAsia="zh-CN"/>
        </w:rPr>
      </w:pPr>
      <w:r>
        <w:rPr>
          <w:lang w:eastAsia="zh-CN"/>
        </w:rPr>
        <w:t>Settlement coverage data</w:t>
      </w:r>
    </w:p>
    <w:p w14:paraId="288AECB7" w14:textId="5902F99D" w:rsidR="00EB0C17" w:rsidRDefault="00EB0C17" w:rsidP="00EB0C17">
      <w:pPr>
        <w:ind w:firstLine="420"/>
        <w:rPr>
          <w:lang w:eastAsia="zh-CN"/>
        </w:rPr>
      </w:pPr>
      <w:r>
        <w:rPr>
          <w:rFonts w:hint="eastAsia"/>
          <w:lang w:eastAsia="zh-CN"/>
        </w:rPr>
        <w:t>I</w:t>
      </w:r>
      <w:r>
        <w:rPr>
          <w:lang w:eastAsia="zh-CN"/>
        </w:rPr>
        <w:t xml:space="preserve">n this study, we adopted </w:t>
      </w:r>
      <w:r w:rsidRPr="00D3734B">
        <w:rPr>
          <w:lang w:eastAsia="zh-CN"/>
        </w:rPr>
        <w:t>World Settlement Footprint 2019 (WSF</w:t>
      </w:r>
      <w:r>
        <w:rPr>
          <w:lang w:eastAsia="zh-CN"/>
        </w:rPr>
        <w:t xml:space="preserve"> </w:t>
      </w:r>
      <w:r>
        <w:rPr>
          <w:rFonts w:hint="eastAsia"/>
          <w:lang w:eastAsia="zh-CN"/>
        </w:rPr>
        <w:t>2019</w:t>
      </w:r>
      <w:r w:rsidRPr="00D3734B">
        <w:rPr>
          <w:lang w:eastAsia="zh-CN"/>
        </w:rPr>
        <w:t>)</w:t>
      </w:r>
      <w:r>
        <w:rPr>
          <w:lang w:eastAsia="zh-CN"/>
        </w:rPr>
        <w:t xml:space="preserve"> </w:t>
      </w:r>
      <w:r>
        <w:rPr>
          <w:lang w:eastAsia="zh-CN"/>
        </w:rPr>
        <w:fldChar w:fldCharType="begin"/>
      </w:r>
      <w:r>
        <w:rPr>
          <w:lang w:eastAsia="zh-CN"/>
        </w:rPr>
        <w:instrText xml:space="preserve"> ADDIN ZOTERO_ITEM CSL_CITATION {"citationID":"a8glwGKS","properties":{"formattedCitation":"(Marconcini et al., 2021)","plainCitation":"(Marconcini et al., 2021)","noteIndex":0},"citationItems":[{"id":1883,"uris":["http://zotero.org/users/10015936/items/M7936PS5"],"itemData":{"id":1883,"type":"article-journal","abstract":"To improve the understanding of current trends in global urbanisation, we have launched the World Settlement Footprint (WSF) suite, a collection of novel datasets aimed at providing accurate, reliable and frequent information on the location and extent of human settlements, as well as on their morphology and built-up density. In this paper, we present three of its products (i.e., the WSF-Evolution, WSF2019 and WSF3D), which are expected to become an asset for national statistical offices, local authorities, academia, civil society, private sector, geospatial information community, as well as international organisations involved in the implementation of the Sustainable Development Goal 11 of the United Nations and the New Urban Agenda.","archive_location":"27 </w:instrText>
      </w:r>
      <w:r>
        <w:rPr>
          <w:rFonts w:ascii="Segoe UI Emoji" w:hAnsi="Segoe UI Emoji" w:cs="Segoe UI Emoji"/>
          <w:lang w:eastAsia="zh-CN"/>
        </w:rPr>
        <w:instrText>📊</w:instrText>
      </w:r>
      <w:r>
        <w:rPr>
          <w:lang w:eastAsia="zh-CN"/>
        </w:rPr>
        <w:instrText xml:space="preserve">","container-title":"GI_Forum","DOI":"10.1553/giscience2021_01_s33","ISSN":"2308-1708","journalAbbreviation":"giforum","language":"en","page":"33-38","title":"Understanding Current Trends in Global Urbanisation - The World Settlement Footprint Suite","volume":"1","author":[{"family":"Marconcini","given":"Mattia"},{"family":"Metz- Marconcini","given":"Annekatrin"},{"family":"Esch","given":"Thomas"},{"family":"Gorelick","given":"Noel"}],"issued":{"date-parts":[["2021"]]}}}],"schema":"https://github.com/citation-style-language/schema/raw/master/csl-citation.json"} </w:instrText>
      </w:r>
      <w:r>
        <w:rPr>
          <w:lang w:eastAsia="zh-CN"/>
        </w:rPr>
        <w:fldChar w:fldCharType="separate"/>
      </w:r>
      <w:r w:rsidRPr="00632B83">
        <w:t>(Marconcini et al., 2021)</w:t>
      </w:r>
      <w:r>
        <w:rPr>
          <w:lang w:eastAsia="zh-CN"/>
        </w:rPr>
        <w:fldChar w:fldCharType="end"/>
      </w:r>
      <w:r>
        <w:rPr>
          <w:rFonts w:hint="eastAsia"/>
          <w:lang w:eastAsia="zh-CN"/>
        </w:rPr>
        <w:t>,</w:t>
      </w:r>
      <w:r>
        <w:rPr>
          <w:lang w:eastAsia="zh-CN"/>
        </w:rPr>
        <w:t xml:space="preserve"> Microsoft Building footprint </w:t>
      </w:r>
      <w:r>
        <w:rPr>
          <w:lang w:eastAsia="zh-CN"/>
        </w:rPr>
        <w:fldChar w:fldCharType="begin"/>
      </w:r>
      <w:r>
        <w:rPr>
          <w:lang w:eastAsia="zh-CN"/>
        </w:rPr>
        <w:instrText xml:space="preserve"> ADDIN ZOTERO_ITEM CSL_CITATION {"citationID":"9L0u0joT","properties":{"formattedCitation":"(Microsoft, 2018/2018)","plainCitation":"(Microsoft, 2018/2018)","noteIndex":0},"citationItems":[{"id":2020,"uris":["http://zotero.org/users/10015936/items/WPPKJWZE"],"itemData":{"id":2020,"type":"webpage","abstract":"Computer generated building footprints for the United States","language":"en","note":"original-date: 2018-06-13T18:31:31Z","title":"Microsoft/USBuildingFootprints","URL":"https://github.com/microsoft/USBuildingFootprints","author":[{"literal":"Microsoft"}],"accessed":{"date-parts":[["2023",10,20]]},"issued":{"date-parts":[["2018",7]]}}}],"schema":"https://github.com/citation-style-language/schema/raw/master/csl-citation.json"} </w:instrText>
      </w:r>
      <w:r>
        <w:rPr>
          <w:lang w:eastAsia="zh-CN"/>
        </w:rPr>
        <w:fldChar w:fldCharType="separate"/>
      </w:r>
      <w:r w:rsidRPr="00CB61DC">
        <w:t>(Microsoft, 2018/2018)</w:t>
      </w:r>
      <w:r>
        <w:rPr>
          <w:lang w:eastAsia="zh-CN"/>
        </w:rPr>
        <w:fldChar w:fldCharType="end"/>
      </w:r>
      <w:r>
        <w:rPr>
          <w:lang w:eastAsia="zh-CN"/>
        </w:rPr>
        <w:t>, China Building Rooftop Area</w:t>
      </w:r>
      <w:r>
        <w:rPr>
          <w:lang w:eastAsia="zh-CN"/>
        </w:rPr>
        <w:fldChar w:fldCharType="begin"/>
      </w:r>
      <w:r>
        <w:rPr>
          <w:lang w:eastAsia="zh-CN"/>
        </w:rPr>
        <w:instrText xml:space="preserve"> ADDIN ZOTERO_ITEM CSL_CITATION {"citationID":"wpx2Hu9X","properties":{"formattedCitation":"(Liu et al., 2023)","plainCitation":"(Liu et al., 2023)","noteIndex":0},"citationItems":[{"id":1863,"uris":["http://zotero.org/users/10015936/items/PVDULGR7"],"itemData":{"id":1863,"type":"article-journal","abstract":"Abstract. Large-scale and multi-annual maps of building rooftop area (BRA) are crucial for addressing policy decisions and sustainable development. In\naddition, as a fine-grained indicator of human activities, BRA could\ncontribute to urban planning and energy modeling to provide benefits to human well-being. However, it is still challenging to produce a large-scale BRA due to the rather tiny sizes of individual buildings. From the viewpoint\nof classification methods, conventional approaches utilize high-resolution\naerial images (metric or submetric resolution) to map BRA; unfortunately,\nhigh-resolution imagery is both infrequently captured and expensive to\npurchase, making the BRA mapping costly and inadequate over a consistent\nspatiotemporal scale. From the viewpoint of learning strategies, there is a\nnontrivial gap that persists between the limited training references and\nthe applications over geospatial variations. Despite the difficulties,\nexisting large-scale BRA datasets, such as those from Microsoft or Google,\ndo not include China, and hence there are no full-coverage maps of BRA in China\nyet. In this paper, we first propose a deep-learning method, named the\nSpatio-Temporal aware Super-Resolution Segmentation framework (STSR-Seg), to\nachieve robust super-resolution BRA extraction from relatively\nlow-resolution imagery over a large geographic space. Then, we produce the\nmulti-annual China Building Rooftop Area (CBRA) dataset with 2.5 m\nresolution from 2016–2021 Sentinel-2 images. CBRA is the first\nfull-coverage and multi-annual BRA dataset in China. With the designed training-sample-generation algorithms and the spatiotemporally aware learning\nstrategies, CBRA achieves good performance with a F1 score of 62.55 % (+10.61 % compared with the previous BRA data in China) based\non 250 000 testing samples in urban areas and a recall of 78.94 % based\non 30 000 testing samples in rural areas. Temporal analysis shows good\nperformance consistency over years and good agreement with other\nmulti-annual impervious surface area datasets. STSR-Seg will enable low-cost, dynamic, and large-scale BRA mapping\n(https://github.com/zpl99/STSR-Seg, last access: 12 July 2023). CBRA will foster the development of BRA mapping and therefore provide basic data for sustainable research (Liu\net al., 2023; https://doi.org/10.5281/zenodo.7500612).","archive_location":"0 </w:instrText>
      </w:r>
      <w:r>
        <w:rPr>
          <w:rFonts w:ascii="Segoe UI Emoji" w:hAnsi="Segoe UI Emoji" w:cs="Segoe UI Emoji"/>
          <w:lang w:eastAsia="zh-CN"/>
        </w:rPr>
        <w:instrText>📊</w:instrText>
      </w:r>
      <w:r>
        <w:rPr>
          <w:lang w:eastAsia="zh-CN"/>
        </w:rPr>
        <w:instrText xml:space="preserve">","call-number":"1","container-title":"Earth System Science Data","DOI":"10.5194/essd-15-3547-2023","ISSN":"1866-3516","issue":"8","journalAbbreviation":"Earth Syst. Sci. Data","language":"en","note":"publisher: Copernicus GmbH","page":"3547-3572","source":"11.4 (Q1)","title":"China Building Rooftop Area: the first multi-annual (2016–2021) and high-resolution (2.5 m) building rooftop area dataset in China derived with super-resolution segmentation from Sentinel-2 imagery","title-short":"China Building Rooftop Area","volume":"15","author":[{"family":"Liu","given":"Zeping"},{"family":"Tang","given":"Hong"},{"family":"Feng","given":"Lin"},{"family":"Lyu","given":"Siqing"}],"issued":{"date-parts":[["2023",8,9]]}}}],"schema":"https://github.com/citation-style-language/schema/raw/master/csl-citation.json"} </w:instrText>
      </w:r>
      <w:r>
        <w:rPr>
          <w:lang w:eastAsia="zh-CN"/>
        </w:rPr>
        <w:fldChar w:fldCharType="separate"/>
      </w:r>
      <w:r w:rsidRPr="00632B83">
        <w:t>(Liu et al., 2023)</w:t>
      </w:r>
      <w:r>
        <w:rPr>
          <w:lang w:eastAsia="zh-CN"/>
        </w:rPr>
        <w:fldChar w:fldCharType="end"/>
      </w:r>
      <w:r>
        <w:rPr>
          <w:lang w:eastAsia="zh-CN"/>
        </w:rPr>
        <w:t xml:space="preserve">, </w:t>
      </w:r>
      <w:r w:rsidR="007A6AF7" w:rsidRPr="007A6AF7">
        <w:rPr>
          <w:lang w:eastAsia="zh-CN"/>
        </w:rPr>
        <w:t>EUBUCCO v0.1</w:t>
      </w:r>
      <w:r w:rsidR="00062EC3">
        <w:rPr>
          <w:lang w:eastAsia="zh-CN"/>
        </w:rPr>
        <w:t xml:space="preserve"> </w:t>
      </w:r>
      <w:r w:rsidR="00062EC3">
        <w:rPr>
          <w:lang w:eastAsia="zh-CN"/>
        </w:rPr>
        <w:fldChar w:fldCharType="begin"/>
      </w:r>
      <w:r w:rsidR="00062EC3">
        <w:rPr>
          <w:lang w:eastAsia="zh-CN"/>
        </w:rPr>
        <w:instrText xml:space="preserve"> ADDIN ZOTERO_ITEM CSL_CITATION {"citationID":"i5zPAKd1","properties":{"formattedCitation":"(Milojevic-Dupont et al., 2023)","plainCitation":"(Milojevic-Dupont et al., 2023)","noteIndex":0},"citationItems":[{"id":1982,"uris":["http://zotero.org/users/10015936/items/AUXJ436D"],"itemData":{"id":1982,"type":"article-journal","abstract":"Building stock management is becoming a global societal and political issue, inter alia because of growing sustainability concerns. Comprehensive and openly accessible building stock data can enable impactful research exploring the most effective policy options. In Europe, efforts from citizen and governments generated numerous relevant datasets but these are fragmented and heterogeneous, thus hindering their usability. Here, we present eubucco v0.1, a database of individual building footprints for ~202 million buildings across the 27 European Union countries and Switzerland. Three main attributes – building height, construction year and type – are included for respectively 73%, 24% and 46% of the buildings. We identify, collect and harmonize 50 open government datasets and OpenStreetMap, and perform extensive validation analyses to assess the quality, consistency and completeness of the data in every country. eubucco v0.1 provides the basis for high-resolution urban sustainability studies across scales – continental, comparative or local studies – using a centralized source and is relevant for a variety of use cases, e.g., for energy system analysis or natural hazard risk assessments. © 2023, The Author(s).","archive":"Scopus","call-number":"2","container-title":"Scientific Data","DOI":"10.1038/s41597-023-02040-2","ISSN":"2052-4463","issue":"1","journalAbbreviation":"Sci Data","language":"en","source":"9.8 (Q1)","title":"EUBUCCO v0.1: European building stock characteristics in a common and open database for 200+ million individual buildings","title-short":"EUBUCCO v0.1","URL":"https://www.nature.com/articles/s41597-023-02040-2","volume":"10","author":[{"family":"Milojevic-Dupont","given":"Nikola"},{"family":"Wagner","given":"Felix"},{"family":"Nachtigall","given":"Florian"},{"family":"Hu","given":"Jiawei"},{"family":"Brüser","given":"Geza Boi"},{"family":"Zumwald","given":"Marius"},{"family":"Biljecki","given":"Filip"},{"family":"Heeren","given":"Niko"},{"family":"Kaack","given":"Lynn H."},{"family":"Pichler","given":"Peter-Paul"},{"family":"Creutzig","given":"Felix"}],"issued":{"date-parts":[["2023"]]}}}],"schema":"https://github.com/citation-style-language/schema/raw/master/csl-citation.json"} </w:instrText>
      </w:r>
      <w:r w:rsidR="00062EC3">
        <w:rPr>
          <w:lang w:eastAsia="zh-CN"/>
        </w:rPr>
        <w:fldChar w:fldCharType="separate"/>
      </w:r>
      <w:r w:rsidR="00062EC3" w:rsidRPr="00062EC3">
        <w:t>(Milojevic-Dupont et al., 2023)</w:t>
      </w:r>
      <w:r w:rsidR="00062EC3">
        <w:rPr>
          <w:lang w:eastAsia="zh-CN"/>
        </w:rPr>
        <w:fldChar w:fldCharType="end"/>
      </w:r>
      <w:r w:rsidR="007A6AF7">
        <w:rPr>
          <w:rFonts w:hint="eastAsia"/>
          <w:lang w:eastAsia="zh-CN"/>
        </w:rPr>
        <w:t>,</w:t>
      </w:r>
      <w:r w:rsidR="007A6AF7">
        <w:rPr>
          <w:lang w:eastAsia="zh-CN"/>
        </w:rPr>
        <w:t xml:space="preserve"> </w:t>
      </w:r>
      <w:r>
        <w:rPr>
          <w:lang w:eastAsia="zh-CN"/>
        </w:rPr>
        <w:t>and G</w:t>
      </w:r>
      <w:r w:rsidRPr="00D3734B">
        <w:rPr>
          <w:lang w:eastAsia="zh-CN"/>
        </w:rPr>
        <w:t xml:space="preserve">lobal </w:t>
      </w:r>
      <w:r>
        <w:rPr>
          <w:lang w:eastAsia="zh-CN"/>
        </w:rPr>
        <w:t>A</w:t>
      </w:r>
      <w:r w:rsidRPr="00D3734B">
        <w:rPr>
          <w:lang w:eastAsia="zh-CN"/>
        </w:rPr>
        <w:t xml:space="preserve">rtificial </w:t>
      </w:r>
      <w:r>
        <w:rPr>
          <w:lang w:eastAsia="zh-CN"/>
        </w:rPr>
        <w:t>I</w:t>
      </w:r>
      <w:r w:rsidRPr="00D3734B">
        <w:rPr>
          <w:lang w:eastAsia="zh-CN"/>
        </w:rPr>
        <w:t xml:space="preserve">mpervious </w:t>
      </w:r>
      <w:r>
        <w:rPr>
          <w:lang w:eastAsia="zh-CN"/>
        </w:rPr>
        <w:t>A</w:t>
      </w:r>
      <w:r w:rsidRPr="00D3734B">
        <w:rPr>
          <w:lang w:eastAsia="zh-CN"/>
        </w:rPr>
        <w:t>rea (GAIA)</w:t>
      </w:r>
      <w:r>
        <w:rPr>
          <w:lang w:eastAsia="zh-CN"/>
        </w:rPr>
        <w:fldChar w:fldCharType="begin"/>
      </w:r>
      <w:r>
        <w:rPr>
          <w:lang w:eastAsia="zh-CN"/>
        </w:rPr>
        <w:instrText xml:space="preserve"> ADDIN ZOTERO_ITEM CSL_CITATION {"citationID":"HbwwG8cu","properties":{"formattedCitation":"(Gong et al., 2020)","plainCitation":"(Gong et al., 2020)","noteIndex":0},"citationItems":[{"id":60,"uris":["http://zotero.org/users/10015936/items/D2N6B4QM"],"itemData":{"id":60,"type":"article-journal","abstract":"Artificial impervious areas are predominant indicators of human settlements. Timely, accurate, and frequent information on artificial impervious areas is critical to understanding the process of urbanization and land use/cover change, as well as of their impacts on the environment and biodiversity. Despite their importance, there still lack annual maps of high-resolution Global Artificial Impervious Areas (GAIA) with longer than 30-year records, due to the high demand of high performance computation and the lack of effective mapping algorithms. In this paper, we mapped annual GAIA from 1985 to 2018 using the full archive of 30-m resolution Landsat images on the Google Earth Engine platform. With ancillary datasets, including the nighttime light data and the Sentinel-1 Synthetic Aperture Radar data, we improved the performance of our previously developed algorithm in arid areas. We evaluated the GAIA data for 1985, 1990, 1995, 2000, 2005, 2010, and 2015, and the mean overall accuracy is higher than 90%. A cross-product comparison indicates the GAIA data are the only dataset spanning over 30 years. The temporal trend in GAIA agrees well with other datasets at the local, regional, and global scales. Our results indicate that the GAIA reached 797,076 km2 in 2018, which is 1.5 times more than that in 1990. China and the United States (US) rank among the top two in artificial impervious area, accounting for approximately 50% of the world's total in 2018. The artificial impervious area of China surpassed that of the US in 2015. By 2018, the remaining eight among the top ten countries are India, Russia, Brazil, France, Italy, Germany, Japan, and Canada. The GAIA dataset can be freely downloaded from http://data.ess.tsinghua.edu.cn.","archive_location":"469 </w:instrText>
      </w:r>
      <w:r>
        <w:rPr>
          <w:rFonts w:ascii="Segoe UI Emoji" w:hAnsi="Segoe UI Emoji" w:cs="Segoe UI Emoji"/>
          <w:lang w:eastAsia="zh-CN"/>
        </w:rPr>
        <w:instrText>📊</w:instrText>
      </w:r>
      <w:r>
        <w:rPr>
          <w:lang w:eastAsia="zh-CN"/>
        </w:rPr>
        <w:instrText xml:space="preserve">","call-number":"1","container-title":"Remote Sensing of Environment","DOI":"10.1016/j.rse.2019.111510","ISSN":"0034-4257","journalAbbreviation":"Remote Sensing of Environment","language":"en","note":"301 citations (Semantic Scholar/DOI) [2022-11-27]","page":"111510","source":"13.5 (Q1)","title":"Annual maps of global artificial impervious area (GAIA) between 1985 and 2018","volume":"236","author":[{"family":"Gong","given":"Peng"},{"family":"Li","given":"Xuecao"},{"family":"Wang","given":"Jie"},{"family":"Bai","given":"Yuqi"},{"family":"Chen","given":"Bin"},{"family":"Hu","given":"Tengyun"},{"family":"Liu","given":"Xiaoping"},{"family":"Xu","given":"Bing"},{"family":"Yang","given":"Jun"},{"family":"Zhang","given":"Wei"},{"family":"Zhou","given":"Yuyu"}],"issued":{"date-parts":[["2020",1]]}}}],"schema":"https://github.com/citation-style-language/schema/raw/master/csl-citation.json"} </w:instrText>
      </w:r>
      <w:r>
        <w:rPr>
          <w:lang w:eastAsia="zh-CN"/>
        </w:rPr>
        <w:fldChar w:fldCharType="separate"/>
      </w:r>
      <w:r w:rsidRPr="00632B83">
        <w:t>(Gong et al., 2020)</w:t>
      </w:r>
      <w:r>
        <w:rPr>
          <w:lang w:eastAsia="zh-CN"/>
        </w:rPr>
        <w:fldChar w:fldCharType="end"/>
      </w:r>
      <w:r>
        <w:rPr>
          <w:lang w:eastAsia="zh-CN"/>
        </w:rPr>
        <w:t xml:space="preserve"> to illustrate the settlement coverage globally. </w:t>
      </w:r>
      <w:r w:rsidRPr="00037F89">
        <w:rPr>
          <w:lang w:eastAsia="zh-CN"/>
        </w:rPr>
        <w:t xml:space="preserve">The first </w:t>
      </w:r>
      <w:r w:rsidR="006E101F">
        <w:rPr>
          <w:rFonts w:hint="eastAsia"/>
          <w:lang w:eastAsia="zh-CN"/>
        </w:rPr>
        <w:t>four</w:t>
      </w:r>
      <w:r w:rsidR="006E101F">
        <w:rPr>
          <w:lang w:eastAsia="zh-CN"/>
        </w:rPr>
        <w:t xml:space="preserve"> </w:t>
      </w:r>
      <w:r>
        <w:rPr>
          <w:lang w:eastAsia="zh-CN"/>
        </w:rPr>
        <w:t>were</w:t>
      </w:r>
      <w:r w:rsidRPr="00037F89">
        <w:rPr>
          <w:lang w:eastAsia="zh-CN"/>
        </w:rPr>
        <w:t xml:space="preserve"> combined to </w:t>
      </w:r>
      <w:r>
        <w:rPr>
          <w:lang w:eastAsia="zh-CN"/>
        </w:rPr>
        <w:t>extract</w:t>
      </w:r>
      <w:r w:rsidRPr="00037F89">
        <w:rPr>
          <w:lang w:eastAsia="zh-CN"/>
        </w:rPr>
        <w:t xml:space="preserve"> the intersection and </w:t>
      </w:r>
      <w:r>
        <w:rPr>
          <w:lang w:eastAsia="zh-CN"/>
        </w:rPr>
        <w:t>calculate</w:t>
      </w:r>
      <w:r w:rsidRPr="00037F89">
        <w:rPr>
          <w:lang w:eastAsia="zh-CN"/>
        </w:rPr>
        <w:t xml:space="preserve"> a more accurate</w:t>
      </w:r>
      <w:r>
        <w:rPr>
          <w:lang w:eastAsia="zh-CN"/>
        </w:rPr>
        <w:t xml:space="preserve"> horizontal</w:t>
      </w:r>
      <w:r w:rsidRPr="00037F89">
        <w:rPr>
          <w:lang w:eastAsia="zh-CN"/>
        </w:rPr>
        <w:t xml:space="preserve"> range of building areas.</w:t>
      </w:r>
      <w:r>
        <w:rPr>
          <w:lang w:eastAsia="zh-CN"/>
        </w:rPr>
        <w:t xml:space="preserve"> </w:t>
      </w:r>
      <w:r w:rsidRPr="00037F89">
        <w:rPr>
          <w:lang w:eastAsia="zh-CN"/>
        </w:rPr>
        <w:t xml:space="preserve">GAIA </w:t>
      </w:r>
      <w:r>
        <w:rPr>
          <w:lang w:eastAsia="zh-CN"/>
        </w:rPr>
        <w:t>wa</w:t>
      </w:r>
      <w:r w:rsidRPr="00037F89">
        <w:rPr>
          <w:lang w:eastAsia="zh-CN"/>
        </w:rPr>
        <w:t xml:space="preserve">s used to </w:t>
      </w:r>
      <w:r>
        <w:rPr>
          <w:lang w:eastAsia="zh-CN"/>
        </w:rPr>
        <w:t>attach</w:t>
      </w:r>
      <w:r w:rsidRPr="00037F89">
        <w:rPr>
          <w:lang w:eastAsia="zh-CN"/>
        </w:rPr>
        <w:t xml:space="preserve"> year information to the</w:t>
      </w:r>
      <w:r>
        <w:rPr>
          <w:lang w:eastAsia="zh-CN"/>
        </w:rPr>
        <w:t xml:space="preserve"> final</w:t>
      </w:r>
      <w:r w:rsidRPr="00037F89">
        <w:rPr>
          <w:lang w:eastAsia="zh-CN"/>
        </w:rPr>
        <w:t xml:space="preserve"> obtained building</w:t>
      </w:r>
      <w:r>
        <w:rPr>
          <w:lang w:eastAsia="zh-CN"/>
        </w:rPr>
        <w:t xml:space="preserve"> dataset</w:t>
      </w:r>
      <w:r w:rsidRPr="00037F89">
        <w:rPr>
          <w:lang w:eastAsia="zh-CN"/>
        </w:rPr>
        <w:t>.</w:t>
      </w:r>
      <w:r w:rsidR="00685ADE">
        <w:rPr>
          <w:lang w:eastAsia="zh-CN"/>
        </w:rPr>
        <w:tab/>
      </w:r>
    </w:p>
    <w:p w14:paraId="07DF34FD" w14:textId="77777777" w:rsidR="00685ADE" w:rsidRDefault="00685ADE" w:rsidP="001A2B73">
      <w:pPr>
        <w:pStyle w:val="2"/>
        <w:rPr>
          <w:lang w:eastAsia="zh-CN"/>
        </w:rPr>
      </w:pPr>
      <w:r>
        <w:rPr>
          <w:lang w:eastAsia="zh-CN"/>
        </w:rPr>
        <w:t>Other dataset products</w:t>
      </w:r>
    </w:p>
    <w:p w14:paraId="19007A7F" w14:textId="0AE1EC8D" w:rsidR="00685ADE" w:rsidRDefault="00685ADE" w:rsidP="00685ADE">
      <w:pPr>
        <w:rPr>
          <w:lang w:eastAsia="zh-CN"/>
        </w:rPr>
      </w:pPr>
      <w:r>
        <w:rPr>
          <w:lang w:eastAsia="zh-CN"/>
        </w:rPr>
        <w:tab/>
      </w:r>
      <w:r>
        <w:rPr>
          <w:rFonts w:hint="eastAsia"/>
          <w:lang w:eastAsia="zh-CN"/>
        </w:rPr>
        <w:t>In</w:t>
      </w:r>
      <w:r>
        <w:rPr>
          <w:lang w:eastAsia="zh-CN"/>
        </w:rPr>
        <w:t xml:space="preserve"> this study, we adopted World population and Global Canopy Height 2020 </w:t>
      </w:r>
      <w:r>
        <w:rPr>
          <w:lang w:eastAsia="zh-CN"/>
        </w:rPr>
        <w:fldChar w:fldCharType="begin"/>
      </w:r>
      <w:r>
        <w:rPr>
          <w:lang w:eastAsia="zh-CN"/>
        </w:rPr>
        <w:instrText xml:space="preserve"> ADDIN ZOTERO_ITEM CSL_CITATION {"citationID":"wfBUeFdl","properties":{"formattedCitation":"(Lang et al., 2022)","plainCitation":"(Lang et al., 2022)","noteIndex":0},"citationItems":[{"id":1873,"uris":["http://zotero.org/users/10015936/items/ZZ3ZP4E6"],"itemData":{"id":1873,"type":"article","abstract":"The worldwide variation in vegetation height is fundamental to the global carbon cycle and central to the functioning of ecosystems and their biodiversity. Geospatially explicit and, ideally, highly resolved information is required to manage terrestrial ecosystems, mitigate climate change, and prevent biodiversity loss. Here, we present the first global, wall-to-wall canopy height map at 10 m ground sampling distance for the year 2020. No single data source meets these requirements: dedicated space missions like GEDI deliver sparse height data, with unprecedented coverage, whereas optical satellite images like Sentinel-2 offer dense observations globally, but cannot directly measure vertical structures. By fusing GEDI with Sentinel-2, we have developed a probabilistic deep learning model to retrieve canopy height from Sentinel-2 images anywhere on Earth, and to quantify the uncertainty in these estimates. The presented approach reduces the saturation effect commonly encountered when estimating canopy height from satellite images, allowing to resolve tall canopies with likely high carbon stocks. According to our map, only 5% of the global landmass is covered by trees taller than 30 m. Such data play an important role for conservation, e.g., we find that only 34% of these tall canopies are located within protected areas. Our model enables consistent, uncertainty-informed worldwide mapping and supports an ongoing monitoring to detect change and inform decision making. The approach can serve ongoing efforts in forest conservation, and has the potential to foster advances in climate, carbon, and biodiversity modelling.","DOI":"10.48550/arXiv.2204.08322","language":"en","note":"arXiv:2204.08322 [cs, eess]","number":"arXiv:2204.08322","publisher":"arXiv","title":"A high-resolution canopy height model of the Earth","URL":"http://arxiv.org/abs/2204.08322","author":[{"family":"Lang","given":"Nico"},{"family":"Jetz","given":"Walter"},{"family":"Schindler","given":"Konrad"},{"family":"Wegner","given":"Jan Dirk"}],"accessed":{"date-parts":[["2023",9,20]]},"issued":{"date-parts":[["2022",4,13]]}}}],"schema":"https://github.com/citation-style-language/schema/raw/master/csl-citation.json"} </w:instrText>
      </w:r>
      <w:r>
        <w:rPr>
          <w:lang w:eastAsia="zh-CN"/>
        </w:rPr>
        <w:fldChar w:fldCharType="separate"/>
      </w:r>
      <w:r w:rsidRPr="00632B83">
        <w:t>(Lang et al., 2022)</w:t>
      </w:r>
      <w:r>
        <w:rPr>
          <w:lang w:eastAsia="zh-CN"/>
        </w:rPr>
        <w:fldChar w:fldCharType="end"/>
      </w:r>
      <w:r>
        <w:rPr>
          <w:lang w:eastAsia="zh-CN"/>
        </w:rPr>
        <w:t xml:space="preserve"> as two independent input variables.</w:t>
      </w:r>
      <w:r>
        <w:rPr>
          <w:rFonts w:hint="eastAsia"/>
          <w:lang w:eastAsia="zh-CN"/>
        </w:rPr>
        <w:t xml:space="preserve"> </w:t>
      </w:r>
      <w:r>
        <w:rPr>
          <w:lang w:eastAsia="zh-CN"/>
        </w:rPr>
        <w:t xml:space="preserve">Global Building Height </w:t>
      </w:r>
      <w:r>
        <w:rPr>
          <w:lang w:eastAsia="zh-CN"/>
        </w:rPr>
        <w:fldChar w:fldCharType="begin"/>
      </w:r>
      <w:r>
        <w:rPr>
          <w:lang w:eastAsia="zh-CN"/>
        </w:rPr>
        <w:instrText xml:space="preserve"> ADDIN ZOTERO_ITEM CSL_CITATION {"citationID":"Luy7G5Gr","properties":{"formattedCitation":"(He et al., 2023)","plainCitation":"(He et al., 2023)","noteIndex":0},"citationItems":[{"id":1619,"uris":["http://zotero.org/users/10015936/items/YAULDATQ"],"itemData":{"id":1619,"type":"article-journal","abstract":"Understanding the spatiotemporal dynamics of global 3D urban expansion over time is becoming increasingly crucial for achieving long-term development goals. In this study, we generated a global dataset of annual urban 3D expansion (1990–2010) using World Settlement Footprint 2015 data, GAIA data, and ALOS AW3D30 data with a three-step technical framework: (1) extracting the global constructed land to generate the research area, (2) neighborhood analysis to calculate the original normalized DSM and slope height of each pixel in the study area, and (3) slope correction for areas with a slope greater than 10° to improve the accuracy of estimated building heights. The cross-validation results indicate that our dataset is reliable in the United States(R2 = 0.821), Europe(R2 = 0.863), China(R2 = 0.796), and across the world(R2 = 0.811). As we know, this is the first 30-meter 3D urban expansion dataset across the globe, which can give unique information to understand and address the implications of urbanization on food security, biodiversity, climate change, and public well-being and health.","archive_location":"1 </w:instrText>
      </w:r>
      <w:r>
        <w:rPr>
          <w:rFonts w:ascii="Segoe UI Emoji" w:hAnsi="Segoe UI Emoji" w:cs="Segoe UI Emoji"/>
          <w:lang w:eastAsia="zh-CN"/>
        </w:rPr>
        <w:instrText>📊</w:instrText>
      </w:r>
      <w:r>
        <w:rPr>
          <w:lang w:eastAsia="zh-CN"/>
        </w:rPr>
        <w:instrText xml:space="preserve">","call-number":"2","container-title":"Scientific Data","DOI":"10.1038/s41597-023-02240-w","ISSN":"2052-4463","issue":"1","journalAbbreviation":"Sci Data","language":"en","license":"2023 The Author(s)","note":"number: 1\npublisher: Nature Publishing Group","page":"321","source":"9.8 (Q1)","title":"Global 30 meters spatiotemporal 3D urban expansion dataset from 1990 to 2010","volume":"10","author":[{"family":"He","given":"Tingting"},{"family":"Wang","given":"Kechao"},{"family":"Xiao","given":"Wu"},{"family":"Xu","given":"Suchen"},{"family":"Li","given":"Mengmeng"},{"family":"Yang","given":"Runjia"},{"family":"Yue","given":"Wenze"}],"issued":{"date-parts":[["2023",5,26]]}}}],"schema":"https://github.com/citation-style-language/schema/raw/master/csl-citation.json"} </w:instrText>
      </w:r>
      <w:r>
        <w:rPr>
          <w:lang w:eastAsia="zh-CN"/>
        </w:rPr>
        <w:fldChar w:fldCharType="separate"/>
      </w:r>
      <w:r w:rsidRPr="00632B83">
        <w:t>(He et al., 2023)</w:t>
      </w:r>
      <w:r>
        <w:rPr>
          <w:lang w:eastAsia="zh-CN"/>
        </w:rPr>
        <w:fldChar w:fldCharType="end"/>
      </w:r>
      <w:r>
        <w:rPr>
          <w:lang w:eastAsia="zh-CN"/>
        </w:rPr>
        <w:t xml:space="preserve"> </w:t>
      </w:r>
      <w:r>
        <w:rPr>
          <w:rFonts w:hint="eastAsia"/>
          <w:lang w:eastAsia="zh-CN"/>
        </w:rPr>
        <w:t>and</w:t>
      </w:r>
      <w:r>
        <w:rPr>
          <w:lang w:eastAsia="zh-CN"/>
        </w:rPr>
        <w:t xml:space="preserve"> GEDI data were used as the l</w:t>
      </w:r>
      <w:r w:rsidRPr="00037F89">
        <w:rPr>
          <w:lang w:eastAsia="zh-CN"/>
        </w:rPr>
        <w:t>abeled data for the training set</w:t>
      </w:r>
      <w:r>
        <w:rPr>
          <w:lang w:eastAsia="zh-CN"/>
        </w:rPr>
        <w:t xml:space="preserve">, </w:t>
      </w:r>
      <w:r w:rsidRPr="00E12535">
        <w:rPr>
          <w:lang w:eastAsia="zh-CN"/>
        </w:rPr>
        <w:t>showcasing the heights of buildings constructed before 2010</w:t>
      </w:r>
      <w:r>
        <w:rPr>
          <w:lang w:eastAsia="zh-CN"/>
        </w:rPr>
        <w:t>.</w:t>
      </w:r>
      <w:r w:rsidR="00EB0C17" w:rsidRPr="00EB0C17">
        <w:rPr>
          <w:lang w:eastAsia="zh-CN"/>
        </w:rPr>
        <w:t xml:space="preserve"> </w:t>
      </w:r>
      <w:r w:rsidR="00EB0C17" w:rsidRPr="0024475A">
        <w:rPr>
          <w:lang w:eastAsia="zh-CN"/>
        </w:rPr>
        <w:t xml:space="preserve">To validate our estimated dataset, we collected publicly available reference height data from various sources for different cities. </w:t>
      </w:r>
      <w:r w:rsidR="00EB0C17" w:rsidRPr="0024475A">
        <w:rPr>
          <w:lang w:eastAsia="zh-CN"/>
        </w:rPr>
        <w:lastRenderedPageBreak/>
        <w:t xml:space="preserve">Specifically, for </w:t>
      </w:r>
      <w:r w:rsidR="004E51F7">
        <w:rPr>
          <w:lang w:eastAsia="zh-CN"/>
        </w:rPr>
        <w:t>Europe</w:t>
      </w:r>
      <w:r w:rsidR="00EB0C17" w:rsidRPr="0024475A">
        <w:rPr>
          <w:lang w:eastAsia="zh-CN"/>
        </w:rPr>
        <w:t xml:space="preserve">, reference height data for the year 2012 was obtained from the Copernicus Global Land Service (https://land.copernicus.eu). </w:t>
      </w:r>
      <w:r w:rsidR="004E51F7">
        <w:rPr>
          <w:lang w:eastAsia="zh-CN"/>
        </w:rPr>
        <w:t>For</w:t>
      </w:r>
      <w:r w:rsidR="00EB0C17" w:rsidRPr="0024475A">
        <w:rPr>
          <w:lang w:eastAsia="zh-CN"/>
        </w:rPr>
        <w:t xml:space="preserve"> </w:t>
      </w:r>
      <w:r w:rsidR="004E51F7">
        <w:rPr>
          <w:lang w:eastAsia="zh-CN"/>
        </w:rPr>
        <w:t>the US</w:t>
      </w:r>
      <w:r w:rsidR="00EB0C17" w:rsidRPr="0024475A">
        <w:rPr>
          <w:lang w:eastAsia="zh-CN"/>
        </w:rPr>
        <w:t>, publicly available datasets were retrieved from the local government's website for the year 2015 (</w:t>
      </w:r>
      <w:r w:rsidR="004E51F7" w:rsidRPr="004E51F7">
        <w:rPr>
          <w:lang w:eastAsia="zh-CN"/>
        </w:rPr>
        <w:t>see Table 2 for details</w:t>
      </w:r>
      <w:r w:rsidR="00EB0C17" w:rsidRPr="0024475A">
        <w:rPr>
          <w:lang w:eastAsia="zh-CN"/>
        </w:rPr>
        <w:t xml:space="preserve">), which includes vector data of building footprints with vertical features for urban areas. For </w:t>
      </w:r>
      <w:r w:rsidR="00833A8F">
        <w:rPr>
          <w:lang w:eastAsia="zh-CN"/>
        </w:rPr>
        <w:t>China</w:t>
      </w:r>
      <w:r w:rsidR="00EB0C17" w:rsidRPr="0024475A">
        <w:rPr>
          <w:lang w:eastAsia="zh-CN"/>
        </w:rPr>
        <w:t xml:space="preserve">, building height references for the year 2010, expressed as floor numbers, were collected from </w:t>
      </w:r>
      <w:r w:rsidR="00EB0C17">
        <w:rPr>
          <w:lang w:eastAsia="zh-CN"/>
        </w:rPr>
        <w:t xml:space="preserve">AMAP </w:t>
      </w:r>
      <w:r w:rsidR="00EB0C17" w:rsidRPr="0024475A">
        <w:rPr>
          <w:lang w:eastAsia="zh-CN"/>
        </w:rPr>
        <w:t xml:space="preserve">(https://amap.com/). It was assumed that each floor corresponds to a height of 3 meters for all buildings </w:t>
      </w:r>
      <w:r w:rsidR="00EB0C17">
        <w:fldChar w:fldCharType="begin"/>
      </w:r>
      <w:r w:rsidR="00EB0C17">
        <w:instrText xml:space="preserve"> ADDIN ZOTERO_ITEM CSL_CITATION {"citationID":"QW7xms6l","properties":{"formattedCitation":"(Lin et al., 2018)","plainCitation":"(Lin et al., 2018)","noteIndex":0},"citationItems":[{"id":121,"uris":["http://zotero.org/users/10015936/items/GMDTA3TF"],"itemData":{"id":121,"type":"article-journal","abstract":"Cities with lakes must balance the relationship between development and preservation of the natural landscape. Tall buildings are important in urban development, while landscape destruction and visual pollution caused by tall buildings have attracted more attention. Many qualitative or quantitative restrictions for building height have been designated along lakefronts. However, it is unclear whether the public accepts these restricted heights. This study aimed to assess the effects of building height and lake width on public preferences for lake landscapes. Two experiments were designed with two common lake scenarios. Three levels of building height crossed with three levels of lake width were presented in nine synthetic lake landscapes in each experiment, which were assessed by 50 participants using a psychological evaluation tool, namely the Affect Grid. The results showed that when lake width was within the Close View range with only trees on the other side of the lake, a lake landscape with the heights of buildings' visible part moderately less than average height of the trees contour was preferred over rigidly restricting that all buildings be barely visible. For lake landscapes with mountains in the background, it was found that a lake-wide threshold existed between 0.6 km and 1.8 km. Using this threshold, the Medium View range could be reclassified so that a lake width within this range might correspond to a particular type of building height restriction. These findings provide a reference for urban planners and suggest that lakes can be categorized on the basis of lake width and, in this category, building height can be restricted more appropriately.","container-title":"Environmental Impact Assessment Review","DOI":"10.1016/j.eiar.2018.03.001","ISSN":"0195-9255","journalAbbreviation":"Environmental Impact Assessment Review","language":"en","note":"22 citations (Semantic Scholar/DOI) [2022-11-27]","page":"22-33","source":"7.9 (Q1)","title":"Preferences for a lake landscape: Effects of building height and lake width","title-short":"Preferences for a lake landscape","volume":"70","author":[{"family":"Lin","given":"Li"},{"family":"Homma","given":"Riken"},{"family":"Iki","given":"Kazuhisa"}],"issued":{"date-parts":[["2018",5,1]]}}}],"schema":"https://github.com/citation-style-language/schema/raw/master/csl-citation.json"} </w:instrText>
      </w:r>
      <w:r w:rsidR="00EB0C17">
        <w:fldChar w:fldCharType="separate"/>
      </w:r>
      <w:r w:rsidR="00EB0C17" w:rsidRPr="00B96975">
        <w:t>(Lin et al., 2018)</w:t>
      </w:r>
      <w:r w:rsidR="00EB0C17">
        <w:fldChar w:fldCharType="end"/>
      </w:r>
      <w:r w:rsidR="00EB0C17" w:rsidRPr="0024475A">
        <w:rPr>
          <w:lang w:eastAsia="zh-CN"/>
        </w:rPr>
        <w:t xml:space="preserve">. </w:t>
      </w:r>
    </w:p>
    <w:p w14:paraId="52C92D4E" w14:textId="77777777" w:rsidR="005437EA" w:rsidRDefault="005437EA" w:rsidP="005437EA">
      <w:pPr>
        <w:pStyle w:val="2"/>
        <w:rPr>
          <w:lang w:eastAsia="zh-CN"/>
        </w:rPr>
      </w:pPr>
      <w:r w:rsidRPr="00B41561">
        <w:rPr>
          <w:lang w:eastAsia="zh-CN"/>
        </w:rPr>
        <w:t>Administrative</w:t>
      </w:r>
      <w:r>
        <w:rPr>
          <w:lang w:eastAsia="zh-CN"/>
        </w:rPr>
        <w:t>,</w:t>
      </w:r>
      <w:r w:rsidRPr="00F73E36">
        <w:rPr>
          <w:lang w:eastAsia="zh-CN"/>
        </w:rPr>
        <w:t xml:space="preserve"> </w:t>
      </w:r>
      <w:r>
        <w:rPr>
          <w:lang w:eastAsia="zh-CN"/>
        </w:rPr>
        <w:t>p</w:t>
      </w:r>
      <w:r w:rsidRPr="00F73E36">
        <w:rPr>
          <w:lang w:eastAsia="zh-CN"/>
        </w:rPr>
        <w:t>opulation and economic data</w:t>
      </w:r>
    </w:p>
    <w:p w14:paraId="0ADBD82A" w14:textId="77777777" w:rsidR="005437EA" w:rsidRDefault="005437EA" w:rsidP="005437EA">
      <w:pPr>
        <w:ind w:firstLine="420"/>
        <w:rPr>
          <w:lang w:eastAsia="zh-CN"/>
        </w:rPr>
      </w:pPr>
      <w:r w:rsidRPr="00987C04">
        <w:rPr>
          <w:lang w:eastAsia="zh-CN"/>
        </w:rPr>
        <w:t xml:space="preserve">The global major city and country administrative areas were </w:t>
      </w:r>
      <w:r w:rsidRPr="00987C04">
        <w:rPr>
          <w:rFonts w:hint="eastAsia"/>
          <w:lang w:eastAsia="zh-CN"/>
        </w:rPr>
        <w:t>generated</w:t>
      </w:r>
      <w:r w:rsidRPr="00987C04">
        <w:rPr>
          <w:lang w:eastAsia="zh-CN"/>
        </w:rPr>
        <w:t xml:space="preserve"> from the GAIA dataset</w:t>
      </w:r>
      <w:r>
        <w:rPr>
          <w:lang w:eastAsia="zh-CN"/>
        </w:rPr>
        <w:t xml:space="preserve"> </w:t>
      </w:r>
      <w:r>
        <w:rPr>
          <w:lang w:eastAsia="zh-CN"/>
        </w:rPr>
        <w:fldChar w:fldCharType="begin"/>
      </w:r>
      <w:r>
        <w:rPr>
          <w:lang w:eastAsia="zh-CN"/>
        </w:rPr>
        <w:instrText xml:space="preserve"> ADDIN ZOTERO_ITEM CSL_CITATION {"citationID":"IhCpnsSm","properties":{"formattedCitation":"(X. Li, Gong, et al., 2020)","plainCitation":"(X. Li, Gong, et al., 2020)","noteIndex":0},"citationItems":[{"id":87,"uris":["http://zotero.org/users/10015936/items/PMACBVMY"],"itemData":{"id":87,"type":"article-journal","abstract":"Abstract\n            \n              Urban boundaries, an essential property of cities, are widely used in many urban studies. However, extracting urban boundaries from satellite images is still a great challenge, especially at a global scale and a fine resolution. In this study, we developed an automatic delineation framework to generate a multi-temporal dataset of global urban boundaries (GUB) using 30 m global artificial impervious area (GAIA) data. First, we delineated an initial urban boundary by filling inner non-urban areas of each city. A kernel density estimation approach and cellular-automata based urban growth modeling were jointly used in this step. Second, we improved the initial urban boundaries around urban fringe areas, using a morphological approach by dilating and eroding the derived urban extent. We implemented this delineation on the Google Earth Engine platform and generated a 30 m resolution global urban boundary dataset in seven representative years (i.e. 1990, 1995, 2000, 2005, 2010, 2015, and 2018). Our extracted urban boundaries show a good agreement with results derived from nighttime light data and human interpretation, and they can well delineate the urban extent of cities when compared with high-resolution Google Earth images. The total area of 65 582 GUBs, each of which exceeds 1 km\n              2\n              , is 809 664 km\n              2\n              in 2018. The impervious surface areas account for approximately 60% of the total. From 1990 to 2018, the proportion of impervious areas in delineated boundaries increased from 53% to 60%, suggesting a compact urban growth over the past decades. We found that the United States has the highest per capita urban area (i.e. more than 900 m\n              2\n              ) among the top 10 most urbanized nations in 2018. This dataset provides a physical boundary of urban areas that can be used to study the impact of urbanization on food security, biodiversity, climate change, and urban health. The GUB dataset can be accessed from\n              http://data.ess.tsinghua.edu.cn\n              .","call-number":"2","container-title":"Environmental Research Letters","DOI":"10.1088/1748-9326/ab9be3","ISSN":"1748-9326","issue":"9","journalAbbreviation":"Environ. Res. Lett.","language":"en","note":"103 citations (Semantic Scholar/DOI) [2022-11-27]","page":"094044","source":"6.7 (Q1)","title":"Mapping global urban boundaries from the global artificial impervious area (GAIA) data","volume":"15","author":[{"family":"Li","given":"Xuecao"},{"family":"Gong","given":"Peng"},{"family":"Zhou","given":"Yuyu"},{"family":"Wang","given":"Jie"},{"family":"Bai","given":"Yuqi"},{"family":"Chen","given":"Bin"},{"family":"Hu","given":"Tengyun"},{"family":"Xiao","given":"Yixiong"},{"family":"Xu","given":"Bing"},{"family":"Yang","given":"Jun"},{"family":"Liu","given":"Xiaoping"},{"family":"Cai","given":"Wenjia"},{"family":"Huang","given":"Huabing"},{"family":"Wu","given":"Tinghai"},{"family":"Wang","given":"Xi"},{"family":"Lin","given":"Peng"},{"family":"Li","given":"Xun"},{"family":"Chen","given":"Jin"},{"family":"He","given":"Chunyang"},{"family":"Li","given":"Xia"},{"family":"Yu","given":"Le"},{"family":"Clinton","given":"Nicholas"},{"family":"Zhu","given":"Zhiliang"}],"issued":{"date-parts":[["2020",9,1]]}}}],"schema":"https://github.com/citation-style-language/schema/raw/master/csl-citation.json"} </w:instrText>
      </w:r>
      <w:r>
        <w:rPr>
          <w:lang w:eastAsia="zh-CN"/>
        </w:rPr>
        <w:fldChar w:fldCharType="separate"/>
      </w:r>
      <w:r w:rsidRPr="002623B5">
        <w:t>(X. Li, Gong, et al., 2020)</w:t>
      </w:r>
      <w:r>
        <w:rPr>
          <w:lang w:eastAsia="zh-CN"/>
        </w:rPr>
        <w:fldChar w:fldCharType="end"/>
      </w:r>
      <w:r w:rsidRPr="00987C04">
        <w:rPr>
          <w:lang w:eastAsia="zh-CN"/>
        </w:rPr>
        <w:t xml:space="preserve"> </w:t>
      </w:r>
      <w:r w:rsidRPr="000F26F4">
        <w:rPr>
          <w:lang w:eastAsia="zh-CN"/>
        </w:rPr>
        <w:t>and</w:t>
      </w:r>
      <w:r w:rsidRPr="00B41561">
        <w:t xml:space="preserve"> </w:t>
      </w:r>
      <w:r w:rsidRPr="00B41561">
        <w:rPr>
          <w:lang w:eastAsia="zh-CN"/>
        </w:rPr>
        <w:t>the Database of Global Administrative Areas (GADM)</w:t>
      </w:r>
      <w:r>
        <w:rPr>
          <w:lang w:eastAsia="zh-CN"/>
        </w:rPr>
        <w:t>, respectively</w:t>
      </w:r>
      <w:r w:rsidRPr="00B41561">
        <w:rPr>
          <w:lang w:eastAsia="zh-CN"/>
        </w:rPr>
        <w:t>.</w:t>
      </w:r>
      <w:r>
        <w:rPr>
          <w:lang w:eastAsia="zh-CN"/>
        </w:rPr>
        <w:t xml:space="preserve"> The global major city refers to </w:t>
      </w:r>
      <w:r w:rsidRPr="008634FE">
        <w:rPr>
          <w:lang w:eastAsia="zh-CN"/>
        </w:rPr>
        <w:t>contiguous impervious surfaces with a built-up area exceeding 50km²</w:t>
      </w:r>
      <w:r w:rsidRPr="00BB579C">
        <w:rPr>
          <w:lang w:eastAsia="zh-CN"/>
        </w:rPr>
        <w:t>. Consequently, it may encompass cities spanning two or more administrative levels.</w:t>
      </w:r>
      <w:r>
        <w:rPr>
          <w:lang w:eastAsia="zh-CN"/>
        </w:rPr>
        <w:t xml:space="preserve"> </w:t>
      </w:r>
      <w:r w:rsidRPr="00EE5087">
        <w:rPr>
          <w:lang w:eastAsia="zh-CN"/>
        </w:rPr>
        <w:t xml:space="preserve">The 100m resolution </w:t>
      </w:r>
      <w:r w:rsidRPr="00EE5087">
        <w:rPr>
          <w:rFonts w:hint="eastAsia"/>
          <w:lang w:eastAsia="zh-CN"/>
        </w:rPr>
        <w:t>gridded</w:t>
      </w:r>
      <w:r w:rsidRPr="00EE5087">
        <w:rPr>
          <w:lang w:eastAsia="zh-CN"/>
        </w:rPr>
        <w:t xml:space="preserve"> population data were obtained from </w:t>
      </w:r>
      <w:proofErr w:type="spellStart"/>
      <w:r w:rsidRPr="00EE5087">
        <w:rPr>
          <w:lang w:eastAsia="zh-CN"/>
        </w:rPr>
        <w:t>WorldPop</w:t>
      </w:r>
      <w:proofErr w:type="spellEnd"/>
      <w:r w:rsidRPr="00EE5087">
        <w:rPr>
          <w:lang w:eastAsia="zh-CN"/>
        </w:rPr>
        <w:t xml:space="preserve"> </w:t>
      </w:r>
      <w:r w:rsidRPr="005017E9">
        <w:rPr>
          <w:lang w:eastAsia="zh-CN"/>
        </w:rPr>
        <w:t>via the Google Earth Engine (GEE) platform</w:t>
      </w:r>
      <w:r>
        <w:rPr>
          <w:lang w:eastAsia="zh-CN"/>
        </w:rPr>
        <w:t xml:space="preserve"> </w:t>
      </w:r>
      <w:r>
        <w:rPr>
          <w:lang w:eastAsia="zh-CN"/>
        </w:rPr>
        <w:fldChar w:fldCharType="begin"/>
      </w:r>
      <w:r>
        <w:rPr>
          <w:lang w:eastAsia="zh-CN"/>
        </w:rPr>
        <w:instrText xml:space="preserve"> ADDIN ZOTERO_ITEM CSL_CITATION {"citationID":"893SR5hh","properties":{"formattedCitation":"(Sorichetta et al., 2015)","plainCitation":"(Sorichetta et al., 2015)","noteIndex":0},"citationItems":[{"id":1877,"uris":["http://zotero.org/users/10015936/items/UXM6JJ32"],"itemData":{"id":1877,"type":"article-journal","abstract":"The Latin America and the Caribbean region is one of the most urbanized regions in the world, with a total population of around 630 million that is expected to increase by 25% by 2050. In this context, detailed and contemporary datasets accurately describing the distribution of residential population in the region are required for measuring the impacts of population growth, monitoring changes, supporting environmental and health applications, and planning interventions. To support these needs, an open access archive of high-resolution gridded population datasets was created through disaggregation of the most recent official population count data available for 28 countries located in the region. These datasets are described here along with the approach and methods used to create and validate them. For each country, population distribution datasets, having a resolution of 3 arc seconds (approximately 100 m at the equator), were produced for the population count year, as well as for 2010, 2015, and 2020. All these products are available both through the WorldPop Project website and the WorldPop Dataverse Repository.","archive_location":"161 </w:instrText>
      </w:r>
      <w:r>
        <w:rPr>
          <w:rFonts w:ascii="Segoe UI Emoji" w:hAnsi="Segoe UI Emoji" w:cs="Segoe UI Emoji"/>
          <w:lang w:eastAsia="zh-CN"/>
        </w:rPr>
        <w:instrText>📊</w:instrText>
      </w:r>
      <w:r>
        <w:rPr>
          <w:lang w:eastAsia="zh-CN"/>
        </w:rPr>
        <w:instrText xml:space="preserve">","call-number":"2","container-title":"Scientific Data","DOI":"10.1038/sdata.2015.45","ISSN":"2052-4463","issue":"1","journalAbbreviation":"Sci Data","language":"en","license":"2015 The Author(s)","note":"number: 1\npublisher: Nature Publishing Group","page":"150045","source":"9.8 (Q1)","title":"High-resolution gridded population datasets for Latin America and the Caribbean in 2010, 2015, and 2020","volume":"2","author":[{"family":"Sorichetta","given":"Alessandro"},{"family":"Hornby","given":"Graeme M."},{"family":"Stevens","given":"Forrest R."},{"family":"Gaughan","given":"Andrea E."},{"family":"Linard","given":"Catherine"},{"family":"Tatem","given":"Andrew J."}],"issued":{"date-parts":[["2015",9,1]]}}}],"schema":"https://github.com/citation-style-language/schema/raw/master/csl-citation.json"} </w:instrText>
      </w:r>
      <w:r>
        <w:rPr>
          <w:lang w:eastAsia="zh-CN"/>
        </w:rPr>
        <w:fldChar w:fldCharType="separate"/>
      </w:r>
      <w:r w:rsidRPr="00EE5087">
        <w:t>(Sorichetta et al., 2015)</w:t>
      </w:r>
      <w:r>
        <w:rPr>
          <w:lang w:eastAsia="zh-CN"/>
        </w:rPr>
        <w:fldChar w:fldCharType="end"/>
      </w:r>
      <w:r w:rsidRPr="00F73E36">
        <w:rPr>
          <w:lang w:eastAsia="zh-CN"/>
        </w:rPr>
        <w:t xml:space="preserve">, which was </w:t>
      </w:r>
      <w:r>
        <w:rPr>
          <w:lang w:eastAsia="zh-CN"/>
        </w:rPr>
        <w:t xml:space="preserve">then </w:t>
      </w:r>
      <w:r w:rsidRPr="00F73E36">
        <w:rPr>
          <w:lang w:eastAsia="zh-CN"/>
        </w:rPr>
        <w:t xml:space="preserve">adjusted to the </w:t>
      </w:r>
      <w:r>
        <w:rPr>
          <w:lang w:eastAsia="zh-CN"/>
        </w:rPr>
        <w:t>city</w:t>
      </w:r>
      <w:r w:rsidRPr="00F73E36">
        <w:rPr>
          <w:lang w:eastAsia="zh-CN"/>
        </w:rPr>
        <w:t>-level</w:t>
      </w:r>
      <w:r>
        <w:rPr>
          <w:lang w:eastAsia="zh-CN"/>
        </w:rPr>
        <w:t>.</w:t>
      </w:r>
      <w:r w:rsidRPr="00F73E36">
        <w:rPr>
          <w:lang w:eastAsia="zh-CN"/>
        </w:rPr>
        <w:t xml:space="preserve"> </w:t>
      </w:r>
      <w:r w:rsidRPr="00EE5087">
        <w:rPr>
          <w:lang w:eastAsia="zh-CN"/>
        </w:rPr>
        <w:t xml:space="preserve">The </w:t>
      </w:r>
      <w:r w:rsidRPr="00BA335E">
        <w:rPr>
          <w:lang w:eastAsia="zh-CN"/>
        </w:rPr>
        <w:t xml:space="preserve">1 km × 1 km gridded revised real gross domestic product </w:t>
      </w:r>
      <w:r w:rsidRPr="00EE5087">
        <w:rPr>
          <w:lang w:eastAsia="zh-CN"/>
        </w:rPr>
        <w:t xml:space="preserve">were obtained from </w:t>
      </w:r>
      <w:r>
        <w:rPr>
          <w:lang w:eastAsia="zh-CN"/>
        </w:rPr>
        <w:t xml:space="preserve">Chen et al. </w:t>
      </w:r>
      <w:r>
        <w:rPr>
          <w:lang w:eastAsia="zh-CN"/>
        </w:rPr>
        <w:fldChar w:fldCharType="begin"/>
      </w:r>
      <w:r>
        <w:rPr>
          <w:lang w:eastAsia="zh-CN"/>
        </w:rPr>
        <w:instrText xml:space="preserve"> ADDIN ZOTERO_ITEM CSL_CITATION {"citationID":"ESzfJYPQ","properties":{"formattedCitation":"(Chen et al., 2022)","plainCitation":"(Chen et al., 2022)","dontUpdate":true,"noteIndex":0},"citationItems":[{"id":2321,"uris":["http://zotero.org/users/10015936/items/LR3RJZ8Y"],"itemData":{"id":2321,"type":"article-journal","abstract":"As fundamental data, gross domestic product (GDP) and electricity consumption can be used to effectively evaluate economic status and living standards of residents. Some scholars have estimated gridded GDP and electricity consumption. However, such gridded data have shortcomings, including overestimating real GDP growth, ignoring the heterogeneity of the spatiotemporal dynamics of the grid, and limited time-span. Simultaneously, the Defense Meteorological Satellite Program’s Operational Linescan System (DMSP/OLS) and National Polar-orbiting Partnership’s Visible Infrared Imaging Radiometer (NPP/VIIRS) nighttime light data, adopted in these studies as a proxy tool, still facing shortcomings, such as imperfect matching results, discontinuity in temporal and spatial changes. In this study, we employed a series of methods, such as a particle swarm optimization-back propagation (PSO-BP) algorithm, to unify the scales of DMSP/OLS and NPP/VIIRS images and obtain continuous 1 km × 1 km gridded nighttime light data during 1992–2019. Subsequently, from a revised real growth perspective, we employed a top-down method to calculate global 1 km × 1 km gridded revised real GDP and electricity consumption during 1992–2019 based on our calibrated nighttime light data.","archive_location":"1 </w:instrText>
      </w:r>
      <w:r>
        <w:rPr>
          <w:rFonts w:ascii="Segoe UI Emoji" w:hAnsi="Segoe UI Emoji" w:cs="Segoe UI Emoji"/>
          <w:lang w:eastAsia="zh-CN"/>
        </w:rPr>
        <w:instrText>📊</w:instrText>
      </w:r>
      <w:r>
        <w:rPr>
          <w:lang w:eastAsia="zh-CN"/>
        </w:rPr>
        <w:instrText xml:space="preserve">","call-number":"2","container-title":"Scientific Data","DOI":"10.1038/s41597-022-01322-5","ISSN":"2052-4463","issue":"1","journalAbbreviation":"Sci Data","language":"en","license":"2022 The Author(s)","note":"number: 1\npublisher: Nature Publishing Group","page":"202","source":"9.8 (Q1)","title":"Global 1 km × 1 km gridded revised real gross domestic product and electricity consumption during 1992–2019 based on calibrated nighttime light data","volume":"9","author":[{"family":"Chen","given":"Jiandong"},{"family":"Gao","given":"Ming"},{"family":"Cheng","given":"Shulei"},{"family":"Hou","given":"Wenxuan"},{"family":"Song","given":"Malin"},{"family":"Liu","given":"Xin"},{"family":"Liu","given":"Yu"}],"issued":{"date-parts":[["2022",5,12]]}}}],"schema":"https://github.com/citation-style-language/schema/raw/master/csl-citation.json"} </w:instrText>
      </w:r>
      <w:r>
        <w:rPr>
          <w:lang w:eastAsia="zh-CN"/>
        </w:rPr>
        <w:fldChar w:fldCharType="separate"/>
      </w:r>
      <w:r w:rsidRPr="00BA335E">
        <w:t>(2022)</w:t>
      </w:r>
      <w:r>
        <w:rPr>
          <w:lang w:eastAsia="zh-CN"/>
        </w:rPr>
        <w:fldChar w:fldCharType="end"/>
      </w:r>
      <w:r>
        <w:rPr>
          <w:lang w:eastAsia="zh-CN"/>
        </w:rPr>
        <w:t xml:space="preserve">. </w:t>
      </w:r>
      <w:r w:rsidRPr="00F73E36">
        <w:rPr>
          <w:lang w:eastAsia="zh-CN"/>
        </w:rPr>
        <w:t>The World Bank classifies economies as low income (&lt;$1025), lower middle income ($1026–$3995), upper middle income ($3996–$12,375), or high income (more than $12,375) based on the GNI per capita in 2018. In this study,</w:t>
      </w:r>
      <w:r>
        <w:rPr>
          <w:lang w:eastAsia="zh-CN"/>
        </w:rPr>
        <w:t xml:space="preserve"> </w:t>
      </w:r>
      <w:r>
        <w:rPr>
          <w:rFonts w:hint="eastAsia"/>
          <w:lang w:eastAsia="zh-CN"/>
        </w:rPr>
        <w:t>w</w:t>
      </w:r>
      <w:r w:rsidRPr="00CD02A2">
        <w:rPr>
          <w:lang w:eastAsia="zh-CN"/>
        </w:rPr>
        <w:t>e use</w:t>
      </w:r>
      <w:r>
        <w:rPr>
          <w:lang w:eastAsia="zh-CN"/>
        </w:rPr>
        <w:t>d</w:t>
      </w:r>
      <w:r w:rsidRPr="00CD02A2">
        <w:rPr>
          <w:lang w:eastAsia="zh-CN"/>
        </w:rPr>
        <w:t xml:space="preserve"> the same classification criteria for per capita GNI as applied to per capita GDP.</w:t>
      </w:r>
      <w:r>
        <w:rPr>
          <w:lang w:eastAsia="zh-CN"/>
        </w:rPr>
        <w:t xml:space="preserve"> W</w:t>
      </w:r>
      <w:r w:rsidRPr="00F73E36">
        <w:rPr>
          <w:lang w:eastAsia="zh-CN"/>
        </w:rPr>
        <w:t xml:space="preserve">e calculated </w:t>
      </w:r>
      <w:r w:rsidRPr="00F73E36">
        <w:rPr>
          <w:lang w:eastAsia="zh-CN"/>
        </w:rPr>
        <w:lastRenderedPageBreak/>
        <w:t>the ratio (</w:t>
      </w:r>
      <m:oMath>
        <m:sSub>
          <m:sSubPr>
            <m:ctrlPr>
              <w:rPr>
                <w:rFonts w:ascii="Cambria Math" w:hAnsi="Cambria Math"/>
                <w:i/>
                <w:lang w:eastAsia="zh-CN"/>
              </w:rPr>
            </m:ctrlPr>
          </m:sSubPr>
          <m:e>
            <m:r>
              <w:rPr>
                <w:rFonts w:ascii="Cambria Math" w:hAnsi="Cambria Math"/>
                <w:lang w:eastAsia="zh-CN"/>
              </w:rPr>
              <m:t>R</m:t>
            </m:r>
          </m:e>
          <m:sub>
            <m:r>
              <w:rPr>
                <w:rFonts w:ascii="Cambria Math" w:hAnsi="Cambria Math"/>
                <w:lang w:eastAsia="zh-CN"/>
              </w:rPr>
              <m:t>ep</m:t>
            </m:r>
          </m:sub>
        </m:sSub>
      </m:oMath>
      <w:r>
        <w:rPr>
          <w:rFonts w:hint="eastAsia"/>
          <w:lang w:eastAsia="zh-CN"/>
        </w:rPr>
        <w:t>,</w:t>
      </w:r>
      <w:r>
        <w:rPr>
          <w:lang w:eastAsia="zh-CN"/>
        </w:rPr>
        <w:t xml:space="preserve"> Eq. 3</w:t>
      </w:r>
      <w:r w:rsidRPr="00F73E36">
        <w:rPr>
          <w:lang w:eastAsia="zh-CN"/>
        </w:rPr>
        <w:t xml:space="preserve">) of the </w:t>
      </w:r>
      <m:oMath>
        <m:sSub>
          <m:sSubPr>
            <m:ctrlPr>
              <w:rPr>
                <w:rFonts w:ascii="Cambria Math" w:hAnsi="Cambria Math"/>
                <w:i/>
                <w:lang w:eastAsia="zh-CN"/>
              </w:rPr>
            </m:ctrlPr>
          </m:sSubPr>
          <m:e>
            <m:r>
              <w:rPr>
                <w:rFonts w:ascii="Cambria Math" w:hAnsi="Cambria Math"/>
                <w:lang w:eastAsia="zh-CN"/>
              </w:rPr>
              <m:t>UBE</m:t>
            </m:r>
          </m:e>
          <m:sub>
            <m:r>
              <w:rPr>
                <w:rFonts w:ascii="Cambria Math" w:hAnsi="Cambria Math" w:hint="eastAsia"/>
                <w:lang w:eastAsia="zh-CN"/>
              </w:rPr>
              <m:t>r</m:t>
            </m:r>
          </m:sub>
        </m:sSub>
      </m:oMath>
      <w:r w:rsidRPr="00F73E36">
        <w:rPr>
          <w:lang w:eastAsia="zh-CN"/>
        </w:rPr>
        <w:t xml:space="preserve"> to the </w:t>
      </w:r>
      <m:oMath>
        <m:sSub>
          <m:sSubPr>
            <m:ctrlPr>
              <w:rPr>
                <w:rFonts w:ascii="Cambria Math" w:hAnsi="Cambria Math"/>
                <w:i/>
                <w:lang w:eastAsia="zh-CN"/>
              </w:rPr>
            </m:ctrlPr>
          </m:sSubPr>
          <m:e>
            <m:r>
              <w:rPr>
                <w:rFonts w:ascii="Cambria Math" w:hAnsi="Cambria Math"/>
                <w:lang w:eastAsia="zh-CN"/>
              </w:rPr>
              <m:t>PG</m:t>
            </m:r>
          </m:e>
          <m:sub>
            <m:r>
              <w:rPr>
                <w:rFonts w:ascii="Cambria Math" w:hAnsi="Cambria Math" w:hint="eastAsia"/>
                <w:lang w:eastAsia="zh-CN"/>
              </w:rPr>
              <m:t>r</m:t>
            </m:r>
          </m:sub>
        </m:sSub>
      </m:oMath>
      <w:r w:rsidRPr="00F73E36">
        <w:rPr>
          <w:lang w:eastAsia="zh-CN"/>
        </w:rPr>
        <w:t xml:space="preserve"> for the </w:t>
      </w:r>
      <w:r>
        <w:rPr>
          <w:lang w:eastAsia="zh-CN"/>
        </w:rPr>
        <w:t>2071</w:t>
      </w:r>
      <w:r w:rsidRPr="00F73E36">
        <w:rPr>
          <w:lang w:eastAsia="zh-CN"/>
        </w:rPr>
        <w:t xml:space="preserve"> </w:t>
      </w:r>
      <w:r>
        <w:rPr>
          <w:lang w:eastAsia="zh-CN"/>
        </w:rPr>
        <w:t>major</w:t>
      </w:r>
      <w:r w:rsidRPr="00F73E36">
        <w:rPr>
          <w:lang w:eastAsia="zh-CN"/>
        </w:rPr>
        <w:t xml:space="preserve"> cities. For each large city, the</w:t>
      </w:r>
      <w:r>
        <w:rPr>
          <w:lang w:eastAsia="zh-CN"/>
        </w:rPr>
        <w:t xml:space="preserve"> </w:t>
      </w:r>
      <m:oMath>
        <m:sSub>
          <m:sSubPr>
            <m:ctrlPr>
              <w:rPr>
                <w:rFonts w:ascii="Cambria Math" w:hAnsi="Cambria Math"/>
                <w:i/>
                <w:lang w:eastAsia="zh-CN"/>
              </w:rPr>
            </m:ctrlPr>
          </m:sSubPr>
          <m:e>
            <m:r>
              <w:rPr>
                <w:rFonts w:ascii="Cambria Math" w:hAnsi="Cambria Math"/>
                <w:lang w:eastAsia="zh-CN"/>
              </w:rPr>
              <m:t>UBE</m:t>
            </m:r>
          </m:e>
          <m:sub>
            <m:r>
              <w:rPr>
                <w:rFonts w:ascii="Cambria Math" w:hAnsi="Cambria Math" w:hint="eastAsia"/>
                <w:lang w:eastAsia="zh-CN"/>
              </w:rPr>
              <m:t>r</m:t>
            </m:r>
          </m:sub>
        </m:sSub>
      </m:oMath>
      <w:r w:rsidRPr="00F73E36">
        <w:rPr>
          <w:lang w:eastAsia="zh-CN"/>
        </w:rPr>
        <w:t xml:space="preserve"> and </w:t>
      </w:r>
      <m:oMath>
        <m:sSub>
          <m:sSubPr>
            <m:ctrlPr>
              <w:rPr>
                <w:rFonts w:ascii="Cambria Math" w:hAnsi="Cambria Math"/>
                <w:i/>
                <w:lang w:eastAsia="zh-CN"/>
              </w:rPr>
            </m:ctrlPr>
          </m:sSubPr>
          <m:e>
            <m:r>
              <w:rPr>
                <w:rFonts w:ascii="Cambria Math" w:hAnsi="Cambria Math"/>
                <w:lang w:eastAsia="zh-CN"/>
              </w:rPr>
              <m:t>PG</m:t>
            </m:r>
          </m:e>
          <m:sub>
            <m:r>
              <w:rPr>
                <w:rFonts w:ascii="Cambria Math" w:hAnsi="Cambria Math" w:hint="eastAsia"/>
                <w:lang w:eastAsia="zh-CN"/>
              </w:rPr>
              <m:t>r</m:t>
            </m:r>
          </m:sub>
        </m:sSub>
      </m:oMath>
      <w:r w:rsidRPr="00F73E36">
        <w:rPr>
          <w:lang w:eastAsia="zh-CN"/>
        </w:rPr>
        <w:t xml:space="preserve"> were defined as follows:</w:t>
      </w:r>
    </w:p>
    <w:p w14:paraId="2F007A08" w14:textId="3A79F18D" w:rsidR="005437EA" w:rsidRPr="00BA6A3E" w:rsidRDefault="00B65B80" w:rsidP="005437EA">
      <w:pPr>
        <w:ind w:firstLine="420"/>
        <w:rPr>
          <w:lang w:eastAsia="zh-CN"/>
        </w:rPr>
      </w:pPr>
      <m:oMathPara>
        <m:oMath>
          <m:eqArr>
            <m:eqArrPr>
              <m:maxDist m:val="1"/>
              <m:ctrlPr>
                <w:rPr>
                  <w:rFonts w:ascii="Cambria Math" w:hAnsi="Cambria Math"/>
                  <w:i/>
                  <w:lang w:eastAsia="zh-CN"/>
                </w:rPr>
              </m:ctrlPr>
            </m:eqArrPr>
            <m:e>
              <m:sSub>
                <m:sSubPr>
                  <m:ctrlPr>
                    <w:rPr>
                      <w:rFonts w:ascii="Cambria Math" w:hAnsi="Cambria Math"/>
                      <w:i/>
                      <w:lang w:eastAsia="zh-CN"/>
                    </w:rPr>
                  </m:ctrlPr>
                </m:sSubPr>
                <m:e>
                  <m:r>
                    <w:rPr>
                      <w:rFonts w:ascii="Cambria Math" w:hAnsi="Cambria Math"/>
                      <w:lang w:eastAsia="zh-CN"/>
                    </w:rPr>
                    <m:t>UBE</m:t>
                  </m:r>
                </m:e>
                <m:sub>
                  <m:r>
                    <w:rPr>
                      <w:rFonts w:ascii="Cambria Math" w:hAnsi="Cambria Math" w:hint="eastAsia"/>
                      <w:lang w:eastAsia="zh-CN"/>
                    </w:rPr>
                    <m:t>r</m:t>
                  </m:r>
                </m:sub>
              </m:sSub>
              <m:r>
                <w:rPr>
                  <w:rFonts w:ascii="Cambria Math" w:hAnsi="Cambria Math"/>
                  <w:lang w:eastAsia="zh-CN"/>
                </w:rPr>
                <m:t>=</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UBV</m:t>
                      </m:r>
                    </m:e>
                    <m:sub>
                      <m:r>
                        <w:rPr>
                          <w:rFonts w:ascii="Cambria Math" w:hAnsi="Cambria Math"/>
                          <w:lang w:eastAsia="zh-CN"/>
                        </w:rPr>
                        <m:t>2020</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UBV</m:t>
                      </m:r>
                    </m:e>
                    <m:sub>
                      <m:r>
                        <w:rPr>
                          <w:rFonts w:ascii="Cambria Math" w:hAnsi="Cambria Math"/>
                          <w:lang w:eastAsia="zh-CN"/>
                        </w:rPr>
                        <m:t>2000</m:t>
                      </m:r>
                    </m:sub>
                  </m:sSub>
                </m:num>
                <m:den>
                  <m:sSub>
                    <m:sSubPr>
                      <m:ctrlPr>
                        <w:rPr>
                          <w:rFonts w:ascii="Cambria Math" w:hAnsi="Cambria Math"/>
                          <w:i/>
                          <w:lang w:eastAsia="zh-CN"/>
                        </w:rPr>
                      </m:ctrlPr>
                    </m:sSubPr>
                    <m:e>
                      <m:r>
                        <w:rPr>
                          <w:rFonts w:ascii="Cambria Math" w:hAnsi="Cambria Math"/>
                          <w:lang w:eastAsia="zh-CN"/>
                        </w:rPr>
                        <m:t>UBV</m:t>
                      </m:r>
                    </m:e>
                    <m:sub>
                      <m:r>
                        <w:rPr>
                          <w:rFonts w:ascii="Cambria Math" w:hAnsi="Cambria Math"/>
                          <w:lang w:eastAsia="zh-CN"/>
                        </w:rPr>
                        <m:t>2000</m:t>
                      </m:r>
                    </m:sub>
                  </m:sSub>
                </m:den>
              </m:f>
              <m:r>
                <w:rPr>
                  <w:rFonts w:ascii="Cambria Math" w:hAnsi="Cambria Math"/>
                  <w:lang w:eastAsia="zh-CN"/>
                </w:rPr>
                <m:t>#</m:t>
              </m:r>
              <m:d>
                <m:dPr>
                  <m:ctrlPr>
                    <w:rPr>
                      <w:rFonts w:ascii="Cambria Math" w:hAnsi="Cambria Math"/>
                      <w:i/>
                      <w:lang w:eastAsia="zh-CN"/>
                    </w:rPr>
                  </m:ctrlPr>
                </m:dPr>
                <m:e>
                  <m:r>
                    <w:rPr>
                      <w:rFonts w:ascii="Cambria Math" w:hAnsi="Cambria Math"/>
                      <w:lang w:eastAsia="zh-CN"/>
                    </w:rPr>
                    <m:t>9</m:t>
                  </m:r>
                </m:e>
              </m:d>
            </m:e>
          </m:eqArr>
        </m:oMath>
      </m:oMathPara>
    </w:p>
    <w:p w14:paraId="40565647" w14:textId="77777777" w:rsidR="005437EA" w:rsidRPr="00BA6A3E" w:rsidRDefault="005437EA" w:rsidP="005437EA">
      <w:pPr>
        <w:ind w:firstLine="420"/>
        <w:rPr>
          <w:lang w:eastAsia="zh-CN"/>
        </w:rPr>
      </w:pPr>
    </w:p>
    <w:p w14:paraId="4B38C5AC" w14:textId="0F9F09DA" w:rsidR="005437EA" w:rsidRPr="00BA6A3E" w:rsidRDefault="00B65B80" w:rsidP="005437EA">
      <w:pPr>
        <w:ind w:firstLine="420"/>
        <w:rPr>
          <w:lang w:eastAsia="zh-CN"/>
        </w:rPr>
      </w:pPr>
      <m:oMathPara>
        <m:oMath>
          <m:eqArr>
            <m:eqArrPr>
              <m:maxDist m:val="1"/>
              <m:ctrlPr>
                <w:rPr>
                  <w:rFonts w:ascii="Cambria Math" w:hAnsi="Cambria Math"/>
                  <w:i/>
                  <w:lang w:eastAsia="zh-CN"/>
                </w:rPr>
              </m:ctrlPr>
            </m:eqArrPr>
            <m:e>
              <m:sSub>
                <m:sSubPr>
                  <m:ctrlPr>
                    <w:rPr>
                      <w:rFonts w:ascii="Cambria Math" w:hAnsi="Cambria Math"/>
                      <w:i/>
                      <w:lang w:eastAsia="zh-CN"/>
                    </w:rPr>
                  </m:ctrlPr>
                </m:sSubPr>
                <m:e>
                  <m:r>
                    <w:rPr>
                      <w:rFonts w:ascii="Cambria Math" w:hAnsi="Cambria Math"/>
                      <w:lang w:eastAsia="zh-CN"/>
                    </w:rPr>
                    <m:t>PG</m:t>
                  </m:r>
                </m:e>
                <m:sub>
                  <m:r>
                    <w:rPr>
                      <w:rFonts w:ascii="Cambria Math" w:hAnsi="Cambria Math" w:hint="eastAsia"/>
                      <w:lang w:eastAsia="zh-CN"/>
                    </w:rPr>
                    <m:t>r</m:t>
                  </m:r>
                </m:sub>
              </m:sSub>
              <m:r>
                <w:rPr>
                  <w:rFonts w:ascii="Cambria Math" w:hAnsi="Cambria Math"/>
                  <w:lang w:eastAsia="zh-CN"/>
                </w:rPr>
                <m:t>=</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P</m:t>
                      </m:r>
                    </m:e>
                    <m:sub>
                      <m:r>
                        <w:rPr>
                          <w:rFonts w:ascii="Cambria Math" w:hAnsi="Cambria Math"/>
                          <w:lang w:eastAsia="zh-CN"/>
                        </w:rPr>
                        <m:t>2020</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P</m:t>
                      </m:r>
                    </m:e>
                    <m:sub>
                      <m:r>
                        <w:rPr>
                          <w:rFonts w:ascii="Cambria Math" w:hAnsi="Cambria Math"/>
                          <w:lang w:eastAsia="zh-CN"/>
                        </w:rPr>
                        <m:t>2000</m:t>
                      </m:r>
                    </m:sub>
                  </m:sSub>
                </m:num>
                <m:den>
                  <m:sSub>
                    <m:sSubPr>
                      <m:ctrlPr>
                        <w:rPr>
                          <w:rFonts w:ascii="Cambria Math" w:hAnsi="Cambria Math"/>
                          <w:i/>
                          <w:lang w:eastAsia="zh-CN"/>
                        </w:rPr>
                      </m:ctrlPr>
                    </m:sSubPr>
                    <m:e>
                      <m:r>
                        <w:rPr>
                          <w:rFonts w:ascii="Cambria Math" w:hAnsi="Cambria Math"/>
                          <w:lang w:eastAsia="zh-CN"/>
                        </w:rPr>
                        <m:t>P</m:t>
                      </m:r>
                    </m:e>
                    <m:sub>
                      <m:r>
                        <w:rPr>
                          <w:rFonts w:ascii="Cambria Math" w:hAnsi="Cambria Math"/>
                          <w:lang w:eastAsia="zh-CN"/>
                        </w:rPr>
                        <m:t>2000</m:t>
                      </m:r>
                    </m:sub>
                  </m:sSub>
                </m:den>
              </m:f>
              <m:r>
                <w:rPr>
                  <w:rFonts w:ascii="Cambria Math" w:hAnsi="Cambria Math"/>
                  <w:lang w:eastAsia="zh-CN"/>
                </w:rPr>
                <m:t>#</m:t>
              </m:r>
              <m:d>
                <m:dPr>
                  <m:ctrlPr>
                    <w:rPr>
                      <w:rFonts w:ascii="Cambria Math" w:hAnsi="Cambria Math"/>
                      <w:i/>
                      <w:lang w:eastAsia="zh-CN"/>
                    </w:rPr>
                  </m:ctrlPr>
                </m:dPr>
                <m:e>
                  <m:r>
                    <w:rPr>
                      <w:rFonts w:ascii="Cambria Math" w:hAnsi="Cambria Math"/>
                      <w:lang w:eastAsia="zh-CN"/>
                    </w:rPr>
                    <m:t>10</m:t>
                  </m:r>
                </m:e>
              </m:d>
            </m:e>
          </m:eqArr>
        </m:oMath>
      </m:oMathPara>
    </w:p>
    <w:p w14:paraId="5C043631" w14:textId="77777777" w:rsidR="005437EA" w:rsidRPr="00BA6A3E" w:rsidRDefault="005437EA" w:rsidP="005437EA">
      <w:pPr>
        <w:ind w:firstLine="420"/>
        <w:rPr>
          <w:lang w:eastAsia="zh-CN"/>
        </w:rPr>
      </w:pPr>
    </w:p>
    <w:p w14:paraId="289FE66B" w14:textId="1E215FE7" w:rsidR="005437EA" w:rsidRPr="00BA6A3E" w:rsidRDefault="00B65B80" w:rsidP="005437EA">
      <w:pPr>
        <w:ind w:firstLine="420"/>
        <w:rPr>
          <w:lang w:eastAsia="zh-CN"/>
        </w:rPr>
      </w:pPr>
      <m:oMathPara>
        <m:oMath>
          <m:eqArr>
            <m:eqArrPr>
              <m:maxDist m:val="1"/>
              <m:ctrlPr>
                <w:rPr>
                  <w:rFonts w:ascii="Cambria Math" w:hAnsi="Cambria Math"/>
                  <w:i/>
                  <w:lang w:eastAsia="zh-CN"/>
                </w:rPr>
              </m:ctrlPr>
            </m:eqArrPr>
            <m:e>
              <m:sSub>
                <m:sSubPr>
                  <m:ctrlPr>
                    <w:rPr>
                      <w:rFonts w:ascii="Cambria Math" w:hAnsi="Cambria Math"/>
                      <w:i/>
                      <w:lang w:eastAsia="zh-CN"/>
                    </w:rPr>
                  </m:ctrlPr>
                </m:sSubPr>
                <m:e>
                  <m:r>
                    <w:rPr>
                      <w:rFonts w:ascii="Cambria Math" w:hAnsi="Cambria Math"/>
                      <w:lang w:eastAsia="zh-CN"/>
                    </w:rPr>
                    <m:t>R</m:t>
                  </m:r>
                </m:e>
                <m:sub>
                  <m:r>
                    <w:rPr>
                      <w:rFonts w:ascii="Cambria Math" w:hAnsi="Cambria Math"/>
                      <w:lang w:eastAsia="zh-CN"/>
                    </w:rPr>
                    <m:t>ep</m:t>
                  </m:r>
                </m:sub>
              </m:sSub>
              <m:r>
                <w:rPr>
                  <w:rFonts w:ascii="Cambria Math" w:hAnsi="Cambria Math"/>
                  <w:lang w:eastAsia="zh-CN"/>
                </w:rPr>
                <m:t>=</m:t>
              </m:r>
              <m:f>
                <m:fPr>
                  <m:ctrlPr>
                    <w:rPr>
                      <w:rFonts w:ascii="Cambria Math" w:hAnsi="Cambria Math"/>
                      <w:i/>
                      <w:lang w:eastAsia="zh-CN"/>
                    </w:rPr>
                  </m:ctrlPr>
                </m:fPr>
                <m:num>
                  <m:sSub>
                    <m:sSubPr>
                      <m:ctrlPr>
                        <w:rPr>
                          <w:rFonts w:ascii="Cambria Math" w:hAnsi="Cambria Math"/>
                          <w:i/>
                          <w:lang w:eastAsia="zh-CN"/>
                        </w:rPr>
                      </m:ctrlPr>
                    </m:sSubPr>
                    <m:e>
                      <m:r>
                        <w:rPr>
                          <w:rFonts w:ascii="Cambria Math" w:hAnsi="Cambria Math"/>
                          <w:lang w:eastAsia="zh-CN"/>
                        </w:rPr>
                        <m:t>UBE</m:t>
                      </m:r>
                    </m:e>
                    <m:sub>
                      <m:r>
                        <w:rPr>
                          <w:rFonts w:ascii="Cambria Math" w:hAnsi="Cambria Math" w:hint="eastAsia"/>
                          <w:lang w:eastAsia="zh-CN"/>
                        </w:rPr>
                        <m:t>r</m:t>
                      </m:r>
                    </m:sub>
                  </m:sSub>
                </m:num>
                <m:den>
                  <m:sSub>
                    <m:sSubPr>
                      <m:ctrlPr>
                        <w:rPr>
                          <w:rFonts w:ascii="Cambria Math" w:hAnsi="Cambria Math"/>
                          <w:i/>
                          <w:lang w:eastAsia="zh-CN"/>
                        </w:rPr>
                      </m:ctrlPr>
                    </m:sSubPr>
                    <m:e>
                      <m:r>
                        <w:rPr>
                          <w:rFonts w:ascii="Cambria Math" w:hAnsi="Cambria Math"/>
                          <w:lang w:eastAsia="zh-CN"/>
                        </w:rPr>
                        <m:t>PG</m:t>
                      </m:r>
                    </m:e>
                    <m:sub>
                      <m:r>
                        <w:rPr>
                          <w:rFonts w:ascii="Cambria Math" w:hAnsi="Cambria Math" w:hint="eastAsia"/>
                          <w:lang w:eastAsia="zh-CN"/>
                        </w:rPr>
                        <m:t>r</m:t>
                      </m:r>
                    </m:sub>
                  </m:sSub>
                </m:den>
              </m:f>
              <m:r>
                <w:rPr>
                  <w:rFonts w:ascii="Cambria Math" w:hAnsi="Cambria Math"/>
                  <w:lang w:eastAsia="zh-CN"/>
                </w:rPr>
                <m:t>#</m:t>
              </m:r>
              <m:d>
                <m:dPr>
                  <m:ctrlPr>
                    <w:rPr>
                      <w:rFonts w:ascii="Cambria Math" w:hAnsi="Cambria Math"/>
                      <w:i/>
                      <w:lang w:eastAsia="zh-CN"/>
                    </w:rPr>
                  </m:ctrlPr>
                </m:dPr>
                <m:e>
                  <m:r>
                    <w:rPr>
                      <w:rFonts w:ascii="Cambria Math" w:hAnsi="Cambria Math"/>
                      <w:lang w:eastAsia="zh-CN"/>
                    </w:rPr>
                    <m:t>11</m:t>
                  </m:r>
                </m:e>
              </m:d>
            </m:e>
          </m:eqArr>
        </m:oMath>
      </m:oMathPara>
    </w:p>
    <w:p w14:paraId="66FA0CB4" w14:textId="1D0D4B51" w:rsidR="00685ADE" w:rsidRPr="00E25319" w:rsidRDefault="005437EA" w:rsidP="00685ADE">
      <w:pPr>
        <w:rPr>
          <w:lang w:eastAsia="zh-CN"/>
        </w:rPr>
      </w:pPr>
      <w:r w:rsidRPr="00F73E36">
        <w:rPr>
          <w:lang w:eastAsia="zh-CN"/>
        </w:rPr>
        <w:t>Where</w:t>
      </w:r>
      <w:r>
        <w:rPr>
          <w:lang w:eastAsia="zh-CN"/>
        </w:rPr>
        <w:t xml:space="preserve"> </w:t>
      </w:r>
      <m:oMath>
        <m:sSub>
          <m:sSubPr>
            <m:ctrlPr>
              <w:rPr>
                <w:rFonts w:ascii="Cambria Math" w:hAnsi="Cambria Math"/>
                <w:lang w:eastAsia="zh-CN"/>
              </w:rPr>
            </m:ctrlPr>
          </m:sSubPr>
          <m:e>
            <m:r>
              <w:rPr>
                <w:rFonts w:ascii="Cambria Math" w:hAnsi="Cambria Math"/>
                <w:lang w:eastAsia="zh-CN"/>
              </w:rPr>
              <m:t>UBE</m:t>
            </m:r>
          </m:e>
          <m:sub>
            <m:r>
              <w:rPr>
                <w:rFonts w:ascii="Cambria Math" w:hAnsi="Cambria Math" w:hint="eastAsia"/>
                <w:lang w:eastAsia="zh-CN"/>
              </w:rPr>
              <m:t>r</m:t>
            </m:r>
          </m:sub>
        </m:sSub>
      </m:oMath>
      <w:r>
        <w:rPr>
          <w:rFonts w:hint="eastAsia"/>
          <w:lang w:eastAsia="zh-CN"/>
        </w:rPr>
        <w:t xml:space="preserve"> r</w:t>
      </w:r>
      <w:r>
        <w:rPr>
          <w:lang w:eastAsia="zh-CN"/>
        </w:rPr>
        <w:t>epresents the urban building expansion rate,</w:t>
      </w:r>
      <w:r w:rsidRPr="00F73E36">
        <w:rPr>
          <w:lang w:eastAsia="zh-CN"/>
        </w:rPr>
        <w:t xml:space="preserve"> </w:t>
      </w:r>
      <m:oMath>
        <m:sSub>
          <m:sSubPr>
            <m:ctrlPr>
              <w:rPr>
                <w:rFonts w:ascii="Cambria Math" w:hAnsi="Cambria Math"/>
                <w:lang w:eastAsia="zh-CN"/>
              </w:rPr>
            </m:ctrlPr>
          </m:sSubPr>
          <m:e>
            <m:r>
              <w:rPr>
                <w:rFonts w:ascii="Cambria Math" w:hAnsi="Cambria Math"/>
                <w:lang w:eastAsia="zh-CN"/>
              </w:rPr>
              <m:t>UBV</m:t>
            </m:r>
          </m:e>
          <m:sub>
            <m:r>
              <m:rPr>
                <m:sty m:val="p"/>
              </m:rPr>
              <w:rPr>
                <w:rFonts w:ascii="Cambria Math" w:hAnsi="Cambria Math"/>
                <w:lang w:eastAsia="zh-CN"/>
              </w:rPr>
              <m:t>2020</m:t>
            </m:r>
          </m:sub>
        </m:sSub>
      </m:oMath>
      <w:r w:rsidRPr="00F73E36">
        <w:rPr>
          <w:lang w:eastAsia="zh-CN"/>
        </w:rPr>
        <w:t xml:space="preserve"> and</w:t>
      </w:r>
      <w:r>
        <w:rPr>
          <w:lang w:eastAsia="zh-CN"/>
        </w:rPr>
        <w:t xml:space="preserve"> </w:t>
      </w:r>
      <m:oMath>
        <m:sSub>
          <m:sSubPr>
            <m:ctrlPr>
              <w:rPr>
                <w:rFonts w:ascii="Cambria Math" w:hAnsi="Cambria Math"/>
                <w:lang w:eastAsia="zh-CN"/>
              </w:rPr>
            </m:ctrlPr>
          </m:sSubPr>
          <m:e>
            <m:r>
              <w:rPr>
                <w:rFonts w:ascii="Cambria Math" w:hAnsi="Cambria Math"/>
                <w:lang w:eastAsia="zh-CN"/>
              </w:rPr>
              <m:t>UBV</m:t>
            </m:r>
          </m:e>
          <m:sub>
            <m:r>
              <m:rPr>
                <m:sty m:val="p"/>
              </m:rPr>
              <w:rPr>
                <w:rFonts w:ascii="Cambria Math" w:hAnsi="Cambria Math"/>
                <w:lang w:eastAsia="zh-CN"/>
              </w:rPr>
              <m:t>2000</m:t>
            </m:r>
          </m:sub>
        </m:sSub>
      </m:oMath>
      <w:r w:rsidRPr="00F73E36">
        <w:rPr>
          <w:lang w:eastAsia="zh-CN"/>
        </w:rPr>
        <w:t xml:space="preserve"> are the </w:t>
      </w:r>
      <w:r>
        <w:rPr>
          <w:lang w:eastAsia="zh-CN"/>
        </w:rPr>
        <w:t>building volumes</w:t>
      </w:r>
      <w:r w:rsidRPr="00F73E36">
        <w:rPr>
          <w:lang w:eastAsia="zh-CN"/>
        </w:rPr>
        <w:t xml:space="preserve"> of </w:t>
      </w:r>
      <w:r>
        <w:rPr>
          <w:lang w:eastAsia="zh-CN"/>
        </w:rPr>
        <w:t>a</w:t>
      </w:r>
      <w:r w:rsidRPr="00F73E36">
        <w:rPr>
          <w:lang w:eastAsia="zh-CN"/>
        </w:rPr>
        <w:t xml:space="preserve"> large city in </w:t>
      </w:r>
      <w:r>
        <w:rPr>
          <w:lang w:eastAsia="zh-CN"/>
        </w:rPr>
        <w:t>2020</w:t>
      </w:r>
      <w:r w:rsidRPr="00F73E36">
        <w:rPr>
          <w:lang w:eastAsia="zh-CN"/>
        </w:rPr>
        <w:t xml:space="preserve"> and 200</w:t>
      </w:r>
      <w:r>
        <w:rPr>
          <w:lang w:eastAsia="zh-CN"/>
        </w:rPr>
        <w:t>0</w:t>
      </w:r>
      <w:r w:rsidRPr="00F73E36">
        <w:rPr>
          <w:lang w:eastAsia="zh-CN"/>
        </w:rPr>
        <w:t>, respectively.</w:t>
      </w:r>
      <w:r>
        <w:rPr>
          <w:lang w:eastAsia="zh-CN"/>
        </w:rPr>
        <w:t xml:space="preserve"> </w:t>
      </w:r>
      <m:oMath>
        <m:sSub>
          <m:sSubPr>
            <m:ctrlPr>
              <w:rPr>
                <w:rFonts w:ascii="Cambria Math" w:hAnsi="Cambria Math"/>
                <w:lang w:eastAsia="zh-CN"/>
              </w:rPr>
            </m:ctrlPr>
          </m:sSubPr>
          <m:e>
            <m:r>
              <w:rPr>
                <w:rFonts w:ascii="Cambria Math" w:hAnsi="Cambria Math"/>
                <w:lang w:eastAsia="zh-CN"/>
              </w:rPr>
              <m:t>PG</m:t>
            </m:r>
          </m:e>
          <m:sub>
            <m:r>
              <w:rPr>
                <w:rFonts w:ascii="Cambria Math" w:hAnsi="Cambria Math" w:hint="eastAsia"/>
                <w:lang w:eastAsia="zh-CN"/>
              </w:rPr>
              <m:t>r</m:t>
            </m:r>
          </m:sub>
        </m:sSub>
      </m:oMath>
      <w:r>
        <w:rPr>
          <w:rFonts w:hint="eastAsia"/>
          <w:lang w:eastAsia="zh-CN"/>
        </w:rPr>
        <w:t xml:space="preserve"> r</w:t>
      </w:r>
      <w:r>
        <w:rPr>
          <w:lang w:eastAsia="zh-CN"/>
        </w:rPr>
        <w:t xml:space="preserve">epresents the urban population growth rate, </w:t>
      </w:r>
      <m:oMath>
        <m:sSub>
          <m:sSubPr>
            <m:ctrlPr>
              <w:rPr>
                <w:rFonts w:ascii="Cambria Math" w:hAnsi="Cambria Math"/>
                <w:lang w:eastAsia="zh-CN"/>
              </w:rPr>
            </m:ctrlPr>
          </m:sSubPr>
          <m:e>
            <m:r>
              <w:rPr>
                <w:rFonts w:ascii="Cambria Math" w:hAnsi="Cambria Math"/>
                <w:lang w:eastAsia="zh-CN"/>
              </w:rPr>
              <m:t>P</m:t>
            </m:r>
          </m:e>
          <m:sub>
            <m:r>
              <m:rPr>
                <m:sty m:val="p"/>
              </m:rPr>
              <w:rPr>
                <w:rFonts w:ascii="Cambria Math" w:hAnsi="Cambria Math"/>
                <w:lang w:eastAsia="zh-CN"/>
              </w:rPr>
              <m:t>2020</m:t>
            </m:r>
          </m:sub>
        </m:sSub>
      </m:oMath>
      <w:r w:rsidRPr="00F73E36">
        <w:rPr>
          <w:lang w:eastAsia="zh-CN"/>
        </w:rPr>
        <w:t xml:space="preserve"> and </w:t>
      </w:r>
      <m:oMath>
        <m:sSub>
          <m:sSubPr>
            <m:ctrlPr>
              <w:rPr>
                <w:rFonts w:ascii="Cambria Math" w:hAnsi="Cambria Math"/>
                <w:lang w:eastAsia="zh-CN"/>
              </w:rPr>
            </m:ctrlPr>
          </m:sSubPr>
          <m:e>
            <m:r>
              <w:rPr>
                <w:rFonts w:ascii="Cambria Math" w:hAnsi="Cambria Math"/>
                <w:lang w:eastAsia="zh-CN"/>
              </w:rPr>
              <m:t>P</m:t>
            </m:r>
          </m:e>
          <m:sub>
            <m:r>
              <m:rPr>
                <m:sty m:val="p"/>
              </m:rPr>
              <w:rPr>
                <w:rFonts w:ascii="Cambria Math" w:hAnsi="Cambria Math"/>
                <w:lang w:eastAsia="zh-CN"/>
              </w:rPr>
              <m:t>2000</m:t>
            </m:r>
          </m:sub>
        </m:sSub>
      </m:oMath>
      <w:r w:rsidRPr="00F73E36">
        <w:rPr>
          <w:lang w:eastAsia="zh-CN"/>
        </w:rPr>
        <w:t xml:space="preserve"> are the urban populations of a large city in 20</w:t>
      </w:r>
      <w:r>
        <w:rPr>
          <w:lang w:eastAsia="zh-CN"/>
        </w:rPr>
        <w:t>20</w:t>
      </w:r>
      <w:r w:rsidRPr="00F73E36">
        <w:rPr>
          <w:lang w:eastAsia="zh-CN"/>
        </w:rPr>
        <w:t xml:space="preserve"> and 2000, respectively. </w:t>
      </w:r>
      <m:oMath>
        <m:sSub>
          <m:sSubPr>
            <m:ctrlPr>
              <w:rPr>
                <w:rFonts w:ascii="Cambria Math" w:hAnsi="Cambria Math"/>
                <w:lang w:eastAsia="zh-CN"/>
              </w:rPr>
            </m:ctrlPr>
          </m:sSubPr>
          <m:e>
            <m:r>
              <w:rPr>
                <w:rFonts w:ascii="Cambria Math" w:hAnsi="Cambria Math"/>
                <w:lang w:eastAsia="zh-CN"/>
              </w:rPr>
              <m:t>R</m:t>
            </m:r>
          </m:e>
          <m:sub>
            <m:r>
              <w:rPr>
                <w:rFonts w:ascii="Cambria Math" w:hAnsi="Cambria Math"/>
                <w:lang w:eastAsia="zh-CN"/>
              </w:rPr>
              <m:t>ep</m:t>
            </m:r>
          </m:sub>
        </m:sSub>
      </m:oMath>
      <w:r>
        <w:rPr>
          <w:rFonts w:hint="eastAsia"/>
          <w:lang w:eastAsia="zh-CN"/>
        </w:rPr>
        <w:t xml:space="preserve"> </w:t>
      </w:r>
      <w:r>
        <w:rPr>
          <w:lang w:eastAsia="zh-CN"/>
        </w:rPr>
        <w:t>represents the ratio of urban building expansion rate to the population growth rate</w:t>
      </w:r>
    </w:p>
    <w:p w14:paraId="4F028E95" w14:textId="541ABF51" w:rsidR="00685ADE" w:rsidRPr="002C0B06" w:rsidRDefault="00EB30B5" w:rsidP="00685ADE">
      <w:pPr>
        <w:spacing w:line="240" w:lineRule="auto"/>
        <w:jc w:val="center"/>
        <w:rPr>
          <w:rFonts w:eastAsiaTheme="minorEastAsia" w:cstheme="minorBidi"/>
          <w:sz w:val="20"/>
          <w:szCs w:val="20"/>
          <w:lang w:eastAsia="zh-CN"/>
        </w:rPr>
      </w:pPr>
      <w:r>
        <w:rPr>
          <w:rFonts w:eastAsiaTheme="minorEastAsia" w:cstheme="minorBidi"/>
          <w:sz w:val="20"/>
          <w:szCs w:val="20"/>
          <w:lang w:eastAsia="zh-CN"/>
        </w:rPr>
        <w:t xml:space="preserve">Supplementary </w:t>
      </w:r>
      <w:r w:rsidR="00932ABC">
        <w:rPr>
          <w:rFonts w:eastAsiaTheme="minorEastAsia" w:cstheme="minorBidi"/>
          <w:sz w:val="20"/>
          <w:szCs w:val="20"/>
          <w:lang w:eastAsia="zh-CN"/>
        </w:rPr>
        <w:t>t</w:t>
      </w:r>
      <w:r w:rsidR="00685ADE" w:rsidRPr="002C0B06">
        <w:rPr>
          <w:rFonts w:eastAsiaTheme="minorEastAsia" w:cstheme="minorBidi"/>
          <w:sz w:val="20"/>
          <w:szCs w:val="20"/>
          <w:lang w:eastAsia="zh-CN"/>
        </w:rPr>
        <w:t>able 1</w:t>
      </w:r>
      <w:r w:rsidR="00932ABC">
        <w:rPr>
          <w:rFonts w:eastAsiaTheme="minorEastAsia" w:cstheme="minorBidi"/>
          <w:sz w:val="20"/>
          <w:szCs w:val="20"/>
          <w:lang w:eastAsia="zh-CN"/>
        </w:rPr>
        <w:t>.</w:t>
      </w:r>
      <w:r w:rsidR="00685ADE" w:rsidRPr="002C0B06">
        <w:rPr>
          <w:rFonts w:eastAsiaTheme="minorEastAsia" w:cstheme="minorBidi"/>
          <w:sz w:val="20"/>
          <w:szCs w:val="20"/>
          <w:lang w:eastAsia="zh-CN"/>
        </w:rPr>
        <w:t xml:space="preserve"> </w:t>
      </w:r>
      <w:r w:rsidR="004D293B">
        <w:rPr>
          <w:rFonts w:eastAsia="Times New Roman"/>
          <w:sz w:val="20"/>
          <w:szCs w:val="20"/>
        </w:rPr>
        <w:t>Data used in this study</w:t>
      </w:r>
    </w:p>
    <w:tbl>
      <w:tblPr>
        <w:tblStyle w:val="a9"/>
        <w:tblW w:w="808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2127"/>
        <w:gridCol w:w="1134"/>
        <w:gridCol w:w="708"/>
        <w:gridCol w:w="2411"/>
      </w:tblGrid>
      <w:tr w:rsidR="00685ADE" w:rsidRPr="000A0C19" w14:paraId="0DD3072E" w14:textId="77777777" w:rsidTr="002A2B54">
        <w:trPr>
          <w:trHeight w:val="20"/>
          <w:jc w:val="center"/>
        </w:trPr>
        <w:tc>
          <w:tcPr>
            <w:tcW w:w="1701" w:type="dxa"/>
            <w:tcBorders>
              <w:top w:val="single" w:sz="4" w:space="0" w:color="auto"/>
              <w:bottom w:val="single" w:sz="4" w:space="0" w:color="auto"/>
            </w:tcBorders>
            <w:vAlign w:val="center"/>
          </w:tcPr>
          <w:p w14:paraId="3024CAB6" w14:textId="16818E39" w:rsidR="00685ADE" w:rsidRPr="000A0C19" w:rsidRDefault="004D293B" w:rsidP="002A2B54">
            <w:pPr>
              <w:spacing w:before="120" w:after="120" w:line="240" w:lineRule="auto"/>
              <w:jc w:val="center"/>
              <w:rPr>
                <w:sz w:val="20"/>
                <w:szCs w:val="20"/>
                <w:lang w:eastAsia="zh-CN"/>
              </w:rPr>
            </w:pPr>
            <w:r>
              <w:rPr>
                <w:sz w:val="20"/>
                <w:szCs w:val="20"/>
                <w:lang w:eastAsia="zh-CN"/>
              </w:rPr>
              <w:t>Data</w:t>
            </w:r>
          </w:p>
        </w:tc>
        <w:tc>
          <w:tcPr>
            <w:tcW w:w="2127" w:type="dxa"/>
            <w:tcBorders>
              <w:top w:val="single" w:sz="4" w:space="0" w:color="auto"/>
              <w:bottom w:val="single" w:sz="4" w:space="0" w:color="auto"/>
            </w:tcBorders>
            <w:vAlign w:val="center"/>
          </w:tcPr>
          <w:p w14:paraId="0E818721" w14:textId="77777777" w:rsidR="00685ADE" w:rsidRPr="00EF51CC" w:rsidRDefault="00685ADE" w:rsidP="002A2B54">
            <w:pPr>
              <w:spacing w:before="120" w:after="120" w:line="240" w:lineRule="auto"/>
              <w:jc w:val="center"/>
              <w:rPr>
                <w:rFonts w:eastAsia="Times New Roman"/>
                <w:sz w:val="20"/>
                <w:szCs w:val="20"/>
              </w:rPr>
            </w:pPr>
            <w:bookmarkStart w:id="0" w:name="_Hlk123215709"/>
            <w:r>
              <w:rPr>
                <w:rFonts w:eastAsia="Times New Roman"/>
                <w:sz w:val="20"/>
                <w:szCs w:val="20"/>
              </w:rPr>
              <w:t>Variables</w:t>
            </w:r>
          </w:p>
        </w:tc>
        <w:tc>
          <w:tcPr>
            <w:tcW w:w="1134" w:type="dxa"/>
            <w:tcBorders>
              <w:top w:val="single" w:sz="4" w:space="0" w:color="auto"/>
              <w:bottom w:val="single" w:sz="4" w:space="0" w:color="auto"/>
            </w:tcBorders>
            <w:vAlign w:val="center"/>
          </w:tcPr>
          <w:p w14:paraId="1A29BCC1" w14:textId="77777777" w:rsidR="00685ADE" w:rsidRPr="00EF51CC" w:rsidRDefault="00685ADE" w:rsidP="002A2B54">
            <w:pPr>
              <w:spacing w:before="120" w:after="120" w:line="240" w:lineRule="auto"/>
              <w:jc w:val="center"/>
              <w:rPr>
                <w:rFonts w:eastAsia="Times New Roman"/>
                <w:sz w:val="20"/>
                <w:szCs w:val="20"/>
              </w:rPr>
            </w:pPr>
            <w:r w:rsidRPr="00EF51CC">
              <w:rPr>
                <w:rFonts w:eastAsia="Times New Roman"/>
                <w:sz w:val="20"/>
                <w:szCs w:val="20"/>
              </w:rPr>
              <w:t>Resolution</w:t>
            </w:r>
          </w:p>
        </w:tc>
        <w:tc>
          <w:tcPr>
            <w:tcW w:w="708" w:type="dxa"/>
            <w:tcBorders>
              <w:top w:val="single" w:sz="4" w:space="0" w:color="auto"/>
              <w:bottom w:val="single" w:sz="4" w:space="0" w:color="auto"/>
            </w:tcBorders>
            <w:vAlign w:val="center"/>
          </w:tcPr>
          <w:p w14:paraId="4E3B01B1" w14:textId="77777777" w:rsidR="00685ADE" w:rsidRPr="00EF51CC" w:rsidRDefault="00685ADE" w:rsidP="002A2B54">
            <w:pPr>
              <w:spacing w:before="120" w:after="120" w:line="240" w:lineRule="auto"/>
              <w:jc w:val="center"/>
              <w:rPr>
                <w:rFonts w:eastAsia="Times New Roman"/>
                <w:sz w:val="20"/>
                <w:szCs w:val="20"/>
              </w:rPr>
            </w:pPr>
            <w:r w:rsidRPr="00EF51CC">
              <w:rPr>
                <w:rFonts w:eastAsia="Times New Roman"/>
                <w:sz w:val="20"/>
                <w:szCs w:val="20"/>
              </w:rPr>
              <w:t>Time</w:t>
            </w:r>
          </w:p>
        </w:tc>
        <w:tc>
          <w:tcPr>
            <w:tcW w:w="2411" w:type="dxa"/>
            <w:tcBorders>
              <w:top w:val="single" w:sz="4" w:space="0" w:color="auto"/>
              <w:bottom w:val="single" w:sz="4" w:space="0" w:color="auto"/>
            </w:tcBorders>
            <w:vAlign w:val="center"/>
          </w:tcPr>
          <w:p w14:paraId="48BCCB60" w14:textId="77777777" w:rsidR="00685ADE" w:rsidRPr="00392576" w:rsidRDefault="00685ADE" w:rsidP="002A2B54">
            <w:pPr>
              <w:spacing w:before="120" w:after="120" w:line="240" w:lineRule="auto"/>
              <w:jc w:val="center"/>
              <w:rPr>
                <w:sz w:val="20"/>
                <w:szCs w:val="20"/>
                <w:lang w:eastAsia="zh-CN"/>
              </w:rPr>
            </w:pPr>
            <w:r>
              <w:rPr>
                <w:rFonts w:hint="eastAsia"/>
                <w:sz w:val="20"/>
                <w:szCs w:val="20"/>
                <w:lang w:eastAsia="zh-CN"/>
              </w:rPr>
              <w:t>D</w:t>
            </w:r>
            <w:r>
              <w:rPr>
                <w:sz w:val="20"/>
                <w:szCs w:val="20"/>
                <w:lang w:eastAsia="zh-CN"/>
              </w:rPr>
              <w:t>ata Source</w:t>
            </w:r>
          </w:p>
        </w:tc>
      </w:tr>
      <w:tr w:rsidR="00685ADE" w:rsidRPr="00EF51CC" w14:paraId="220A84E6" w14:textId="77777777" w:rsidTr="002A2B54">
        <w:trPr>
          <w:trHeight w:val="20"/>
          <w:jc w:val="center"/>
        </w:trPr>
        <w:tc>
          <w:tcPr>
            <w:tcW w:w="1701" w:type="dxa"/>
            <w:vAlign w:val="center"/>
          </w:tcPr>
          <w:p w14:paraId="73C7395D" w14:textId="77777777" w:rsidR="00685ADE" w:rsidRDefault="00685ADE" w:rsidP="002A2B54">
            <w:pPr>
              <w:spacing w:before="120" w:after="120" w:line="240" w:lineRule="auto"/>
              <w:jc w:val="center"/>
              <w:rPr>
                <w:sz w:val="18"/>
                <w:szCs w:val="18"/>
                <w:lang w:eastAsia="zh-CN"/>
              </w:rPr>
            </w:pPr>
            <w:r>
              <w:rPr>
                <w:rFonts w:hint="eastAsia"/>
                <w:sz w:val="18"/>
                <w:szCs w:val="18"/>
                <w:lang w:eastAsia="zh-CN"/>
              </w:rPr>
              <w:t>W</w:t>
            </w:r>
            <w:r>
              <w:rPr>
                <w:sz w:val="18"/>
                <w:szCs w:val="18"/>
                <w:lang w:eastAsia="zh-CN"/>
              </w:rPr>
              <w:t>SF 2019</w:t>
            </w:r>
          </w:p>
        </w:tc>
        <w:tc>
          <w:tcPr>
            <w:tcW w:w="2127" w:type="dxa"/>
            <w:vAlign w:val="center"/>
          </w:tcPr>
          <w:p w14:paraId="3CF093D4" w14:textId="77777777" w:rsidR="00685ADE" w:rsidRPr="000E449A" w:rsidRDefault="00685ADE" w:rsidP="002A2B54">
            <w:pPr>
              <w:spacing w:before="120" w:after="120" w:line="240" w:lineRule="auto"/>
              <w:jc w:val="center"/>
              <w:rPr>
                <w:sz w:val="18"/>
                <w:szCs w:val="18"/>
                <w:lang w:eastAsia="zh-CN"/>
              </w:rPr>
            </w:pPr>
            <w:r>
              <w:rPr>
                <w:rFonts w:hint="eastAsia"/>
                <w:sz w:val="18"/>
                <w:szCs w:val="18"/>
                <w:lang w:eastAsia="zh-CN"/>
              </w:rPr>
              <w:t>S</w:t>
            </w:r>
            <w:r>
              <w:rPr>
                <w:sz w:val="18"/>
                <w:szCs w:val="18"/>
                <w:lang w:eastAsia="zh-CN"/>
              </w:rPr>
              <w:t>ettlement coverage</w:t>
            </w:r>
          </w:p>
        </w:tc>
        <w:tc>
          <w:tcPr>
            <w:tcW w:w="1134" w:type="dxa"/>
            <w:vAlign w:val="center"/>
          </w:tcPr>
          <w:p w14:paraId="74640D58" w14:textId="77777777" w:rsidR="00685ADE" w:rsidRPr="000E449A" w:rsidRDefault="00685ADE" w:rsidP="002A2B54">
            <w:pPr>
              <w:spacing w:before="120" w:after="120" w:line="240" w:lineRule="auto"/>
              <w:jc w:val="center"/>
              <w:rPr>
                <w:sz w:val="18"/>
                <w:szCs w:val="18"/>
                <w:lang w:eastAsia="zh-CN"/>
              </w:rPr>
            </w:pPr>
            <w:r>
              <w:rPr>
                <w:rFonts w:hint="eastAsia"/>
                <w:sz w:val="18"/>
                <w:szCs w:val="18"/>
                <w:lang w:eastAsia="zh-CN"/>
              </w:rPr>
              <w:t>1</w:t>
            </w:r>
            <w:r>
              <w:rPr>
                <w:sz w:val="18"/>
                <w:szCs w:val="18"/>
                <w:lang w:eastAsia="zh-CN"/>
              </w:rPr>
              <w:t>0m</w:t>
            </w:r>
          </w:p>
        </w:tc>
        <w:tc>
          <w:tcPr>
            <w:tcW w:w="708" w:type="dxa"/>
            <w:vAlign w:val="center"/>
          </w:tcPr>
          <w:p w14:paraId="3D60E74C" w14:textId="77777777" w:rsidR="00685ADE" w:rsidRPr="005B03B2" w:rsidRDefault="00685ADE" w:rsidP="002A2B54">
            <w:pPr>
              <w:spacing w:before="120" w:after="120" w:line="240" w:lineRule="auto"/>
              <w:jc w:val="center"/>
              <w:rPr>
                <w:sz w:val="18"/>
                <w:szCs w:val="18"/>
                <w:lang w:eastAsia="zh-CN"/>
              </w:rPr>
            </w:pPr>
            <w:r>
              <w:rPr>
                <w:rFonts w:hint="eastAsia"/>
                <w:sz w:val="18"/>
                <w:szCs w:val="18"/>
                <w:lang w:eastAsia="zh-CN"/>
              </w:rPr>
              <w:t>2</w:t>
            </w:r>
            <w:r>
              <w:rPr>
                <w:sz w:val="18"/>
                <w:szCs w:val="18"/>
                <w:lang w:eastAsia="zh-CN"/>
              </w:rPr>
              <w:t>019</w:t>
            </w:r>
          </w:p>
        </w:tc>
        <w:tc>
          <w:tcPr>
            <w:tcW w:w="2411" w:type="dxa"/>
            <w:vAlign w:val="center"/>
          </w:tcPr>
          <w:p w14:paraId="4996320A" w14:textId="77777777" w:rsidR="00685ADE" w:rsidRDefault="00B65B80" w:rsidP="002A2B54">
            <w:pPr>
              <w:spacing w:before="120" w:after="120" w:line="240" w:lineRule="auto"/>
              <w:jc w:val="center"/>
              <w:rPr>
                <w:rFonts w:eastAsia="Times New Roman"/>
                <w:sz w:val="18"/>
                <w:szCs w:val="18"/>
              </w:rPr>
            </w:pPr>
            <w:hyperlink r:id="rId6" w:history="1">
              <w:r w:rsidR="00685ADE" w:rsidRPr="00291C72">
                <w:rPr>
                  <w:rStyle w:val="aa"/>
                  <w:rFonts w:eastAsia="Times New Roman"/>
                  <w:sz w:val="18"/>
                  <w:szCs w:val="18"/>
                </w:rPr>
                <w:t>https://geoservice.dlr.de/web/maps/eoc:wsf2019</w:t>
              </w:r>
            </w:hyperlink>
          </w:p>
        </w:tc>
      </w:tr>
      <w:tr w:rsidR="00685ADE" w:rsidRPr="00EF51CC" w14:paraId="545CBBC2" w14:textId="77777777" w:rsidTr="002A2B54">
        <w:trPr>
          <w:trHeight w:val="20"/>
          <w:jc w:val="center"/>
        </w:trPr>
        <w:tc>
          <w:tcPr>
            <w:tcW w:w="1701" w:type="dxa"/>
            <w:vAlign w:val="center"/>
          </w:tcPr>
          <w:p w14:paraId="0899282D" w14:textId="77777777" w:rsidR="00685ADE" w:rsidRDefault="00685ADE" w:rsidP="002A2B54">
            <w:pPr>
              <w:spacing w:before="120" w:after="120" w:line="240" w:lineRule="auto"/>
              <w:jc w:val="center"/>
              <w:rPr>
                <w:sz w:val="18"/>
                <w:szCs w:val="18"/>
                <w:lang w:eastAsia="zh-CN"/>
              </w:rPr>
            </w:pPr>
            <w:r>
              <w:rPr>
                <w:rFonts w:hint="eastAsia"/>
                <w:sz w:val="18"/>
                <w:szCs w:val="18"/>
                <w:lang w:eastAsia="zh-CN"/>
              </w:rPr>
              <w:t>M</w:t>
            </w:r>
            <w:r>
              <w:rPr>
                <w:sz w:val="18"/>
                <w:szCs w:val="18"/>
                <w:lang w:eastAsia="zh-CN"/>
              </w:rPr>
              <w:t>icrosoft Building Footprint</w:t>
            </w:r>
          </w:p>
        </w:tc>
        <w:tc>
          <w:tcPr>
            <w:tcW w:w="2127" w:type="dxa"/>
            <w:vAlign w:val="center"/>
          </w:tcPr>
          <w:p w14:paraId="76A6F7CC" w14:textId="77777777" w:rsidR="00685ADE" w:rsidRDefault="00685ADE" w:rsidP="002A2B54">
            <w:pPr>
              <w:spacing w:before="120" w:after="120" w:line="240" w:lineRule="auto"/>
              <w:jc w:val="center"/>
              <w:rPr>
                <w:rFonts w:eastAsia="Times New Roman"/>
                <w:sz w:val="18"/>
                <w:szCs w:val="18"/>
              </w:rPr>
            </w:pPr>
            <w:r>
              <w:rPr>
                <w:rFonts w:hint="eastAsia"/>
                <w:sz w:val="18"/>
                <w:szCs w:val="18"/>
                <w:lang w:eastAsia="zh-CN"/>
              </w:rPr>
              <w:t>S</w:t>
            </w:r>
            <w:r>
              <w:rPr>
                <w:sz w:val="18"/>
                <w:szCs w:val="18"/>
                <w:lang w:eastAsia="zh-CN"/>
              </w:rPr>
              <w:t>ettlement coverage</w:t>
            </w:r>
          </w:p>
        </w:tc>
        <w:tc>
          <w:tcPr>
            <w:tcW w:w="1134" w:type="dxa"/>
            <w:vAlign w:val="center"/>
          </w:tcPr>
          <w:p w14:paraId="7E7D48D0" w14:textId="77777777" w:rsidR="00685ADE" w:rsidRPr="001C534C" w:rsidRDefault="00685ADE" w:rsidP="002A2B54">
            <w:pPr>
              <w:spacing w:before="120" w:after="120" w:line="240" w:lineRule="auto"/>
              <w:jc w:val="center"/>
              <w:rPr>
                <w:sz w:val="18"/>
                <w:szCs w:val="18"/>
                <w:lang w:eastAsia="zh-CN"/>
              </w:rPr>
            </w:pPr>
            <w:r>
              <w:rPr>
                <w:rFonts w:hint="eastAsia"/>
                <w:sz w:val="18"/>
                <w:szCs w:val="18"/>
                <w:lang w:eastAsia="zh-CN"/>
              </w:rPr>
              <w:t>/</w:t>
            </w:r>
          </w:p>
        </w:tc>
        <w:tc>
          <w:tcPr>
            <w:tcW w:w="708" w:type="dxa"/>
            <w:vAlign w:val="center"/>
          </w:tcPr>
          <w:p w14:paraId="275F4F92" w14:textId="77777777" w:rsidR="00685ADE" w:rsidRPr="001C534C" w:rsidRDefault="00685ADE" w:rsidP="002A2B54">
            <w:pPr>
              <w:spacing w:before="120" w:after="120" w:line="240" w:lineRule="auto"/>
              <w:jc w:val="center"/>
              <w:rPr>
                <w:sz w:val="18"/>
                <w:szCs w:val="18"/>
                <w:lang w:eastAsia="zh-CN"/>
              </w:rPr>
            </w:pPr>
            <w:r>
              <w:rPr>
                <w:rFonts w:hint="eastAsia"/>
                <w:sz w:val="18"/>
                <w:szCs w:val="18"/>
                <w:lang w:eastAsia="zh-CN"/>
              </w:rPr>
              <w:t>2</w:t>
            </w:r>
            <w:r>
              <w:rPr>
                <w:sz w:val="18"/>
                <w:szCs w:val="18"/>
                <w:lang w:eastAsia="zh-CN"/>
              </w:rPr>
              <w:t>014-2021</w:t>
            </w:r>
          </w:p>
        </w:tc>
        <w:tc>
          <w:tcPr>
            <w:tcW w:w="2411" w:type="dxa"/>
            <w:vAlign w:val="center"/>
          </w:tcPr>
          <w:p w14:paraId="0E7C5F32" w14:textId="77777777" w:rsidR="00685ADE" w:rsidRDefault="00B65B80" w:rsidP="002A2B54">
            <w:pPr>
              <w:spacing w:before="120" w:after="120" w:line="240" w:lineRule="auto"/>
              <w:jc w:val="center"/>
              <w:rPr>
                <w:rFonts w:eastAsia="Times New Roman"/>
                <w:sz w:val="18"/>
                <w:szCs w:val="18"/>
              </w:rPr>
            </w:pPr>
            <w:hyperlink r:id="rId7" w:history="1">
              <w:r w:rsidR="00685ADE" w:rsidRPr="00291C72">
                <w:rPr>
                  <w:rStyle w:val="aa"/>
                  <w:rFonts w:eastAsia="Times New Roman"/>
                  <w:sz w:val="18"/>
                  <w:szCs w:val="18"/>
                </w:rPr>
                <w:t>https://github.com/microsoft/GlobalMLBuildingFootprints</w:t>
              </w:r>
            </w:hyperlink>
            <w:r w:rsidR="00685ADE">
              <w:rPr>
                <w:rFonts w:eastAsia="Times New Roman"/>
                <w:sz w:val="18"/>
                <w:szCs w:val="18"/>
              </w:rPr>
              <w:t xml:space="preserve"> </w:t>
            </w:r>
          </w:p>
        </w:tc>
      </w:tr>
      <w:tr w:rsidR="00685ADE" w:rsidRPr="00EF51CC" w14:paraId="718D3AEF" w14:textId="77777777" w:rsidTr="002A2B54">
        <w:trPr>
          <w:trHeight w:val="20"/>
          <w:jc w:val="center"/>
        </w:trPr>
        <w:tc>
          <w:tcPr>
            <w:tcW w:w="1701" w:type="dxa"/>
            <w:vAlign w:val="center"/>
          </w:tcPr>
          <w:p w14:paraId="049BDCF8" w14:textId="77777777" w:rsidR="00685ADE" w:rsidRDefault="00685ADE" w:rsidP="002A2B54">
            <w:pPr>
              <w:spacing w:before="120" w:after="120" w:line="240" w:lineRule="auto"/>
              <w:jc w:val="center"/>
              <w:rPr>
                <w:sz w:val="18"/>
                <w:szCs w:val="18"/>
                <w:lang w:eastAsia="zh-CN"/>
              </w:rPr>
            </w:pPr>
            <w:r>
              <w:rPr>
                <w:sz w:val="18"/>
                <w:szCs w:val="18"/>
                <w:lang w:eastAsia="zh-CN"/>
              </w:rPr>
              <w:t xml:space="preserve">China </w:t>
            </w:r>
            <w:r>
              <w:rPr>
                <w:rFonts w:hint="eastAsia"/>
                <w:sz w:val="18"/>
                <w:szCs w:val="18"/>
                <w:lang w:eastAsia="zh-CN"/>
              </w:rPr>
              <w:t>B</w:t>
            </w:r>
            <w:r>
              <w:rPr>
                <w:sz w:val="18"/>
                <w:szCs w:val="18"/>
                <w:lang w:eastAsia="zh-CN"/>
              </w:rPr>
              <w:t>uilding Rooftop Area</w:t>
            </w:r>
          </w:p>
        </w:tc>
        <w:tc>
          <w:tcPr>
            <w:tcW w:w="2127" w:type="dxa"/>
            <w:vAlign w:val="center"/>
          </w:tcPr>
          <w:p w14:paraId="6A78C140" w14:textId="77777777" w:rsidR="00685ADE" w:rsidRDefault="00685ADE" w:rsidP="002A2B54">
            <w:pPr>
              <w:spacing w:before="120" w:after="120" w:line="240" w:lineRule="auto"/>
              <w:jc w:val="center"/>
              <w:rPr>
                <w:rFonts w:eastAsia="Times New Roman"/>
                <w:sz w:val="18"/>
                <w:szCs w:val="18"/>
              </w:rPr>
            </w:pPr>
            <w:r>
              <w:rPr>
                <w:rFonts w:hint="eastAsia"/>
                <w:sz w:val="18"/>
                <w:szCs w:val="18"/>
                <w:lang w:eastAsia="zh-CN"/>
              </w:rPr>
              <w:t>S</w:t>
            </w:r>
            <w:r>
              <w:rPr>
                <w:sz w:val="18"/>
                <w:szCs w:val="18"/>
                <w:lang w:eastAsia="zh-CN"/>
              </w:rPr>
              <w:t>ettlement coverage in China</w:t>
            </w:r>
          </w:p>
        </w:tc>
        <w:tc>
          <w:tcPr>
            <w:tcW w:w="1134" w:type="dxa"/>
            <w:vAlign w:val="center"/>
          </w:tcPr>
          <w:p w14:paraId="359AA611" w14:textId="77777777" w:rsidR="00685ADE" w:rsidRPr="000E449A" w:rsidRDefault="00685ADE" w:rsidP="002A2B54">
            <w:pPr>
              <w:spacing w:before="120" w:after="120" w:line="240" w:lineRule="auto"/>
              <w:jc w:val="center"/>
              <w:rPr>
                <w:sz w:val="18"/>
                <w:szCs w:val="18"/>
                <w:lang w:eastAsia="zh-CN"/>
              </w:rPr>
            </w:pPr>
            <w:r>
              <w:rPr>
                <w:rFonts w:hint="eastAsia"/>
                <w:sz w:val="18"/>
                <w:szCs w:val="18"/>
                <w:lang w:eastAsia="zh-CN"/>
              </w:rPr>
              <w:t>2</w:t>
            </w:r>
            <w:r>
              <w:rPr>
                <w:sz w:val="18"/>
                <w:szCs w:val="18"/>
                <w:lang w:eastAsia="zh-CN"/>
              </w:rPr>
              <w:t>.5m</w:t>
            </w:r>
          </w:p>
        </w:tc>
        <w:tc>
          <w:tcPr>
            <w:tcW w:w="708" w:type="dxa"/>
            <w:vAlign w:val="center"/>
          </w:tcPr>
          <w:p w14:paraId="08E1B0A6" w14:textId="77777777" w:rsidR="00685ADE" w:rsidRPr="000E449A" w:rsidRDefault="00685ADE" w:rsidP="002A2B54">
            <w:pPr>
              <w:spacing w:before="120" w:after="120" w:line="240" w:lineRule="auto"/>
              <w:jc w:val="center"/>
              <w:rPr>
                <w:sz w:val="18"/>
                <w:szCs w:val="18"/>
                <w:lang w:eastAsia="zh-CN"/>
              </w:rPr>
            </w:pPr>
            <w:r>
              <w:rPr>
                <w:rFonts w:hint="eastAsia"/>
                <w:sz w:val="18"/>
                <w:szCs w:val="18"/>
                <w:lang w:eastAsia="zh-CN"/>
              </w:rPr>
              <w:t>2</w:t>
            </w:r>
            <w:r>
              <w:rPr>
                <w:sz w:val="18"/>
                <w:szCs w:val="18"/>
                <w:lang w:eastAsia="zh-CN"/>
              </w:rPr>
              <w:t>016-2021</w:t>
            </w:r>
          </w:p>
        </w:tc>
        <w:tc>
          <w:tcPr>
            <w:tcW w:w="2411" w:type="dxa"/>
            <w:vAlign w:val="center"/>
          </w:tcPr>
          <w:p w14:paraId="554274F2" w14:textId="77777777" w:rsidR="00685ADE" w:rsidRDefault="00B65B80" w:rsidP="002A2B54">
            <w:pPr>
              <w:spacing w:before="120" w:after="120" w:line="240" w:lineRule="auto"/>
              <w:jc w:val="center"/>
              <w:rPr>
                <w:rFonts w:eastAsia="Times New Roman"/>
                <w:sz w:val="18"/>
                <w:szCs w:val="18"/>
              </w:rPr>
            </w:pPr>
            <w:hyperlink r:id="rId8" w:history="1">
              <w:r w:rsidR="00685ADE" w:rsidRPr="00291C72">
                <w:rPr>
                  <w:rStyle w:val="aa"/>
                  <w:rFonts w:eastAsia="Times New Roman"/>
                  <w:sz w:val="18"/>
                  <w:szCs w:val="18"/>
                </w:rPr>
                <w:t>https://zenodo.org/record/7500612</w:t>
              </w:r>
            </w:hyperlink>
          </w:p>
        </w:tc>
      </w:tr>
      <w:tr w:rsidR="00D6551A" w:rsidRPr="00EF51CC" w14:paraId="0C493293" w14:textId="77777777" w:rsidTr="002A2B54">
        <w:trPr>
          <w:trHeight w:val="20"/>
          <w:jc w:val="center"/>
        </w:trPr>
        <w:tc>
          <w:tcPr>
            <w:tcW w:w="1701" w:type="dxa"/>
            <w:vAlign w:val="center"/>
          </w:tcPr>
          <w:p w14:paraId="79A881A8" w14:textId="5DFDB19C" w:rsidR="00D6551A" w:rsidRDefault="00D6551A" w:rsidP="002A2B54">
            <w:pPr>
              <w:spacing w:before="120" w:after="120" w:line="240" w:lineRule="auto"/>
              <w:jc w:val="center"/>
              <w:rPr>
                <w:sz w:val="18"/>
                <w:szCs w:val="18"/>
                <w:lang w:eastAsia="zh-CN"/>
              </w:rPr>
            </w:pPr>
            <w:r w:rsidRPr="00D6551A">
              <w:rPr>
                <w:sz w:val="18"/>
                <w:szCs w:val="18"/>
                <w:lang w:eastAsia="zh-CN"/>
              </w:rPr>
              <w:t>EUBUCCO v0.1</w:t>
            </w:r>
          </w:p>
        </w:tc>
        <w:tc>
          <w:tcPr>
            <w:tcW w:w="2127" w:type="dxa"/>
            <w:vAlign w:val="center"/>
          </w:tcPr>
          <w:p w14:paraId="50831147" w14:textId="72597818" w:rsidR="00D6551A" w:rsidRDefault="00D6551A" w:rsidP="002A2B54">
            <w:pPr>
              <w:spacing w:before="120" w:after="120" w:line="240" w:lineRule="auto"/>
              <w:jc w:val="center"/>
              <w:rPr>
                <w:sz w:val="18"/>
                <w:szCs w:val="18"/>
                <w:lang w:eastAsia="zh-CN"/>
              </w:rPr>
            </w:pPr>
            <w:r>
              <w:rPr>
                <w:rFonts w:hint="eastAsia"/>
                <w:sz w:val="18"/>
                <w:szCs w:val="18"/>
                <w:lang w:eastAsia="zh-CN"/>
              </w:rPr>
              <w:t>S</w:t>
            </w:r>
            <w:r>
              <w:rPr>
                <w:sz w:val="18"/>
                <w:szCs w:val="18"/>
                <w:lang w:eastAsia="zh-CN"/>
              </w:rPr>
              <w:t>ettlement coverage in Europe</w:t>
            </w:r>
          </w:p>
        </w:tc>
        <w:tc>
          <w:tcPr>
            <w:tcW w:w="1134" w:type="dxa"/>
            <w:vAlign w:val="center"/>
          </w:tcPr>
          <w:p w14:paraId="4F3AA563" w14:textId="7AF81406" w:rsidR="00D6551A" w:rsidRDefault="00BC7F5E" w:rsidP="002A2B54">
            <w:pPr>
              <w:spacing w:before="120" w:after="120" w:line="240" w:lineRule="auto"/>
              <w:jc w:val="center"/>
              <w:rPr>
                <w:sz w:val="18"/>
                <w:szCs w:val="18"/>
                <w:lang w:eastAsia="zh-CN"/>
              </w:rPr>
            </w:pPr>
            <w:r>
              <w:rPr>
                <w:rFonts w:hint="eastAsia"/>
                <w:sz w:val="18"/>
                <w:szCs w:val="18"/>
                <w:lang w:eastAsia="zh-CN"/>
              </w:rPr>
              <w:t>/</w:t>
            </w:r>
          </w:p>
        </w:tc>
        <w:tc>
          <w:tcPr>
            <w:tcW w:w="708" w:type="dxa"/>
            <w:vAlign w:val="center"/>
          </w:tcPr>
          <w:p w14:paraId="17E7A394" w14:textId="1A25199A" w:rsidR="00D6551A" w:rsidRDefault="00BC7F5E" w:rsidP="002A2B54">
            <w:pPr>
              <w:spacing w:before="120" w:after="120" w:line="240" w:lineRule="auto"/>
              <w:jc w:val="center"/>
              <w:rPr>
                <w:sz w:val="18"/>
                <w:szCs w:val="18"/>
                <w:lang w:eastAsia="zh-CN"/>
              </w:rPr>
            </w:pPr>
            <w:r>
              <w:rPr>
                <w:rFonts w:hint="eastAsia"/>
                <w:sz w:val="18"/>
                <w:szCs w:val="18"/>
                <w:lang w:eastAsia="zh-CN"/>
              </w:rPr>
              <w:t>/</w:t>
            </w:r>
          </w:p>
        </w:tc>
        <w:tc>
          <w:tcPr>
            <w:tcW w:w="2411" w:type="dxa"/>
            <w:vAlign w:val="center"/>
          </w:tcPr>
          <w:p w14:paraId="2C7B2BB9" w14:textId="3F1B6E09" w:rsidR="00D6551A" w:rsidRDefault="00B65B80" w:rsidP="002A2B54">
            <w:pPr>
              <w:spacing w:before="120" w:after="120" w:line="240" w:lineRule="auto"/>
              <w:jc w:val="center"/>
            </w:pPr>
            <w:hyperlink r:id="rId9" w:history="1">
              <w:r w:rsidR="00BC7F5E" w:rsidRPr="00BC7F5E">
                <w:rPr>
                  <w:rStyle w:val="aa"/>
                  <w:rFonts w:eastAsia="Times New Roman"/>
                  <w:sz w:val="18"/>
                  <w:szCs w:val="18"/>
                </w:rPr>
                <w:t>https://eubucco.com/data/</w:t>
              </w:r>
            </w:hyperlink>
            <w:r w:rsidR="00BC7F5E" w:rsidRPr="00BC7F5E">
              <w:rPr>
                <w:rStyle w:val="aa"/>
                <w:rFonts w:eastAsia="Times New Roman"/>
                <w:sz w:val="18"/>
                <w:szCs w:val="18"/>
              </w:rPr>
              <w:t xml:space="preserve"> </w:t>
            </w:r>
          </w:p>
        </w:tc>
      </w:tr>
      <w:tr w:rsidR="00685ADE" w:rsidRPr="00EF51CC" w14:paraId="4393AD5A" w14:textId="77777777" w:rsidTr="002A2B54">
        <w:trPr>
          <w:trHeight w:val="20"/>
          <w:jc w:val="center"/>
        </w:trPr>
        <w:tc>
          <w:tcPr>
            <w:tcW w:w="1701" w:type="dxa"/>
            <w:vAlign w:val="center"/>
          </w:tcPr>
          <w:p w14:paraId="521AC68E" w14:textId="77777777" w:rsidR="00685ADE" w:rsidRDefault="00685ADE" w:rsidP="002A2B54">
            <w:pPr>
              <w:spacing w:before="120" w:after="120" w:line="240" w:lineRule="auto"/>
              <w:jc w:val="center"/>
              <w:rPr>
                <w:sz w:val="18"/>
                <w:szCs w:val="18"/>
                <w:lang w:eastAsia="zh-CN"/>
              </w:rPr>
            </w:pPr>
            <w:r>
              <w:rPr>
                <w:rFonts w:hint="eastAsia"/>
                <w:sz w:val="18"/>
                <w:szCs w:val="18"/>
                <w:lang w:eastAsia="zh-CN"/>
              </w:rPr>
              <w:t>G</w:t>
            </w:r>
            <w:r>
              <w:rPr>
                <w:sz w:val="18"/>
                <w:szCs w:val="18"/>
                <w:lang w:eastAsia="zh-CN"/>
              </w:rPr>
              <w:t>AIA</w:t>
            </w:r>
          </w:p>
        </w:tc>
        <w:tc>
          <w:tcPr>
            <w:tcW w:w="2127" w:type="dxa"/>
            <w:vAlign w:val="center"/>
          </w:tcPr>
          <w:p w14:paraId="6840066E" w14:textId="77777777" w:rsidR="00685ADE" w:rsidRPr="000E449A" w:rsidRDefault="00685ADE" w:rsidP="002A2B54">
            <w:pPr>
              <w:spacing w:before="120" w:after="120" w:line="240" w:lineRule="auto"/>
              <w:jc w:val="center"/>
              <w:rPr>
                <w:sz w:val="18"/>
                <w:szCs w:val="18"/>
                <w:lang w:eastAsia="zh-CN"/>
              </w:rPr>
            </w:pPr>
            <w:r>
              <w:rPr>
                <w:rFonts w:hint="eastAsia"/>
                <w:sz w:val="18"/>
                <w:szCs w:val="18"/>
                <w:lang w:eastAsia="zh-CN"/>
              </w:rPr>
              <w:t>S</w:t>
            </w:r>
            <w:r>
              <w:rPr>
                <w:sz w:val="18"/>
                <w:szCs w:val="18"/>
                <w:lang w:eastAsia="zh-CN"/>
              </w:rPr>
              <w:t>ettlement coverage</w:t>
            </w:r>
          </w:p>
        </w:tc>
        <w:tc>
          <w:tcPr>
            <w:tcW w:w="1134" w:type="dxa"/>
            <w:vAlign w:val="center"/>
          </w:tcPr>
          <w:p w14:paraId="7B43A9C9" w14:textId="77777777" w:rsidR="00685ADE" w:rsidRPr="000E449A" w:rsidRDefault="00685ADE" w:rsidP="002A2B54">
            <w:pPr>
              <w:spacing w:before="120" w:after="120" w:line="240" w:lineRule="auto"/>
              <w:jc w:val="center"/>
              <w:rPr>
                <w:sz w:val="18"/>
                <w:szCs w:val="18"/>
                <w:lang w:eastAsia="zh-CN"/>
              </w:rPr>
            </w:pPr>
            <w:r>
              <w:rPr>
                <w:rFonts w:hint="eastAsia"/>
                <w:sz w:val="18"/>
                <w:szCs w:val="18"/>
                <w:lang w:eastAsia="zh-CN"/>
              </w:rPr>
              <w:t>3</w:t>
            </w:r>
            <w:r>
              <w:rPr>
                <w:sz w:val="18"/>
                <w:szCs w:val="18"/>
                <w:lang w:eastAsia="zh-CN"/>
              </w:rPr>
              <w:t>0m</w:t>
            </w:r>
          </w:p>
        </w:tc>
        <w:tc>
          <w:tcPr>
            <w:tcW w:w="708" w:type="dxa"/>
            <w:vAlign w:val="center"/>
          </w:tcPr>
          <w:p w14:paraId="6DD57F93" w14:textId="77777777" w:rsidR="00685ADE" w:rsidRPr="00936840" w:rsidRDefault="00685ADE" w:rsidP="002A2B54">
            <w:pPr>
              <w:spacing w:before="120" w:after="120" w:line="240" w:lineRule="auto"/>
              <w:jc w:val="center"/>
              <w:rPr>
                <w:sz w:val="18"/>
                <w:szCs w:val="18"/>
                <w:lang w:eastAsia="zh-CN"/>
              </w:rPr>
            </w:pPr>
            <w:r>
              <w:rPr>
                <w:rFonts w:hint="eastAsia"/>
                <w:sz w:val="18"/>
                <w:szCs w:val="18"/>
                <w:lang w:eastAsia="zh-CN"/>
              </w:rPr>
              <w:t>1</w:t>
            </w:r>
            <w:r>
              <w:rPr>
                <w:sz w:val="18"/>
                <w:szCs w:val="18"/>
                <w:lang w:eastAsia="zh-CN"/>
              </w:rPr>
              <w:t>985-2022</w:t>
            </w:r>
          </w:p>
        </w:tc>
        <w:tc>
          <w:tcPr>
            <w:tcW w:w="2411" w:type="dxa"/>
            <w:vAlign w:val="center"/>
          </w:tcPr>
          <w:p w14:paraId="328C1879" w14:textId="77777777" w:rsidR="00685ADE" w:rsidRDefault="00B65B80" w:rsidP="002A2B54">
            <w:pPr>
              <w:spacing w:before="120" w:after="120" w:line="240" w:lineRule="auto"/>
              <w:jc w:val="center"/>
              <w:rPr>
                <w:rFonts w:eastAsia="Times New Roman"/>
                <w:sz w:val="18"/>
                <w:szCs w:val="18"/>
              </w:rPr>
            </w:pPr>
            <w:hyperlink r:id="rId10" w:history="1">
              <w:r w:rsidR="00685ADE" w:rsidRPr="00291C72">
                <w:rPr>
                  <w:rStyle w:val="aa"/>
                  <w:rFonts w:eastAsia="Times New Roman"/>
                  <w:sz w:val="18"/>
                  <w:szCs w:val="18"/>
                </w:rPr>
                <w:t>http://data.ess.tsinghua.edu.cn/</w:t>
              </w:r>
            </w:hyperlink>
          </w:p>
        </w:tc>
      </w:tr>
      <w:tr w:rsidR="00685ADE" w:rsidRPr="00EF51CC" w14:paraId="6758C9E2" w14:textId="77777777" w:rsidTr="002A2B54">
        <w:trPr>
          <w:trHeight w:val="20"/>
          <w:jc w:val="center"/>
        </w:trPr>
        <w:tc>
          <w:tcPr>
            <w:tcW w:w="1701" w:type="dxa"/>
            <w:vAlign w:val="center"/>
          </w:tcPr>
          <w:p w14:paraId="136E35E8" w14:textId="77777777" w:rsidR="00685ADE" w:rsidRPr="004075BB" w:rsidRDefault="00685ADE" w:rsidP="002A2B54">
            <w:pPr>
              <w:spacing w:before="120" w:after="120" w:line="240" w:lineRule="auto"/>
              <w:jc w:val="center"/>
              <w:rPr>
                <w:sz w:val="18"/>
                <w:szCs w:val="18"/>
                <w:lang w:eastAsia="zh-CN"/>
              </w:rPr>
            </w:pPr>
            <w:r>
              <w:rPr>
                <w:sz w:val="18"/>
                <w:szCs w:val="18"/>
                <w:lang w:eastAsia="zh-CN"/>
              </w:rPr>
              <w:lastRenderedPageBreak/>
              <w:t>Sentinel-1</w:t>
            </w:r>
          </w:p>
        </w:tc>
        <w:tc>
          <w:tcPr>
            <w:tcW w:w="2127" w:type="dxa"/>
            <w:vAlign w:val="center"/>
          </w:tcPr>
          <w:p w14:paraId="0616C174" w14:textId="77777777" w:rsidR="00685ADE" w:rsidRPr="00EF51CC" w:rsidRDefault="00685ADE" w:rsidP="002A2B54">
            <w:pPr>
              <w:spacing w:before="120" w:after="120" w:line="240" w:lineRule="auto"/>
              <w:jc w:val="center"/>
              <w:rPr>
                <w:rFonts w:eastAsia="Times New Roman"/>
                <w:sz w:val="18"/>
                <w:szCs w:val="18"/>
              </w:rPr>
            </w:pPr>
            <w:r>
              <w:rPr>
                <w:rFonts w:eastAsia="Times New Roman"/>
                <w:sz w:val="18"/>
                <w:szCs w:val="18"/>
              </w:rPr>
              <w:t>VV; VH; VVH</w:t>
            </w:r>
          </w:p>
        </w:tc>
        <w:tc>
          <w:tcPr>
            <w:tcW w:w="1134" w:type="dxa"/>
            <w:vAlign w:val="center"/>
          </w:tcPr>
          <w:p w14:paraId="32082D26" w14:textId="77777777" w:rsidR="00685ADE" w:rsidRPr="00EF51CC" w:rsidRDefault="00685ADE" w:rsidP="002A2B54">
            <w:pPr>
              <w:spacing w:before="120" w:after="120" w:line="240" w:lineRule="auto"/>
              <w:jc w:val="center"/>
              <w:rPr>
                <w:rFonts w:eastAsia="Times New Roman"/>
                <w:sz w:val="18"/>
                <w:szCs w:val="18"/>
              </w:rPr>
            </w:pPr>
            <w:r>
              <w:rPr>
                <w:rFonts w:eastAsia="Times New Roman"/>
                <w:sz w:val="18"/>
                <w:szCs w:val="18"/>
              </w:rPr>
              <w:t>10m</w:t>
            </w:r>
          </w:p>
        </w:tc>
        <w:tc>
          <w:tcPr>
            <w:tcW w:w="708" w:type="dxa"/>
            <w:vAlign w:val="center"/>
          </w:tcPr>
          <w:p w14:paraId="7EB8D282" w14:textId="77777777" w:rsidR="00685ADE" w:rsidRPr="00EF51CC" w:rsidRDefault="00685ADE" w:rsidP="002A2B54">
            <w:pPr>
              <w:spacing w:before="120" w:after="120" w:line="240" w:lineRule="auto"/>
              <w:jc w:val="center"/>
              <w:rPr>
                <w:rFonts w:eastAsia="Times New Roman"/>
                <w:sz w:val="18"/>
                <w:szCs w:val="18"/>
              </w:rPr>
            </w:pPr>
            <w:r>
              <w:rPr>
                <w:rFonts w:eastAsia="Times New Roman"/>
                <w:sz w:val="18"/>
                <w:szCs w:val="18"/>
              </w:rPr>
              <w:t>2019-2021</w:t>
            </w:r>
          </w:p>
        </w:tc>
        <w:tc>
          <w:tcPr>
            <w:tcW w:w="2411" w:type="dxa"/>
            <w:vAlign w:val="center"/>
          </w:tcPr>
          <w:p w14:paraId="1370BEEA" w14:textId="77777777" w:rsidR="00685ADE" w:rsidRDefault="00685ADE" w:rsidP="002A2B54">
            <w:pPr>
              <w:spacing w:before="120" w:after="120" w:line="240" w:lineRule="auto"/>
              <w:jc w:val="center"/>
              <w:rPr>
                <w:rFonts w:eastAsia="Times New Roman"/>
                <w:sz w:val="18"/>
                <w:szCs w:val="18"/>
              </w:rPr>
            </w:pPr>
            <w:r>
              <w:rPr>
                <w:rFonts w:eastAsia="Times New Roman"/>
                <w:sz w:val="18"/>
                <w:szCs w:val="18"/>
              </w:rPr>
              <w:t>“</w:t>
            </w:r>
            <w:r w:rsidRPr="00093F09">
              <w:rPr>
                <w:rFonts w:eastAsia="Times New Roman"/>
                <w:sz w:val="18"/>
                <w:szCs w:val="18"/>
              </w:rPr>
              <w:t>COPERNICUS/S1_GRD” (Collection Snippet in GEE)</w:t>
            </w:r>
          </w:p>
        </w:tc>
      </w:tr>
      <w:tr w:rsidR="00685ADE" w:rsidRPr="00EF51CC" w14:paraId="11C98D1F" w14:textId="77777777" w:rsidTr="002A2B54">
        <w:trPr>
          <w:trHeight w:val="20"/>
          <w:jc w:val="center"/>
        </w:trPr>
        <w:tc>
          <w:tcPr>
            <w:tcW w:w="1701" w:type="dxa"/>
            <w:vAlign w:val="center"/>
          </w:tcPr>
          <w:p w14:paraId="5445C9C1" w14:textId="77777777" w:rsidR="00685ADE" w:rsidRDefault="00685ADE" w:rsidP="002A2B54">
            <w:pPr>
              <w:spacing w:before="120" w:after="120" w:line="240" w:lineRule="auto"/>
              <w:jc w:val="center"/>
              <w:rPr>
                <w:rFonts w:eastAsia="Times New Roman"/>
                <w:sz w:val="18"/>
                <w:szCs w:val="18"/>
              </w:rPr>
            </w:pPr>
            <w:r>
              <w:rPr>
                <w:rFonts w:hint="eastAsia"/>
                <w:sz w:val="18"/>
                <w:szCs w:val="18"/>
                <w:lang w:eastAsia="zh-CN"/>
              </w:rPr>
              <w:t>S</w:t>
            </w:r>
            <w:r>
              <w:rPr>
                <w:sz w:val="18"/>
                <w:szCs w:val="18"/>
                <w:lang w:eastAsia="zh-CN"/>
              </w:rPr>
              <w:t>entinel-2</w:t>
            </w:r>
          </w:p>
        </w:tc>
        <w:tc>
          <w:tcPr>
            <w:tcW w:w="2127" w:type="dxa"/>
            <w:vAlign w:val="center"/>
          </w:tcPr>
          <w:p w14:paraId="1459C51C" w14:textId="77777777" w:rsidR="00685ADE" w:rsidRDefault="00685ADE" w:rsidP="002A2B54">
            <w:pPr>
              <w:spacing w:before="120" w:after="120" w:line="240" w:lineRule="auto"/>
              <w:jc w:val="center"/>
              <w:rPr>
                <w:rFonts w:eastAsia="Times New Roman"/>
                <w:sz w:val="18"/>
                <w:szCs w:val="18"/>
              </w:rPr>
            </w:pPr>
            <w:r>
              <w:rPr>
                <w:rFonts w:hint="eastAsia"/>
                <w:sz w:val="18"/>
                <w:szCs w:val="18"/>
                <w:lang w:eastAsia="zh-CN"/>
              </w:rPr>
              <w:t>R</w:t>
            </w:r>
            <w:r>
              <w:rPr>
                <w:sz w:val="18"/>
                <w:szCs w:val="18"/>
                <w:lang w:eastAsia="zh-CN"/>
              </w:rPr>
              <w:t xml:space="preserve">ed; Green; Blue; SWIR1-2; Red-edge 1-4; NDVI; NDBI; </w:t>
            </w:r>
            <w:proofErr w:type="spellStart"/>
            <w:r>
              <w:rPr>
                <w:sz w:val="18"/>
                <w:szCs w:val="18"/>
                <w:lang w:eastAsia="zh-CN"/>
              </w:rPr>
              <w:t>mNDWI</w:t>
            </w:r>
            <w:proofErr w:type="spellEnd"/>
            <w:r>
              <w:rPr>
                <w:sz w:val="18"/>
                <w:szCs w:val="18"/>
                <w:lang w:eastAsia="zh-CN"/>
              </w:rPr>
              <w:t>; EVI; LSWI; CSI</w:t>
            </w:r>
          </w:p>
        </w:tc>
        <w:tc>
          <w:tcPr>
            <w:tcW w:w="1134" w:type="dxa"/>
            <w:vAlign w:val="center"/>
          </w:tcPr>
          <w:p w14:paraId="52EB8E66" w14:textId="77777777" w:rsidR="00685ADE" w:rsidRDefault="00685ADE" w:rsidP="002A2B54">
            <w:pPr>
              <w:spacing w:before="120" w:after="120" w:line="240" w:lineRule="auto"/>
              <w:jc w:val="center"/>
              <w:rPr>
                <w:sz w:val="18"/>
                <w:szCs w:val="18"/>
                <w:lang w:eastAsia="zh-CN"/>
              </w:rPr>
            </w:pPr>
            <w:r>
              <w:rPr>
                <w:rFonts w:hint="eastAsia"/>
                <w:sz w:val="18"/>
                <w:szCs w:val="18"/>
                <w:lang w:eastAsia="zh-CN"/>
              </w:rPr>
              <w:t>1</w:t>
            </w:r>
            <w:r>
              <w:rPr>
                <w:sz w:val="18"/>
                <w:szCs w:val="18"/>
                <w:lang w:eastAsia="zh-CN"/>
              </w:rPr>
              <w:t>0/20/60m</w:t>
            </w:r>
          </w:p>
        </w:tc>
        <w:tc>
          <w:tcPr>
            <w:tcW w:w="708" w:type="dxa"/>
            <w:vAlign w:val="center"/>
          </w:tcPr>
          <w:p w14:paraId="31C2C6FB" w14:textId="77777777" w:rsidR="00685ADE" w:rsidRDefault="00685ADE" w:rsidP="002A2B54">
            <w:pPr>
              <w:spacing w:before="120" w:after="120" w:line="240" w:lineRule="auto"/>
              <w:jc w:val="center"/>
              <w:rPr>
                <w:rFonts w:eastAsia="Times New Roman"/>
                <w:sz w:val="18"/>
                <w:szCs w:val="18"/>
              </w:rPr>
            </w:pPr>
            <w:r>
              <w:rPr>
                <w:rFonts w:eastAsia="Times New Roman"/>
                <w:sz w:val="18"/>
                <w:szCs w:val="18"/>
              </w:rPr>
              <w:t>2019-2021</w:t>
            </w:r>
          </w:p>
        </w:tc>
        <w:tc>
          <w:tcPr>
            <w:tcW w:w="2411" w:type="dxa"/>
            <w:vAlign w:val="center"/>
          </w:tcPr>
          <w:p w14:paraId="1858628D" w14:textId="77777777" w:rsidR="00685ADE" w:rsidRPr="0062226B" w:rsidRDefault="00685ADE" w:rsidP="002A2B54">
            <w:pPr>
              <w:spacing w:before="120" w:after="120" w:line="240" w:lineRule="auto"/>
              <w:jc w:val="center"/>
              <w:rPr>
                <w:rFonts w:eastAsia="Times New Roman"/>
                <w:sz w:val="18"/>
                <w:szCs w:val="18"/>
              </w:rPr>
            </w:pPr>
            <w:r w:rsidRPr="00093F09">
              <w:rPr>
                <w:rFonts w:hint="eastAsia"/>
                <w:sz w:val="18"/>
                <w:szCs w:val="18"/>
                <w:lang w:eastAsia="zh-CN"/>
              </w:rPr>
              <w:t>“</w:t>
            </w:r>
            <w:r w:rsidRPr="00093F09">
              <w:rPr>
                <w:sz w:val="18"/>
                <w:szCs w:val="18"/>
                <w:lang w:eastAsia="zh-CN"/>
              </w:rPr>
              <w:t>COPERNICUS/S2_SR” (Collection Snippet in GEE)</w:t>
            </w:r>
          </w:p>
        </w:tc>
      </w:tr>
      <w:tr w:rsidR="00685ADE" w:rsidRPr="00EF51CC" w14:paraId="5DEAC087" w14:textId="77777777" w:rsidTr="002A2B54">
        <w:trPr>
          <w:trHeight w:val="20"/>
          <w:jc w:val="center"/>
        </w:trPr>
        <w:tc>
          <w:tcPr>
            <w:tcW w:w="1701" w:type="dxa"/>
            <w:vAlign w:val="center"/>
          </w:tcPr>
          <w:p w14:paraId="7C37A631" w14:textId="77777777" w:rsidR="00685ADE" w:rsidRDefault="00685ADE" w:rsidP="002A2B54">
            <w:pPr>
              <w:spacing w:before="120" w:after="120" w:line="240" w:lineRule="auto"/>
              <w:jc w:val="center"/>
              <w:rPr>
                <w:sz w:val="18"/>
                <w:szCs w:val="18"/>
                <w:lang w:eastAsia="zh-CN"/>
              </w:rPr>
            </w:pPr>
            <w:r>
              <w:rPr>
                <w:rFonts w:eastAsia="Times New Roman"/>
                <w:sz w:val="18"/>
                <w:szCs w:val="18"/>
              </w:rPr>
              <w:t>PALSAR</w:t>
            </w:r>
          </w:p>
        </w:tc>
        <w:tc>
          <w:tcPr>
            <w:tcW w:w="2127" w:type="dxa"/>
            <w:vAlign w:val="center"/>
          </w:tcPr>
          <w:p w14:paraId="7DEF8E06" w14:textId="77777777" w:rsidR="00685ADE" w:rsidRDefault="00685ADE" w:rsidP="002A2B54">
            <w:pPr>
              <w:spacing w:before="120" w:after="120" w:line="240" w:lineRule="auto"/>
              <w:jc w:val="center"/>
              <w:rPr>
                <w:rFonts w:eastAsia="Times New Roman"/>
                <w:sz w:val="18"/>
                <w:szCs w:val="18"/>
              </w:rPr>
            </w:pPr>
            <w:r>
              <w:rPr>
                <w:rFonts w:eastAsia="Times New Roman"/>
                <w:sz w:val="18"/>
                <w:szCs w:val="18"/>
              </w:rPr>
              <w:t>HH; HV</w:t>
            </w:r>
          </w:p>
        </w:tc>
        <w:tc>
          <w:tcPr>
            <w:tcW w:w="1134" w:type="dxa"/>
            <w:vAlign w:val="center"/>
          </w:tcPr>
          <w:p w14:paraId="6A286F7E" w14:textId="77777777" w:rsidR="00685ADE" w:rsidRPr="00945F92" w:rsidRDefault="00685ADE" w:rsidP="002A2B54">
            <w:pPr>
              <w:spacing w:before="120" w:after="120" w:line="240" w:lineRule="auto"/>
              <w:jc w:val="center"/>
              <w:rPr>
                <w:sz w:val="18"/>
                <w:szCs w:val="18"/>
                <w:lang w:eastAsia="zh-CN"/>
              </w:rPr>
            </w:pPr>
            <w:r>
              <w:rPr>
                <w:rFonts w:hint="eastAsia"/>
                <w:sz w:val="18"/>
                <w:szCs w:val="18"/>
                <w:lang w:eastAsia="zh-CN"/>
              </w:rPr>
              <w:t>2</w:t>
            </w:r>
            <w:r>
              <w:rPr>
                <w:sz w:val="18"/>
                <w:szCs w:val="18"/>
                <w:lang w:eastAsia="zh-CN"/>
              </w:rPr>
              <w:t>5m</w:t>
            </w:r>
          </w:p>
        </w:tc>
        <w:tc>
          <w:tcPr>
            <w:tcW w:w="708" w:type="dxa"/>
            <w:vAlign w:val="center"/>
          </w:tcPr>
          <w:p w14:paraId="2C4A2398" w14:textId="77777777" w:rsidR="00685ADE" w:rsidRPr="00EF51CC" w:rsidRDefault="00685ADE" w:rsidP="002A2B54">
            <w:pPr>
              <w:spacing w:before="120" w:after="120" w:line="240" w:lineRule="auto"/>
              <w:jc w:val="center"/>
              <w:rPr>
                <w:rFonts w:eastAsia="Times New Roman"/>
                <w:sz w:val="18"/>
                <w:szCs w:val="18"/>
              </w:rPr>
            </w:pPr>
            <w:r>
              <w:rPr>
                <w:rFonts w:eastAsia="Times New Roman"/>
                <w:sz w:val="18"/>
                <w:szCs w:val="18"/>
              </w:rPr>
              <w:t>2019-2021</w:t>
            </w:r>
          </w:p>
        </w:tc>
        <w:tc>
          <w:tcPr>
            <w:tcW w:w="2411" w:type="dxa"/>
            <w:vAlign w:val="center"/>
          </w:tcPr>
          <w:p w14:paraId="33444A7F" w14:textId="77777777" w:rsidR="00685ADE" w:rsidRDefault="00685ADE" w:rsidP="002A2B54">
            <w:pPr>
              <w:spacing w:before="120" w:after="120" w:line="240" w:lineRule="auto"/>
              <w:jc w:val="center"/>
              <w:rPr>
                <w:rFonts w:eastAsia="Times New Roman"/>
                <w:sz w:val="18"/>
                <w:szCs w:val="18"/>
              </w:rPr>
            </w:pPr>
            <w:r w:rsidRPr="0062226B">
              <w:rPr>
                <w:rFonts w:eastAsia="Times New Roman" w:hint="eastAsia"/>
                <w:sz w:val="18"/>
                <w:szCs w:val="18"/>
              </w:rPr>
              <w:t>“</w:t>
            </w:r>
            <w:r w:rsidRPr="0062226B">
              <w:rPr>
                <w:rFonts w:eastAsia="Times New Roman"/>
                <w:sz w:val="18"/>
                <w:szCs w:val="18"/>
              </w:rPr>
              <w:t>JAXA/ALOS/PALSAR/YEARLY/ SAR”</w:t>
            </w:r>
          </w:p>
        </w:tc>
      </w:tr>
      <w:tr w:rsidR="00685ADE" w:rsidRPr="00777D65" w14:paraId="0222C48F" w14:textId="77777777" w:rsidTr="002A2B54">
        <w:trPr>
          <w:trHeight w:val="20"/>
          <w:jc w:val="center"/>
        </w:trPr>
        <w:tc>
          <w:tcPr>
            <w:tcW w:w="1701" w:type="dxa"/>
            <w:vAlign w:val="center"/>
          </w:tcPr>
          <w:p w14:paraId="11E8E572" w14:textId="77777777" w:rsidR="00685ADE" w:rsidRPr="000A0C19" w:rsidRDefault="00685ADE" w:rsidP="002A2B54">
            <w:pPr>
              <w:spacing w:before="120" w:after="120" w:line="240" w:lineRule="auto"/>
              <w:jc w:val="center"/>
              <w:rPr>
                <w:sz w:val="18"/>
                <w:szCs w:val="18"/>
                <w:lang w:eastAsia="zh-CN"/>
              </w:rPr>
            </w:pPr>
            <w:r>
              <w:rPr>
                <w:rFonts w:hint="eastAsia"/>
                <w:sz w:val="18"/>
                <w:szCs w:val="18"/>
                <w:lang w:eastAsia="zh-CN"/>
              </w:rPr>
              <w:t>V</w:t>
            </w:r>
            <w:r>
              <w:rPr>
                <w:sz w:val="18"/>
                <w:szCs w:val="18"/>
                <w:lang w:eastAsia="zh-CN"/>
              </w:rPr>
              <w:t>IIRS</w:t>
            </w:r>
          </w:p>
        </w:tc>
        <w:tc>
          <w:tcPr>
            <w:tcW w:w="2127" w:type="dxa"/>
            <w:vAlign w:val="center"/>
          </w:tcPr>
          <w:p w14:paraId="2EB6F732" w14:textId="77777777" w:rsidR="00685ADE" w:rsidRPr="0019328F" w:rsidRDefault="00685ADE" w:rsidP="002A2B54">
            <w:pPr>
              <w:spacing w:before="120" w:after="120" w:line="240" w:lineRule="auto"/>
              <w:jc w:val="center"/>
              <w:rPr>
                <w:sz w:val="18"/>
                <w:szCs w:val="18"/>
                <w:lang w:eastAsia="zh-CN"/>
              </w:rPr>
            </w:pPr>
            <w:r w:rsidRPr="0019328F">
              <w:rPr>
                <w:sz w:val="18"/>
                <w:szCs w:val="18"/>
                <w:lang w:eastAsia="zh-CN"/>
              </w:rPr>
              <w:t xml:space="preserve">Annual global VIIRS nighttime lights </w:t>
            </w:r>
            <w:r>
              <w:rPr>
                <w:sz w:val="18"/>
                <w:szCs w:val="18"/>
                <w:lang w:eastAsia="zh-CN"/>
              </w:rPr>
              <w:t xml:space="preserve">(NTL) </w:t>
            </w:r>
            <w:r w:rsidRPr="0019328F">
              <w:rPr>
                <w:sz w:val="18"/>
                <w:szCs w:val="18"/>
                <w:lang w:eastAsia="zh-CN"/>
              </w:rPr>
              <w:t>dataset</w:t>
            </w:r>
          </w:p>
        </w:tc>
        <w:tc>
          <w:tcPr>
            <w:tcW w:w="1134" w:type="dxa"/>
            <w:vAlign w:val="center"/>
          </w:tcPr>
          <w:p w14:paraId="3C35F628" w14:textId="77777777" w:rsidR="00685ADE" w:rsidRPr="00936840" w:rsidRDefault="00685ADE" w:rsidP="002A2B54">
            <w:pPr>
              <w:spacing w:before="120" w:after="120" w:line="240" w:lineRule="auto"/>
              <w:jc w:val="center"/>
              <w:rPr>
                <w:sz w:val="18"/>
                <w:szCs w:val="18"/>
                <w:lang w:eastAsia="zh-CN"/>
              </w:rPr>
            </w:pPr>
            <w:r>
              <w:rPr>
                <w:rFonts w:hint="eastAsia"/>
                <w:sz w:val="18"/>
                <w:szCs w:val="18"/>
                <w:lang w:eastAsia="zh-CN"/>
              </w:rPr>
              <w:t>4</w:t>
            </w:r>
            <w:r>
              <w:rPr>
                <w:sz w:val="18"/>
                <w:szCs w:val="18"/>
                <w:lang w:eastAsia="zh-CN"/>
              </w:rPr>
              <w:t>63.83</w:t>
            </w:r>
            <w:r>
              <w:rPr>
                <w:rFonts w:hint="eastAsia"/>
                <w:sz w:val="18"/>
                <w:szCs w:val="18"/>
                <w:lang w:eastAsia="zh-CN"/>
              </w:rPr>
              <w:t>m</w:t>
            </w:r>
          </w:p>
        </w:tc>
        <w:tc>
          <w:tcPr>
            <w:tcW w:w="708" w:type="dxa"/>
            <w:vAlign w:val="center"/>
          </w:tcPr>
          <w:p w14:paraId="7D3130D2" w14:textId="77777777" w:rsidR="00685ADE" w:rsidRPr="00936840" w:rsidRDefault="00685ADE" w:rsidP="002A2B54">
            <w:pPr>
              <w:spacing w:before="120" w:after="120" w:line="240" w:lineRule="auto"/>
              <w:jc w:val="center"/>
              <w:rPr>
                <w:sz w:val="18"/>
                <w:szCs w:val="18"/>
                <w:lang w:eastAsia="zh-CN"/>
              </w:rPr>
            </w:pPr>
            <w:r>
              <w:rPr>
                <w:rFonts w:hint="eastAsia"/>
                <w:sz w:val="18"/>
                <w:szCs w:val="18"/>
                <w:lang w:eastAsia="zh-CN"/>
              </w:rPr>
              <w:t>2</w:t>
            </w:r>
            <w:r>
              <w:rPr>
                <w:sz w:val="18"/>
                <w:szCs w:val="18"/>
                <w:lang w:eastAsia="zh-CN"/>
              </w:rPr>
              <w:t>012-2021</w:t>
            </w:r>
          </w:p>
        </w:tc>
        <w:tc>
          <w:tcPr>
            <w:tcW w:w="2411" w:type="dxa"/>
            <w:vAlign w:val="center"/>
          </w:tcPr>
          <w:p w14:paraId="632AF5C0" w14:textId="77777777" w:rsidR="00685ADE" w:rsidRPr="00777D65" w:rsidRDefault="00685ADE" w:rsidP="002A2B54">
            <w:pPr>
              <w:spacing w:before="120" w:after="120" w:line="240" w:lineRule="auto"/>
              <w:jc w:val="center"/>
              <w:rPr>
                <w:sz w:val="18"/>
                <w:szCs w:val="18"/>
                <w:lang w:eastAsia="zh-CN"/>
              </w:rPr>
            </w:pPr>
            <w:r>
              <w:rPr>
                <w:sz w:val="18"/>
                <w:szCs w:val="18"/>
                <w:lang w:eastAsia="zh-CN"/>
              </w:rPr>
              <w:t>“</w:t>
            </w:r>
            <w:r w:rsidRPr="00777D65">
              <w:rPr>
                <w:sz w:val="18"/>
                <w:szCs w:val="18"/>
                <w:lang w:eastAsia="zh-CN"/>
              </w:rPr>
              <w:t>VIIRS Nighttime Day/Night Annual Band Composites</w:t>
            </w:r>
            <w:r>
              <w:rPr>
                <w:sz w:val="18"/>
                <w:szCs w:val="18"/>
                <w:lang w:eastAsia="zh-CN"/>
              </w:rPr>
              <w:t>”</w:t>
            </w:r>
            <w:r w:rsidRPr="00777D65">
              <w:rPr>
                <w:rFonts w:eastAsia="Times New Roman"/>
                <w:sz w:val="18"/>
                <w:szCs w:val="18"/>
              </w:rPr>
              <w:t xml:space="preserve"> (Collection Snippet in GEE)</w:t>
            </w:r>
          </w:p>
        </w:tc>
      </w:tr>
      <w:tr w:rsidR="00685ADE" w:rsidRPr="00EF51CC" w14:paraId="3EEE228E" w14:textId="77777777" w:rsidTr="002A2B54">
        <w:trPr>
          <w:trHeight w:val="20"/>
          <w:jc w:val="center"/>
        </w:trPr>
        <w:tc>
          <w:tcPr>
            <w:tcW w:w="1701" w:type="dxa"/>
            <w:vAlign w:val="center"/>
          </w:tcPr>
          <w:p w14:paraId="0ADB5474" w14:textId="77777777" w:rsidR="00685ADE" w:rsidRPr="00945F92" w:rsidRDefault="00685ADE" w:rsidP="002A2B54">
            <w:pPr>
              <w:spacing w:before="120" w:after="120" w:line="240" w:lineRule="auto"/>
              <w:jc w:val="center"/>
              <w:rPr>
                <w:sz w:val="18"/>
                <w:szCs w:val="18"/>
                <w:lang w:eastAsia="zh-CN"/>
              </w:rPr>
            </w:pPr>
            <w:r>
              <w:rPr>
                <w:rFonts w:hint="eastAsia"/>
                <w:sz w:val="18"/>
                <w:szCs w:val="18"/>
                <w:lang w:eastAsia="zh-CN"/>
              </w:rPr>
              <w:t>S</w:t>
            </w:r>
            <w:r>
              <w:rPr>
                <w:sz w:val="18"/>
                <w:szCs w:val="18"/>
                <w:lang w:eastAsia="zh-CN"/>
              </w:rPr>
              <w:t>RTM</w:t>
            </w:r>
          </w:p>
        </w:tc>
        <w:tc>
          <w:tcPr>
            <w:tcW w:w="2127" w:type="dxa"/>
            <w:vAlign w:val="center"/>
          </w:tcPr>
          <w:p w14:paraId="1B43A9F5" w14:textId="77777777" w:rsidR="00685ADE" w:rsidRPr="00945F92" w:rsidRDefault="00685ADE" w:rsidP="002A2B54">
            <w:pPr>
              <w:spacing w:before="120" w:after="120" w:line="240" w:lineRule="auto"/>
              <w:jc w:val="center"/>
              <w:rPr>
                <w:sz w:val="18"/>
                <w:szCs w:val="18"/>
                <w:lang w:eastAsia="zh-CN"/>
              </w:rPr>
            </w:pPr>
            <w:r>
              <w:rPr>
                <w:rFonts w:hint="eastAsia"/>
                <w:sz w:val="18"/>
                <w:szCs w:val="18"/>
                <w:lang w:eastAsia="zh-CN"/>
              </w:rPr>
              <w:t>D</w:t>
            </w:r>
            <w:r>
              <w:rPr>
                <w:sz w:val="18"/>
                <w:szCs w:val="18"/>
                <w:lang w:eastAsia="zh-CN"/>
              </w:rPr>
              <w:t>EM; slope</w:t>
            </w:r>
          </w:p>
        </w:tc>
        <w:tc>
          <w:tcPr>
            <w:tcW w:w="1134" w:type="dxa"/>
            <w:vAlign w:val="center"/>
          </w:tcPr>
          <w:p w14:paraId="0DDBCEE0" w14:textId="77777777" w:rsidR="00685ADE" w:rsidRPr="00945F92" w:rsidRDefault="00685ADE" w:rsidP="002A2B54">
            <w:pPr>
              <w:spacing w:before="120" w:after="120" w:line="240" w:lineRule="auto"/>
              <w:jc w:val="center"/>
              <w:rPr>
                <w:sz w:val="18"/>
                <w:szCs w:val="18"/>
                <w:lang w:eastAsia="zh-CN"/>
              </w:rPr>
            </w:pPr>
            <w:r>
              <w:rPr>
                <w:rFonts w:hint="eastAsia"/>
                <w:sz w:val="18"/>
                <w:szCs w:val="18"/>
                <w:lang w:eastAsia="zh-CN"/>
              </w:rPr>
              <w:t>9</w:t>
            </w:r>
            <w:r>
              <w:rPr>
                <w:sz w:val="18"/>
                <w:szCs w:val="18"/>
                <w:lang w:eastAsia="zh-CN"/>
              </w:rPr>
              <w:t>0m</w:t>
            </w:r>
          </w:p>
        </w:tc>
        <w:tc>
          <w:tcPr>
            <w:tcW w:w="708" w:type="dxa"/>
            <w:vAlign w:val="center"/>
          </w:tcPr>
          <w:p w14:paraId="449C186A" w14:textId="77777777" w:rsidR="00685ADE" w:rsidRPr="00945F92" w:rsidRDefault="00685ADE" w:rsidP="002A2B54">
            <w:pPr>
              <w:spacing w:before="120" w:after="120" w:line="240" w:lineRule="auto"/>
              <w:jc w:val="center"/>
              <w:rPr>
                <w:sz w:val="18"/>
                <w:szCs w:val="18"/>
                <w:lang w:eastAsia="zh-CN"/>
              </w:rPr>
            </w:pPr>
            <w:r>
              <w:rPr>
                <w:rFonts w:hint="eastAsia"/>
                <w:sz w:val="18"/>
                <w:szCs w:val="18"/>
                <w:lang w:eastAsia="zh-CN"/>
              </w:rPr>
              <w:t>2</w:t>
            </w:r>
            <w:r>
              <w:rPr>
                <w:sz w:val="18"/>
                <w:szCs w:val="18"/>
                <w:lang w:eastAsia="zh-CN"/>
              </w:rPr>
              <w:t>000</w:t>
            </w:r>
          </w:p>
        </w:tc>
        <w:tc>
          <w:tcPr>
            <w:tcW w:w="2411" w:type="dxa"/>
            <w:vAlign w:val="center"/>
          </w:tcPr>
          <w:p w14:paraId="33618312" w14:textId="77777777" w:rsidR="00685ADE" w:rsidRPr="00EF51CC" w:rsidRDefault="00B65B80" w:rsidP="002A2B54">
            <w:pPr>
              <w:spacing w:before="120" w:after="120" w:line="240" w:lineRule="auto"/>
              <w:jc w:val="center"/>
              <w:rPr>
                <w:rFonts w:eastAsia="Times New Roman"/>
                <w:sz w:val="18"/>
                <w:szCs w:val="18"/>
              </w:rPr>
            </w:pPr>
            <w:hyperlink r:id="rId11" w:history="1">
              <w:r w:rsidR="00685ADE" w:rsidRPr="00291C72">
                <w:rPr>
                  <w:rStyle w:val="aa"/>
                  <w:rFonts w:eastAsia="Times New Roman"/>
                  <w:sz w:val="18"/>
                  <w:szCs w:val="18"/>
                </w:rPr>
                <w:t>https://srtm.csi.cgiar.org</w:t>
              </w:r>
            </w:hyperlink>
            <w:r w:rsidR="00685ADE">
              <w:rPr>
                <w:rFonts w:eastAsia="Times New Roman"/>
                <w:sz w:val="18"/>
                <w:szCs w:val="18"/>
              </w:rPr>
              <w:t xml:space="preserve"> </w:t>
            </w:r>
          </w:p>
        </w:tc>
      </w:tr>
      <w:tr w:rsidR="004D293B" w:rsidRPr="00EF51CC" w14:paraId="2C589A6C" w14:textId="77777777" w:rsidTr="002A2B54">
        <w:trPr>
          <w:trHeight w:val="20"/>
          <w:jc w:val="center"/>
        </w:trPr>
        <w:tc>
          <w:tcPr>
            <w:tcW w:w="1701" w:type="dxa"/>
            <w:vAlign w:val="center"/>
          </w:tcPr>
          <w:p w14:paraId="06EF696E" w14:textId="53715BA4" w:rsidR="004D293B" w:rsidRDefault="004D293B" w:rsidP="004D293B">
            <w:pPr>
              <w:spacing w:before="120" w:after="120" w:line="240" w:lineRule="auto"/>
              <w:jc w:val="center"/>
              <w:rPr>
                <w:sz w:val="18"/>
                <w:szCs w:val="18"/>
                <w:lang w:eastAsia="zh-CN"/>
              </w:rPr>
            </w:pPr>
            <w:r>
              <w:rPr>
                <w:rFonts w:hint="eastAsia"/>
                <w:sz w:val="18"/>
                <w:szCs w:val="18"/>
                <w:lang w:eastAsia="zh-CN"/>
              </w:rPr>
              <w:t>L</w:t>
            </w:r>
            <w:r>
              <w:rPr>
                <w:sz w:val="18"/>
                <w:szCs w:val="18"/>
                <w:lang w:eastAsia="zh-CN"/>
              </w:rPr>
              <w:t>ocation</w:t>
            </w:r>
          </w:p>
        </w:tc>
        <w:tc>
          <w:tcPr>
            <w:tcW w:w="2127" w:type="dxa"/>
            <w:vAlign w:val="center"/>
          </w:tcPr>
          <w:p w14:paraId="29AC42D5" w14:textId="3ED58855" w:rsidR="004D293B" w:rsidRDefault="004D293B" w:rsidP="004D293B">
            <w:pPr>
              <w:spacing w:before="120" w:after="120" w:line="240" w:lineRule="auto"/>
              <w:jc w:val="center"/>
              <w:rPr>
                <w:sz w:val="18"/>
                <w:szCs w:val="18"/>
                <w:lang w:eastAsia="zh-CN"/>
              </w:rPr>
            </w:pPr>
            <w:r>
              <w:rPr>
                <w:rFonts w:hint="eastAsia"/>
                <w:sz w:val="18"/>
                <w:szCs w:val="18"/>
                <w:lang w:eastAsia="zh-CN"/>
              </w:rPr>
              <w:t>L</w:t>
            </w:r>
            <w:r>
              <w:rPr>
                <w:sz w:val="18"/>
                <w:szCs w:val="18"/>
                <w:lang w:eastAsia="zh-CN"/>
              </w:rPr>
              <w:t>atitude; Longitude</w:t>
            </w:r>
          </w:p>
        </w:tc>
        <w:tc>
          <w:tcPr>
            <w:tcW w:w="1134" w:type="dxa"/>
            <w:vAlign w:val="center"/>
          </w:tcPr>
          <w:p w14:paraId="508C9CC0" w14:textId="20DBF1FB" w:rsidR="004D293B" w:rsidRDefault="004D293B" w:rsidP="004D293B">
            <w:pPr>
              <w:spacing w:before="120" w:after="120" w:line="240" w:lineRule="auto"/>
              <w:jc w:val="center"/>
              <w:rPr>
                <w:sz w:val="18"/>
                <w:szCs w:val="18"/>
                <w:lang w:eastAsia="zh-CN"/>
              </w:rPr>
            </w:pPr>
            <w:r>
              <w:rPr>
                <w:rFonts w:hint="eastAsia"/>
                <w:sz w:val="18"/>
                <w:szCs w:val="18"/>
                <w:lang w:eastAsia="zh-CN"/>
              </w:rPr>
              <w:t>1</w:t>
            </w:r>
            <w:r>
              <w:rPr>
                <w:sz w:val="18"/>
                <w:szCs w:val="18"/>
                <w:lang w:eastAsia="zh-CN"/>
              </w:rPr>
              <w:t>0m</w:t>
            </w:r>
          </w:p>
        </w:tc>
        <w:tc>
          <w:tcPr>
            <w:tcW w:w="708" w:type="dxa"/>
            <w:vAlign w:val="center"/>
          </w:tcPr>
          <w:p w14:paraId="3D665482" w14:textId="30DF0081" w:rsidR="004D293B" w:rsidRDefault="004D293B" w:rsidP="004D293B">
            <w:pPr>
              <w:spacing w:before="120" w:after="120" w:line="240" w:lineRule="auto"/>
              <w:jc w:val="center"/>
              <w:rPr>
                <w:sz w:val="18"/>
                <w:szCs w:val="18"/>
                <w:lang w:eastAsia="zh-CN"/>
              </w:rPr>
            </w:pPr>
            <w:r>
              <w:rPr>
                <w:rFonts w:hint="eastAsia"/>
                <w:lang w:eastAsia="zh-CN"/>
              </w:rPr>
              <w:t>/</w:t>
            </w:r>
          </w:p>
        </w:tc>
        <w:tc>
          <w:tcPr>
            <w:tcW w:w="2411" w:type="dxa"/>
            <w:vAlign w:val="center"/>
          </w:tcPr>
          <w:p w14:paraId="19C4C224" w14:textId="762311ED" w:rsidR="004D293B" w:rsidRDefault="004D293B" w:rsidP="004D293B">
            <w:pPr>
              <w:spacing w:before="120" w:after="120" w:line="240" w:lineRule="auto"/>
              <w:jc w:val="center"/>
            </w:pPr>
            <w:r>
              <w:rPr>
                <w:rFonts w:hint="eastAsia"/>
                <w:sz w:val="18"/>
                <w:szCs w:val="18"/>
                <w:lang w:eastAsia="zh-CN"/>
              </w:rPr>
              <w:t>/</w:t>
            </w:r>
          </w:p>
        </w:tc>
      </w:tr>
      <w:tr w:rsidR="004D293B" w:rsidRPr="00EF51CC" w14:paraId="74A34E38" w14:textId="77777777" w:rsidTr="002A2B54">
        <w:trPr>
          <w:trHeight w:val="20"/>
          <w:jc w:val="center"/>
        </w:trPr>
        <w:tc>
          <w:tcPr>
            <w:tcW w:w="1701" w:type="dxa"/>
            <w:vAlign w:val="center"/>
          </w:tcPr>
          <w:p w14:paraId="6B5F60AE" w14:textId="77777777" w:rsidR="004D293B" w:rsidRDefault="004D293B" w:rsidP="004D293B">
            <w:pPr>
              <w:spacing w:before="120" w:after="120" w:line="240" w:lineRule="auto"/>
              <w:jc w:val="center"/>
              <w:rPr>
                <w:sz w:val="18"/>
                <w:szCs w:val="18"/>
                <w:lang w:eastAsia="zh-CN"/>
              </w:rPr>
            </w:pPr>
            <w:r>
              <w:rPr>
                <w:rFonts w:hint="eastAsia"/>
                <w:sz w:val="18"/>
                <w:szCs w:val="18"/>
                <w:lang w:eastAsia="zh-CN"/>
              </w:rPr>
              <w:t>G</w:t>
            </w:r>
            <w:r>
              <w:rPr>
                <w:sz w:val="18"/>
                <w:szCs w:val="18"/>
                <w:lang w:eastAsia="zh-CN"/>
              </w:rPr>
              <w:t>lobal Building Height</w:t>
            </w:r>
          </w:p>
        </w:tc>
        <w:tc>
          <w:tcPr>
            <w:tcW w:w="2127" w:type="dxa"/>
            <w:vAlign w:val="center"/>
          </w:tcPr>
          <w:p w14:paraId="450CD6F1" w14:textId="77777777" w:rsidR="004D293B" w:rsidRPr="00592463" w:rsidRDefault="004D293B" w:rsidP="004D293B">
            <w:pPr>
              <w:spacing w:before="120" w:after="120" w:line="240" w:lineRule="auto"/>
              <w:jc w:val="center"/>
              <w:rPr>
                <w:sz w:val="18"/>
                <w:szCs w:val="18"/>
                <w:lang w:eastAsia="zh-CN"/>
              </w:rPr>
            </w:pPr>
            <w:r>
              <w:rPr>
                <w:rFonts w:hint="eastAsia"/>
                <w:sz w:val="18"/>
                <w:szCs w:val="18"/>
                <w:lang w:eastAsia="zh-CN"/>
              </w:rPr>
              <w:t>B</w:t>
            </w:r>
            <w:r>
              <w:rPr>
                <w:sz w:val="18"/>
                <w:szCs w:val="18"/>
                <w:lang w:eastAsia="zh-CN"/>
              </w:rPr>
              <w:t>uilding height</w:t>
            </w:r>
          </w:p>
        </w:tc>
        <w:tc>
          <w:tcPr>
            <w:tcW w:w="1134" w:type="dxa"/>
            <w:vAlign w:val="center"/>
          </w:tcPr>
          <w:p w14:paraId="189EAC67" w14:textId="77777777" w:rsidR="004D293B" w:rsidRPr="00592463" w:rsidRDefault="004D293B" w:rsidP="004D293B">
            <w:pPr>
              <w:spacing w:before="120" w:after="120" w:line="240" w:lineRule="auto"/>
              <w:jc w:val="center"/>
              <w:rPr>
                <w:sz w:val="18"/>
                <w:szCs w:val="18"/>
                <w:lang w:eastAsia="zh-CN"/>
              </w:rPr>
            </w:pPr>
            <w:r>
              <w:rPr>
                <w:rFonts w:hint="eastAsia"/>
                <w:sz w:val="18"/>
                <w:szCs w:val="18"/>
                <w:lang w:eastAsia="zh-CN"/>
              </w:rPr>
              <w:t>3</w:t>
            </w:r>
            <w:r>
              <w:rPr>
                <w:sz w:val="18"/>
                <w:szCs w:val="18"/>
                <w:lang w:eastAsia="zh-CN"/>
              </w:rPr>
              <w:t>0m</w:t>
            </w:r>
          </w:p>
        </w:tc>
        <w:tc>
          <w:tcPr>
            <w:tcW w:w="708" w:type="dxa"/>
            <w:vAlign w:val="center"/>
          </w:tcPr>
          <w:p w14:paraId="1A489E86" w14:textId="77777777" w:rsidR="004D293B" w:rsidRPr="00592463" w:rsidRDefault="004D293B" w:rsidP="004D293B">
            <w:pPr>
              <w:spacing w:before="120" w:after="120" w:line="240" w:lineRule="auto"/>
              <w:jc w:val="center"/>
              <w:rPr>
                <w:sz w:val="18"/>
                <w:szCs w:val="18"/>
                <w:lang w:eastAsia="zh-CN"/>
              </w:rPr>
            </w:pPr>
            <w:r>
              <w:rPr>
                <w:sz w:val="18"/>
                <w:szCs w:val="18"/>
                <w:lang w:eastAsia="zh-CN"/>
              </w:rPr>
              <w:t>1990-2010</w:t>
            </w:r>
          </w:p>
        </w:tc>
        <w:tc>
          <w:tcPr>
            <w:tcW w:w="2411" w:type="dxa"/>
            <w:vAlign w:val="center"/>
          </w:tcPr>
          <w:p w14:paraId="6EF62982" w14:textId="77777777" w:rsidR="004D293B" w:rsidRPr="00EF51CC" w:rsidRDefault="00B65B80" w:rsidP="004D293B">
            <w:pPr>
              <w:spacing w:before="120" w:after="120" w:line="240" w:lineRule="auto"/>
              <w:jc w:val="center"/>
              <w:rPr>
                <w:rFonts w:eastAsia="Times New Roman"/>
                <w:sz w:val="18"/>
                <w:szCs w:val="18"/>
              </w:rPr>
            </w:pPr>
            <w:hyperlink r:id="rId12" w:history="1">
              <w:r w:rsidR="004D293B" w:rsidRPr="00291C72">
                <w:rPr>
                  <w:rStyle w:val="aa"/>
                  <w:rFonts w:eastAsia="Times New Roman"/>
                  <w:sz w:val="18"/>
                  <w:szCs w:val="18"/>
                </w:rPr>
                <w:t>https://github.com/XinYijie/GlobalBuildingHeight</w:t>
              </w:r>
            </w:hyperlink>
            <w:r w:rsidR="004D293B">
              <w:rPr>
                <w:rFonts w:eastAsia="Times New Roman"/>
                <w:sz w:val="18"/>
                <w:szCs w:val="18"/>
              </w:rPr>
              <w:t xml:space="preserve"> </w:t>
            </w:r>
          </w:p>
        </w:tc>
      </w:tr>
      <w:tr w:rsidR="004D293B" w:rsidRPr="00EF51CC" w14:paraId="1DC2189B" w14:textId="77777777" w:rsidTr="002A2B54">
        <w:trPr>
          <w:trHeight w:val="20"/>
          <w:jc w:val="center"/>
        </w:trPr>
        <w:tc>
          <w:tcPr>
            <w:tcW w:w="1701" w:type="dxa"/>
            <w:vAlign w:val="center"/>
          </w:tcPr>
          <w:p w14:paraId="37FCAD0F" w14:textId="77777777" w:rsidR="004D293B" w:rsidRDefault="004D293B" w:rsidP="004D293B">
            <w:pPr>
              <w:spacing w:before="120" w:after="120" w:line="240" w:lineRule="auto"/>
              <w:jc w:val="center"/>
              <w:rPr>
                <w:sz w:val="18"/>
                <w:szCs w:val="18"/>
                <w:lang w:eastAsia="zh-CN"/>
              </w:rPr>
            </w:pPr>
            <w:r w:rsidRPr="00B62AD1">
              <w:rPr>
                <w:sz w:val="18"/>
                <w:szCs w:val="18"/>
                <w:lang w:eastAsia="zh-CN"/>
              </w:rPr>
              <w:t>Global Ecosystem Dynamics Investigation (GEDI)</w:t>
            </w:r>
          </w:p>
        </w:tc>
        <w:tc>
          <w:tcPr>
            <w:tcW w:w="2127" w:type="dxa"/>
            <w:vAlign w:val="center"/>
          </w:tcPr>
          <w:p w14:paraId="7387F5E2" w14:textId="77777777" w:rsidR="004D293B" w:rsidRDefault="004D293B" w:rsidP="004D293B">
            <w:pPr>
              <w:spacing w:before="120" w:after="120" w:line="240" w:lineRule="auto"/>
              <w:jc w:val="center"/>
              <w:rPr>
                <w:sz w:val="18"/>
                <w:szCs w:val="18"/>
                <w:lang w:eastAsia="zh-CN"/>
              </w:rPr>
            </w:pPr>
            <w:r>
              <w:rPr>
                <w:rFonts w:hint="eastAsia"/>
                <w:sz w:val="18"/>
                <w:szCs w:val="18"/>
                <w:lang w:eastAsia="zh-CN"/>
              </w:rPr>
              <w:t>B</w:t>
            </w:r>
            <w:r>
              <w:rPr>
                <w:sz w:val="18"/>
                <w:szCs w:val="18"/>
                <w:lang w:eastAsia="zh-CN"/>
              </w:rPr>
              <w:t>uilding height</w:t>
            </w:r>
          </w:p>
        </w:tc>
        <w:tc>
          <w:tcPr>
            <w:tcW w:w="1134" w:type="dxa"/>
            <w:vAlign w:val="center"/>
          </w:tcPr>
          <w:p w14:paraId="41F0CC59" w14:textId="5A40E932" w:rsidR="00CF3E1F" w:rsidRDefault="00CF3E1F" w:rsidP="00CF3E1F">
            <w:pPr>
              <w:spacing w:before="120" w:after="120" w:line="240" w:lineRule="auto"/>
              <w:jc w:val="center"/>
              <w:rPr>
                <w:sz w:val="18"/>
                <w:szCs w:val="18"/>
                <w:lang w:eastAsia="zh-CN"/>
              </w:rPr>
            </w:pPr>
            <w:r>
              <w:rPr>
                <w:sz w:val="18"/>
                <w:szCs w:val="18"/>
                <w:lang w:eastAsia="zh-CN"/>
              </w:rPr>
              <w:t>30m</w:t>
            </w:r>
          </w:p>
        </w:tc>
        <w:tc>
          <w:tcPr>
            <w:tcW w:w="708" w:type="dxa"/>
            <w:vAlign w:val="center"/>
          </w:tcPr>
          <w:p w14:paraId="4DDC45E0" w14:textId="29348195" w:rsidR="004D293B" w:rsidRDefault="00827B16" w:rsidP="004D293B">
            <w:pPr>
              <w:spacing w:before="120" w:after="120" w:line="240" w:lineRule="auto"/>
              <w:jc w:val="center"/>
              <w:rPr>
                <w:lang w:eastAsia="zh-CN"/>
              </w:rPr>
            </w:pPr>
            <w:r w:rsidRPr="00827B16">
              <w:rPr>
                <w:rFonts w:hint="eastAsia"/>
                <w:sz w:val="18"/>
                <w:szCs w:val="18"/>
                <w:lang w:eastAsia="zh-CN"/>
              </w:rPr>
              <w:t>2</w:t>
            </w:r>
            <w:r w:rsidRPr="00827B16">
              <w:rPr>
                <w:sz w:val="18"/>
                <w:szCs w:val="18"/>
                <w:lang w:eastAsia="zh-CN"/>
              </w:rPr>
              <w:t>019</w:t>
            </w:r>
          </w:p>
        </w:tc>
        <w:tc>
          <w:tcPr>
            <w:tcW w:w="2411" w:type="dxa"/>
            <w:vAlign w:val="center"/>
          </w:tcPr>
          <w:p w14:paraId="16719086" w14:textId="7453C7CA" w:rsidR="004D293B" w:rsidRDefault="002623B5" w:rsidP="004D293B">
            <w:pPr>
              <w:spacing w:before="120" w:after="120" w:line="240" w:lineRule="auto"/>
              <w:jc w:val="center"/>
              <w:rPr>
                <w:sz w:val="18"/>
                <w:szCs w:val="18"/>
                <w:lang w:eastAsia="zh-CN"/>
              </w:rPr>
            </w:pPr>
            <w:r>
              <w:rPr>
                <w:sz w:val="18"/>
                <w:szCs w:val="18"/>
                <w:lang w:eastAsia="zh-CN"/>
              </w:rPr>
              <w:fldChar w:fldCharType="begin"/>
            </w:r>
            <w:r>
              <w:rPr>
                <w:sz w:val="18"/>
                <w:szCs w:val="18"/>
                <w:lang w:eastAsia="zh-CN"/>
              </w:rPr>
              <w:instrText xml:space="preserve"> ADDIN ZOTERO_ITEM CSL_CITATION {"citationID":"aWDYdljV","properties":{"formattedCitation":"(Potapov et al., 2021)","plainCitation":"(Potapov et al., 2021)","noteIndex":0},"citationItems":[{"id":109,"uris":["http://zotero.org/users/10015936/items/X6JQ8V53"],"itemData":{"id":109,"type":"article-journal","abstract":"Consistent, large-scale operational monitoring of forest height is essential for estimating forest-related carbon emissions, analyzing forest degradation, and quantifying the effectiveness of forest restoration initiatives. The Global Ecosystem Dynamics Investigation (GEDI) lidar instrument onboard the International Space Station has been collecting unique data on vegetation structure since April 2019. Here, we employed global Landsat analysisready data to extrapolate GEDI footprint-level forest canopy height measurements, creating a 30 m spatial resolution global forest canopy height map for the year 2019. The global forest height map was compared to the GEDI validation data (RMSE = 6.6 m; MAE = 4.45 m, R2 = 0.62) and available airborne lidar data (RMSE = 9.07 m; MAE = 6.36 m, R2 = 0.61). The demonstrated integration of GEDI data with time-series optical imagery is expected to enable multidecadal historic analysis and operational forward monitoring of forest height and its dynamics. Such capability is important to support global climate and sustainable development initiatives.","call-number":"1","container-title":"Remote Sensing of Environment","DOI":"10.1016/j.rse.2020.112165","ISSN":"0034-4257","journalAbbreviation":"Remote Sensing of Environment","language":"en","note":"165 citations (Semantic Scholar/DOI) [2022-11-27]","page":"112165","source":"13.5 (Q1)","title":"Mapping global forest canopy height through integration of GEDI and Landsat data","volume":"253","author":[{"family":"Potapov","given":"Peter"},{"family":"Li","given":"Xinyuan"},{"family":"Hernandez-Serna","given":"Andres"},{"family":"Tyukavina","given":"Alexandra"},{"family":"Hansen","given":"Matthew C."},{"family":"Kommareddy","given":"Anil"},{"family":"Pickens","given":"Amy"},{"family":"Turubanova","given":"Svetlana"},{"family":"Tang","given":"Hao"},{"family":"Silva","given":"Carlos Edibaldo"},{"family":"Armston","given":"John"},{"family":"Dubayah","given":"Ralph"},{"family":"Blair","given":"J. Bryan"},{"family":"Hofton","given":"Michelle"}],"issued":{"date-parts":[["2021",2]]}}}],"schema":"https://github.com/citation-style-language/schema/raw/master/csl-citation.json"} </w:instrText>
            </w:r>
            <w:r>
              <w:rPr>
                <w:sz w:val="18"/>
                <w:szCs w:val="18"/>
                <w:lang w:eastAsia="zh-CN"/>
              </w:rPr>
              <w:fldChar w:fldCharType="separate"/>
            </w:r>
            <w:r w:rsidRPr="002623B5">
              <w:rPr>
                <w:rFonts w:cs="Times New Roman"/>
                <w:sz w:val="18"/>
              </w:rPr>
              <w:t>(Potapov et al., 2021)</w:t>
            </w:r>
            <w:r>
              <w:rPr>
                <w:sz w:val="18"/>
                <w:szCs w:val="18"/>
                <w:lang w:eastAsia="zh-CN"/>
              </w:rPr>
              <w:fldChar w:fldCharType="end"/>
            </w:r>
          </w:p>
        </w:tc>
      </w:tr>
      <w:tr w:rsidR="004D293B" w:rsidRPr="00EF51CC" w14:paraId="0AE7CB2F" w14:textId="77777777" w:rsidTr="002A2B54">
        <w:trPr>
          <w:trHeight w:val="20"/>
          <w:jc w:val="center"/>
        </w:trPr>
        <w:tc>
          <w:tcPr>
            <w:tcW w:w="1701" w:type="dxa"/>
            <w:vAlign w:val="center"/>
          </w:tcPr>
          <w:p w14:paraId="3C68136E" w14:textId="3F9F519E" w:rsidR="004D293B" w:rsidRDefault="004D293B" w:rsidP="004D293B">
            <w:pPr>
              <w:spacing w:before="120" w:after="120" w:line="240" w:lineRule="auto"/>
              <w:jc w:val="center"/>
              <w:rPr>
                <w:sz w:val="18"/>
                <w:szCs w:val="18"/>
                <w:lang w:eastAsia="zh-CN"/>
              </w:rPr>
            </w:pPr>
            <w:r>
              <w:rPr>
                <w:sz w:val="18"/>
                <w:szCs w:val="18"/>
                <w:lang w:eastAsia="zh-CN"/>
              </w:rPr>
              <w:t>Population</w:t>
            </w:r>
          </w:p>
        </w:tc>
        <w:tc>
          <w:tcPr>
            <w:tcW w:w="2127" w:type="dxa"/>
            <w:vAlign w:val="center"/>
          </w:tcPr>
          <w:p w14:paraId="7FBE4689" w14:textId="657D7EFF" w:rsidR="004D293B" w:rsidRDefault="004D293B" w:rsidP="004D293B">
            <w:pPr>
              <w:spacing w:before="120" w:after="120" w:line="240" w:lineRule="auto"/>
              <w:jc w:val="center"/>
              <w:rPr>
                <w:sz w:val="18"/>
                <w:szCs w:val="18"/>
                <w:lang w:eastAsia="zh-CN"/>
              </w:rPr>
            </w:pPr>
            <w:r>
              <w:rPr>
                <w:rFonts w:hint="eastAsia"/>
                <w:sz w:val="18"/>
                <w:szCs w:val="18"/>
                <w:lang w:eastAsia="zh-CN"/>
              </w:rPr>
              <w:t>/</w:t>
            </w:r>
          </w:p>
        </w:tc>
        <w:tc>
          <w:tcPr>
            <w:tcW w:w="1134" w:type="dxa"/>
            <w:vAlign w:val="center"/>
          </w:tcPr>
          <w:p w14:paraId="41A50555" w14:textId="157C07F5" w:rsidR="004D293B" w:rsidRDefault="00B80125" w:rsidP="004D293B">
            <w:pPr>
              <w:spacing w:before="120" w:after="120" w:line="240" w:lineRule="auto"/>
              <w:jc w:val="center"/>
              <w:rPr>
                <w:sz w:val="18"/>
                <w:szCs w:val="18"/>
                <w:lang w:eastAsia="zh-CN"/>
              </w:rPr>
            </w:pPr>
            <w:r>
              <w:rPr>
                <w:sz w:val="18"/>
                <w:szCs w:val="18"/>
                <w:lang w:eastAsia="zh-CN"/>
              </w:rPr>
              <w:t>100m</w:t>
            </w:r>
          </w:p>
        </w:tc>
        <w:tc>
          <w:tcPr>
            <w:tcW w:w="708" w:type="dxa"/>
            <w:vAlign w:val="center"/>
          </w:tcPr>
          <w:p w14:paraId="72CA689D" w14:textId="2CECC4C3" w:rsidR="004D293B" w:rsidRPr="00A222B1" w:rsidRDefault="004D293B" w:rsidP="004D293B">
            <w:pPr>
              <w:spacing w:before="120" w:after="120" w:line="240" w:lineRule="auto"/>
              <w:jc w:val="center"/>
              <w:rPr>
                <w:sz w:val="18"/>
                <w:szCs w:val="18"/>
                <w:lang w:eastAsia="zh-CN"/>
              </w:rPr>
            </w:pPr>
            <w:r w:rsidRPr="00A222B1">
              <w:rPr>
                <w:rFonts w:hint="eastAsia"/>
                <w:sz w:val="18"/>
                <w:szCs w:val="18"/>
                <w:lang w:eastAsia="zh-CN"/>
              </w:rPr>
              <w:t>2000</w:t>
            </w:r>
            <w:r>
              <w:rPr>
                <w:sz w:val="18"/>
                <w:szCs w:val="18"/>
                <w:lang w:eastAsia="zh-CN"/>
              </w:rPr>
              <w:t xml:space="preserve">, </w:t>
            </w:r>
            <w:r w:rsidRPr="00A222B1">
              <w:rPr>
                <w:rFonts w:hint="eastAsia"/>
                <w:sz w:val="18"/>
                <w:szCs w:val="18"/>
                <w:lang w:eastAsia="zh-CN"/>
              </w:rPr>
              <w:t>2020</w:t>
            </w:r>
          </w:p>
        </w:tc>
        <w:tc>
          <w:tcPr>
            <w:tcW w:w="2411" w:type="dxa"/>
            <w:vAlign w:val="center"/>
          </w:tcPr>
          <w:p w14:paraId="5A1C4DF6" w14:textId="2756220E" w:rsidR="004D293B" w:rsidRDefault="004D293B" w:rsidP="004D293B">
            <w:pPr>
              <w:spacing w:before="120" w:after="120" w:line="240" w:lineRule="auto"/>
              <w:jc w:val="center"/>
              <w:rPr>
                <w:sz w:val="18"/>
                <w:szCs w:val="18"/>
                <w:lang w:eastAsia="zh-CN"/>
              </w:rPr>
            </w:pPr>
            <w:r>
              <w:rPr>
                <w:sz w:val="18"/>
                <w:szCs w:val="18"/>
                <w:lang w:eastAsia="zh-CN"/>
              </w:rPr>
              <w:t xml:space="preserve"> </w:t>
            </w:r>
            <w:hyperlink r:id="rId13" w:history="1">
              <w:r w:rsidR="00B80125" w:rsidRPr="00DE3F1C">
                <w:rPr>
                  <w:rStyle w:val="aa"/>
                  <w:sz w:val="18"/>
                  <w:szCs w:val="18"/>
                  <w:lang w:eastAsia="zh-CN"/>
                </w:rPr>
                <w:t>https://www.worldpop.org</w:t>
              </w:r>
            </w:hyperlink>
            <w:r w:rsidR="00B80125">
              <w:rPr>
                <w:sz w:val="18"/>
                <w:szCs w:val="18"/>
                <w:lang w:eastAsia="zh-CN"/>
              </w:rPr>
              <w:t xml:space="preserve"> </w:t>
            </w:r>
          </w:p>
        </w:tc>
      </w:tr>
      <w:tr w:rsidR="004D293B" w:rsidRPr="00EF51CC" w14:paraId="1CD609E6" w14:textId="77777777" w:rsidTr="002A2B54">
        <w:trPr>
          <w:trHeight w:val="20"/>
          <w:jc w:val="center"/>
        </w:trPr>
        <w:tc>
          <w:tcPr>
            <w:tcW w:w="1701" w:type="dxa"/>
            <w:vAlign w:val="center"/>
          </w:tcPr>
          <w:p w14:paraId="5BA1D53A" w14:textId="5A43D2D9" w:rsidR="004D293B" w:rsidRDefault="004D293B" w:rsidP="004D293B">
            <w:pPr>
              <w:spacing w:before="120" w:after="120" w:line="240" w:lineRule="auto"/>
              <w:jc w:val="center"/>
              <w:rPr>
                <w:sz w:val="18"/>
                <w:szCs w:val="18"/>
                <w:lang w:eastAsia="zh-CN"/>
              </w:rPr>
            </w:pPr>
            <w:r>
              <w:rPr>
                <w:rFonts w:hint="eastAsia"/>
                <w:sz w:val="18"/>
                <w:szCs w:val="18"/>
                <w:lang w:eastAsia="zh-CN"/>
              </w:rPr>
              <w:t>G</w:t>
            </w:r>
            <w:r>
              <w:rPr>
                <w:sz w:val="18"/>
                <w:szCs w:val="18"/>
                <w:lang w:eastAsia="zh-CN"/>
              </w:rPr>
              <w:t>DP</w:t>
            </w:r>
          </w:p>
        </w:tc>
        <w:tc>
          <w:tcPr>
            <w:tcW w:w="2127" w:type="dxa"/>
            <w:vAlign w:val="center"/>
          </w:tcPr>
          <w:p w14:paraId="6A7E0070" w14:textId="1A7DF1D4" w:rsidR="004D293B" w:rsidRDefault="004D293B" w:rsidP="004D293B">
            <w:pPr>
              <w:spacing w:before="120" w:after="120" w:line="240" w:lineRule="auto"/>
              <w:jc w:val="center"/>
              <w:rPr>
                <w:sz w:val="18"/>
                <w:szCs w:val="18"/>
                <w:lang w:eastAsia="zh-CN"/>
              </w:rPr>
            </w:pPr>
            <w:r>
              <w:rPr>
                <w:rFonts w:hint="eastAsia"/>
                <w:sz w:val="18"/>
                <w:szCs w:val="18"/>
                <w:lang w:eastAsia="zh-CN"/>
              </w:rPr>
              <w:t>/</w:t>
            </w:r>
          </w:p>
        </w:tc>
        <w:tc>
          <w:tcPr>
            <w:tcW w:w="1134" w:type="dxa"/>
            <w:vAlign w:val="center"/>
          </w:tcPr>
          <w:p w14:paraId="7EE3B7E1" w14:textId="63B6A350" w:rsidR="004D293B" w:rsidRDefault="00B80125" w:rsidP="004D293B">
            <w:pPr>
              <w:spacing w:before="120" w:after="120" w:line="240" w:lineRule="auto"/>
              <w:jc w:val="center"/>
              <w:rPr>
                <w:sz w:val="18"/>
                <w:szCs w:val="18"/>
                <w:lang w:eastAsia="zh-CN"/>
              </w:rPr>
            </w:pPr>
            <w:r>
              <w:rPr>
                <w:sz w:val="18"/>
                <w:szCs w:val="18"/>
                <w:lang w:eastAsia="zh-CN"/>
              </w:rPr>
              <w:t>1000m</w:t>
            </w:r>
          </w:p>
        </w:tc>
        <w:tc>
          <w:tcPr>
            <w:tcW w:w="708" w:type="dxa"/>
            <w:vAlign w:val="center"/>
          </w:tcPr>
          <w:p w14:paraId="011221DC" w14:textId="4CD6489C" w:rsidR="004D293B" w:rsidRPr="00A222B1" w:rsidRDefault="004D293B" w:rsidP="004D293B">
            <w:pPr>
              <w:spacing w:before="120" w:after="120" w:line="240" w:lineRule="auto"/>
              <w:jc w:val="center"/>
              <w:rPr>
                <w:sz w:val="18"/>
                <w:szCs w:val="18"/>
                <w:lang w:eastAsia="zh-CN"/>
              </w:rPr>
            </w:pPr>
            <w:r w:rsidRPr="00A222B1">
              <w:rPr>
                <w:rFonts w:hint="eastAsia"/>
                <w:sz w:val="18"/>
                <w:szCs w:val="18"/>
                <w:lang w:eastAsia="zh-CN"/>
              </w:rPr>
              <w:t>2000</w:t>
            </w:r>
            <w:r>
              <w:rPr>
                <w:sz w:val="18"/>
                <w:szCs w:val="18"/>
                <w:lang w:eastAsia="zh-CN"/>
              </w:rPr>
              <w:t xml:space="preserve">, </w:t>
            </w:r>
            <w:r w:rsidRPr="00A222B1">
              <w:rPr>
                <w:rFonts w:hint="eastAsia"/>
                <w:sz w:val="18"/>
                <w:szCs w:val="18"/>
                <w:lang w:eastAsia="zh-CN"/>
              </w:rPr>
              <w:t>20</w:t>
            </w:r>
            <w:r>
              <w:rPr>
                <w:sz w:val="18"/>
                <w:szCs w:val="18"/>
                <w:lang w:eastAsia="zh-CN"/>
              </w:rPr>
              <w:t>19</w:t>
            </w:r>
          </w:p>
        </w:tc>
        <w:tc>
          <w:tcPr>
            <w:tcW w:w="2411" w:type="dxa"/>
            <w:vAlign w:val="center"/>
          </w:tcPr>
          <w:p w14:paraId="2FA9B6C9" w14:textId="460BD7CB" w:rsidR="004D293B" w:rsidRDefault="002623B5" w:rsidP="004D293B">
            <w:pPr>
              <w:spacing w:before="120" w:after="120" w:line="240" w:lineRule="auto"/>
              <w:jc w:val="center"/>
              <w:rPr>
                <w:sz w:val="18"/>
                <w:szCs w:val="18"/>
                <w:lang w:eastAsia="zh-CN"/>
              </w:rPr>
            </w:pPr>
            <w:r>
              <w:rPr>
                <w:sz w:val="18"/>
                <w:szCs w:val="18"/>
                <w:lang w:eastAsia="zh-CN"/>
              </w:rPr>
              <w:fldChar w:fldCharType="begin"/>
            </w:r>
            <w:r>
              <w:rPr>
                <w:sz w:val="18"/>
                <w:szCs w:val="18"/>
                <w:lang w:eastAsia="zh-CN"/>
              </w:rPr>
              <w:instrText xml:space="preserve"> ADDIN ZOTERO_ITEM CSL_CITATION {"citationID":"uLM01LZl","properties":{"formattedCitation":"(Chen et al., 2022)","plainCitation":"(Chen et al., 2022)","noteIndex":0},"citationItems":[{"id":2321,"uris":["http://zotero.org/users/10015936/items/LR3RJZ8Y"],"itemData":{"id":2321,"type":"article-journal","abstract":"As fundamental data, gross domestic product (GDP) and electricity consumption can be used to effectively evaluate economic status and living standards of residents. Some scholars have estimated gridded GDP and electricity consumption. However, such gridded data have shortcomings, including overestimating real GDP growth, ignoring the heterogeneity of the spatiotemporal dynamics of the grid, and limited time-span. Simultaneously, the Defense Meteorological Satellite Program’s Operational Linescan System (DMSP/OLS) and National Polar-orbiting Partnership’s Visible Infrared Imaging Radiometer (NPP/VIIRS) nighttime light data, adopted in these studies as a proxy tool, still facing shortcomings, such as imperfect matching results, discontinuity in temporal and spatial changes. In this study, we employed a series of methods, such as a particle swarm optimization-back propagation (PSO-BP) algorithm, to unify the scales of DMSP/OLS and NPP/VIIRS images and obtain continuous 1 km × 1 km gridded nighttime light data during 1992–2019. Subsequently, from a revised real growth perspective, we employed a top-down method to calculate global 1 km × 1 km gridded revised real GDP and electricity consumption during 1992–2019 based on our calibrated nighttime light data.","archive_location":"1 </w:instrText>
            </w:r>
            <w:r>
              <w:rPr>
                <w:rFonts w:ascii="Segoe UI Emoji" w:hAnsi="Segoe UI Emoji" w:cs="Segoe UI Emoji"/>
                <w:sz w:val="18"/>
                <w:szCs w:val="18"/>
                <w:lang w:eastAsia="zh-CN"/>
              </w:rPr>
              <w:instrText>📊</w:instrText>
            </w:r>
            <w:r>
              <w:rPr>
                <w:sz w:val="18"/>
                <w:szCs w:val="18"/>
                <w:lang w:eastAsia="zh-CN"/>
              </w:rPr>
              <w:instrText xml:space="preserve">","call-number":"2","container-title":"Scientific Data","DOI":"10.1038/s41597-022-01322-5","ISSN":"2052-4463","issue":"1","journalAbbreviation":"Sci Data","language":"en","license":"2022 The Author(s)","note":"number: 1\npublisher: Nature Publishing Group","page":"202","source":"9.8 (Q1)","title":"Global 1 km × 1 km gridded revised real gross domestic product and electricity consumption during 1992–2019 based on calibrated nighttime light data","volume":"9","author":[{"family":"Chen","given":"Jiandong"},{"family":"Gao","given":"Ming"},{"family":"Cheng","given":"Shulei"},{"family":"Hou","given":"Wenxuan"},{"family":"Song","given":"Malin"},{"family":"Liu","given":"Xin"},{"family":"Liu","given":"Yu"}],"issued":{"date-parts":[["2022",5,12]]}}}],"schema":"https://github.com/citation-style-language/schema/raw/master/csl-citation.json"} </w:instrText>
            </w:r>
            <w:r>
              <w:rPr>
                <w:sz w:val="18"/>
                <w:szCs w:val="18"/>
                <w:lang w:eastAsia="zh-CN"/>
              </w:rPr>
              <w:fldChar w:fldCharType="separate"/>
            </w:r>
            <w:r w:rsidRPr="002623B5">
              <w:rPr>
                <w:rFonts w:cs="Times New Roman"/>
                <w:sz w:val="18"/>
              </w:rPr>
              <w:t>(Chen et al., 2022)</w:t>
            </w:r>
            <w:r>
              <w:rPr>
                <w:sz w:val="18"/>
                <w:szCs w:val="18"/>
                <w:lang w:eastAsia="zh-CN"/>
              </w:rPr>
              <w:fldChar w:fldCharType="end"/>
            </w:r>
          </w:p>
        </w:tc>
      </w:tr>
      <w:bookmarkEnd w:id="0"/>
    </w:tbl>
    <w:p w14:paraId="2CE787E7" w14:textId="77777777" w:rsidR="004E51F7" w:rsidRDefault="004E51F7" w:rsidP="004E51F7">
      <w:pPr>
        <w:spacing w:after="160" w:line="276" w:lineRule="auto"/>
        <w:ind w:firstLineChars="83" w:firstLine="150"/>
        <w:rPr>
          <w:b/>
          <w:bCs/>
          <w:sz w:val="18"/>
          <w:szCs w:val="18"/>
        </w:rPr>
      </w:pPr>
    </w:p>
    <w:p w14:paraId="47F52339" w14:textId="115E237E" w:rsidR="004E51F7" w:rsidRPr="004E51F7" w:rsidRDefault="004E51F7" w:rsidP="004E51F7">
      <w:pPr>
        <w:spacing w:after="160" w:line="276" w:lineRule="auto"/>
        <w:jc w:val="center"/>
        <w:rPr>
          <w:rFonts w:eastAsiaTheme="minorEastAsia" w:cstheme="minorBidi"/>
          <w:sz w:val="20"/>
          <w:szCs w:val="20"/>
          <w:lang w:eastAsia="zh-CN"/>
        </w:rPr>
      </w:pPr>
      <w:r>
        <w:rPr>
          <w:rFonts w:eastAsiaTheme="minorEastAsia" w:cstheme="minorBidi"/>
          <w:sz w:val="20"/>
          <w:szCs w:val="20"/>
          <w:lang w:eastAsia="zh-CN"/>
        </w:rPr>
        <w:t>Supplementary t</w:t>
      </w:r>
      <w:r w:rsidRPr="004E51F7">
        <w:rPr>
          <w:rFonts w:eastAsiaTheme="minorEastAsia" w:cstheme="minorBidi"/>
          <w:sz w:val="20"/>
          <w:szCs w:val="20"/>
          <w:lang w:eastAsia="zh-CN"/>
        </w:rPr>
        <w:t>able 2. Collection of 3D building dataset for the US used for model training and validation.</w:t>
      </w:r>
    </w:p>
    <w:tbl>
      <w:tblPr>
        <w:tblW w:w="8222" w:type="dxa"/>
        <w:jc w:val="center"/>
        <w:tblBorders>
          <w:top w:val="single" w:sz="4" w:space="0" w:color="auto"/>
          <w:bottom w:val="single" w:sz="4" w:space="0" w:color="auto"/>
        </w:tblBorders>
        <w:tblLayout w:type="fixed"/>
        <w:tblLook w:val="04A0" w:firstRow="1" w:lastRow="0" w:firstColumn="1" w:lastColumn="0" w:noHBand="0" w:noVBand="1"/>
      </w:tblPr>
      <w:tblGrid>
        <w:gridCol w:w="1417"/>
        <w:gridCol w:w="6805"/>
      </w:tblGrid>
      <w:tr w:rsidR="004E51F7" w:rsidRPr="00A335C0" w14:paraId="0916EDE4" w14:textId="77777777" w:rsidTr="005437EA">
        <w:trPr>
          <w:trHeight w:val="242"/>
          <w:jc w:val="center"/>
        </w:trPr>
        <w:tc>
          <w:tcPr>
            <w:tcW w:w="1417" w:type="dxa"/>
            <w:tcBorders>
              <w:top w:val="single" w:sz="4" w:space="0" w:color="auto"/>
              <w:bottom w:val="single" w:sz="4" w:space="0" w:color="auto"/>
            </w:tcBorders>
            <w:shd w:val="clear" w:color="auto" w:fill="auto"/>
            <w:vAlign w:val="center"/>
            <w:hideMark/>
          </w:tcPr>
          <w:p w14:paraId="22551601" w14:textId="77777777" w:rsidR="004E51F7" w:rsidRPr="00A335C0" w:rsidRDefault="004E51F7" w:rsidP="00086B8F">
            <w:pPr>
              <w:spacing w:line="276" w:lineRule="auto"/>
              <w:rPr>
                <w:rFonts w:asciiTheme="minorHAnsi" w:eastAsia="Times New Roman" w:hAnsiTheme="minorHAnsi" w:cstheme="minorHAnsi"/>
                <w:b/>
                <w:color w:val="000000"/>
                <w:sz w:val="18"/>
                <w:szCs w:val="18"/>
              </w:rPr>
            </w:pPr>
            <w:r w:rsidRPr="00A335C0">
              <w:rPr>
                <w:rFonts w:asciiTheme="minorHAnsi" w:eastAsia="Times New Roman" w:hAnsiTheme="minorHAnsi" w:cstheme="minorHAnsi"/>
                <w:b/>
                <w:color w:val="000000"/>
                <w:sz w:val="18"/>
                <w:szCs w:val="18"/>
              </w:rPr>
              <w:t>US City</w:t>
            </w:r>
          </w:p>
        </w:tc>
        <w:tc>
          <w:tcPr>
            <w:tcW w:w="6805" w:type="dxa"/>
            <w:tcBorders>
              <w:top w:val="single" w:sz="4" w:space="0" w:color="auto"/>
              <w:bottom w:val="single" w:sz="4" w:space="0" w:color="auto"/>
            </w:tcBorders>
            <w:shd w:val="clear" w:color="auto" w:fill="auto"/>
            <w:vAlign w:val="center"/>
            <w:hideMark/>
          </w:tcPr>
          <w:p w14:paraId="3539E51A" w14:textId="77777777" w:rsidR="004E51F7" w:rsidRPr="00A335C0" w:rsidRDefault="004E51F7" w:rsidP="00086B8F">
            <w:pPr>
              <w:spacing w:line="276" w:lineRule="auto"/>
              <w:rPr>
                <w:rFonts w:asciiTheme="minorHAnsi" w:eastAsia="Times New Roman" w:hAnsiTheme="minorHAnsi" w:cstheme="minorHAnsi"/>
                <w:b/>
                <w:color w:val="000000"/>
                <w:sz w:val="18"/>
                <w:szCs w:val="18"/>
              </w:rPr>
            </w:pPr>
            <w:r w:rsidRPr="00A335C0">
              <w:rPr>
                <w:rFonts w:asciiTheme="minorHAnsi" w:eastAsia="Times New Roman" w:hAnsiTheme="minorHAnsi" w:cstheme="minorHAnsi"/>
                <w:b/>
                <w:color w:val="000000"/>
                <w:sz w:val="18"/>
                <w:szCs w:val="18"/>
              </w:rPr>
              <w:t>Source</w:t>
            </w:r>
          </w:p>
        </w:tc>
      </w:tr>
      <w:tr w:rsidR="004E51F7" w:rsidRPr="00A335C0" w14:paraId="7DF9EE89" w14:textId="77777777" w:rsidTr="005437EA">
        <w:trPr>
          <w:trHeight w:val="234"/>
          <w:jc w:val="center"/>
        </w:trPr>
        <w:tc>
          <w:tcPr>
            <w:tcW w:w="1417" w:type="dxa"/>
            <w:tcBorders>
              <w:top w:val="single" w:sz="4" w:space="0" w:color="auto"/>
            </w:tcBorders>
            <w:shd w:val="clear" w:color="auto" w:fill="auto"/>
            <w:vAlign w:val="center"/>
            <w:hideMark/>
          </w:tcPr>
          <w:p w14:paraId="4FB0F654"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Southeast Michigan</w:t>
            </w:r>
          </w:p>
        </w:tc>
        <w:tc>
          <w:tcPr>
            <w:tcW w:w="6805" w:type="dxa"/>
            <w:tcBorders>
              <w:top w:val="single" w:sz="4" w:space="0" w:color="auto"/>
            </w:tcBorders>
            <w:shd w:val="clear" w:color="auto" w:fill="auto"/>
            <w:vAlign w:val="center"/>
            <w:hideMark/>
          </w:tcPr>
          <w:p w14:paraId="52E6DEB0"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14" w:history="1">
              <w:r w:rsidR="004E51F7" w:rsidRPr="00A335C0">
                <w:rPr>
                  <w:rFonts w:asciiTheme="minorHAnsi" w:eastAsia="Times New Roman" w:hAnsiTheme="minorHAnsi" w:cstheme="minorHAnsi"/>
                  <w:color w:val="0000FF"/>
                  <w:sz w:val="18"/>
                  <w:szCs w:val="18"/>
                  <w:u w:val="single"/>
                </w:rPr>
                <w:t>https://maps.semcog.org/BuildingFootprints</w:t>
              </w:r>
            </w:hyperlink>
          </w:p>
        </w:tc>
      </w:tr>
      <w:tr w:rsidR="004E51F7" w:rsidRPr="00A335C0" w14:paraId="51A3AA60" w14:textId="77777777" w:rsidTr="005437EA">
        <w:trPr>
          <w:trHeight w:val="242"/>
          <w:jc w:val="center"/>
        </w:trPr>
        <w:tc>
          <w:tcPr>
            <w:tcW w:w="1417" w:type="dxa"/>
            <w:shd w:val="clear" w:color="auto" w:fill="auto"/>
            <w:vAlign w:val="center"/>
            <w:hideMark/>
          </w:tcPr>
          <w:p w14:paraId="7840ED7C"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Chicago</w:t>
            </w:r>
          </w:p>
        </w:tc>
        <w:tc>
          <w:tcPr>
            <w:tcW w:w="6805" w:type="dxa"/>
            <w:shd w:val="clear" w:color="auto" w:fill="auto"/>
            <w:vAlign w:val="center"/>
            <w:hideMark/>
          </w:tcPr>
          <w:p w14:paraId="6DE3A7A7"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15" w:history="1">
              <w:r w:rsidR="004E51F7" w:rsidRPr="00A335C0">
                <w:rPr>
                  <w:rFonts w:asciiTheme="minorHAnsi" w:eastAsia="Times New Roman" w:hAnsiTheme="minorHAnsi" w:cstheme="minorHAnsi"/>
                  <w:color w:val="0000FF"/>
                  <w:sz w:val="18"/>
                  <w:szCs w:val="18"/>
                  <w:u w:val="single"/>
                </w:rPr>
                <w:t>https://data.cityofchicago.org/Buildings/Building-Footprints-current-/hz9b-7nh8</w:t>
              </w:r>
            </w:hyperlink>
          </w:p>
        </w:tc>
      </w:tr>
      <w:tr w:rsidR="004E51F7" w:rsidRPr="00A335C0" w14:paraId="049A0293" w14:textId="77777777" w:rsidTr="005437EA">
        <w:trPr>
          <w:trHeight w:val="242"/>
          <w:jc w:val="center"/>
        </w:trPr>
        <w:tc>
          <w:tcPr>
            <w:tcW w:w="1417" w:type="dxa"/>
            <w:shd w:val="clear" w:color="auto" w:fill="auto"/>
            <w:vAlign w:val="center"/>
            <w:hideMark/>
          </w:tcPr>
          <w:p w14:paraId="0ECC16B2"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LA</w:t>
            </w:r>
          </w:p>
        </w:tc>
        <w:tc>
          <w:tcPr>
            <w:tcW w:w="6805" w:type="dxa"/>
            <w:shd w:val="clear" w:color="auto" w:fill="auto"/>
            <w:vAlign w:val="center"/>
            <w:hideMark/>
          </w:tcPr>
          <w:p w14:paraId="468F5AC5"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16" w:history="1">
              <w:r w:rsidR="004E51F7" w:rsidRPr="00A335C0">
                <w:rPr>
                  <w:rFonts w:asciiTheme="minorHAnsi" w:eastAsia="Times New Roman" w:hAnsiTheme="minorHAnsi" w:cstheme="minorHAnsi"/>
                  <w:color w:val="0000FF"/>
                  <w:sz w:val="18"/>
                  <w:szCs w:val="18"/>
                  <w:u w:val="single"/>
                </w:rPr>
                <w:t>https://egis3.lacounty.gov/dataportal/2016/11/03/countywide-building-outlines-2014-update-public-domain-release/</w:t>
              </w:r>
            </w:hyperlink>
          </w:p>
        </w:tc>
      </w:tr>
      <w:tr w:rsidR="004E51F7" w:rsidRPr="00A335C0" w14:paraId="767ACA7B" w14:textId="77777777" w:rsidTr="005437EA">
        <w:trPr>
          <w:trHeight w:val="242"/>
          <w:jc w:val="center"/>
        </w:trPr>
        <w:tc>
          <w:tcPr>
            <w:tcW w:w="1417" w:type="dxa"/>
            <w:shd w:val="clear" w:color="auto" w:fill="auto"/>
            <w:vAlign w:val="center"/>
            <w:hideMark/>
          </w:tcPr>
          <w:p w14:paraId="23616E10"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lastRenderedPageBreak/>
              <w:t>Boulder</w:t>
            </w:r>
          </w:p>
        </w:tc>
        <w:tc>
          <w:tcPr>
            <w:tcW w:w="6805" w:type="dxa"/>
            <w:shd w:val="clear" w:color="auto" w:fill="auto"/>
            <w:vAlign w:val="center"/>
            <w:hideMark/>
          </w:tcPr>
          <w:p w14:paraId="6BC8192D"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17" w:history="1">
              <w:r w:rsidR="004E51F7" w:rsidRPr="00A335C0">
                <w:rPr>
                  <w:rFonts w:asciiTheme="minorHAnsi" w:eastAsia="Times New Roman" w:hAnsiTheme="minorHAnsi" w:cstheme="minorHAnsi"/>
                  <w:color w:val="0000FF"/>
                  <w:sz w:val="18"/>
                  <w:szCs w:val="18"/>
                  <w:u w:val="single"/>
                </w:rPr>
                <w:t>https://hub.arcgis.com/datasets/0d43652d038a4a0dbca68f0501151bb0_0</w:t>
              </w:r>
            </w:hyperlink>
          </w:p>
        </w:tc>
      </w:tr>
      <w:tr w:rsidR="004E51F7" w:rsidRPr="00A335C0" w14:paraId="628E5078" w14:textId="77777777" w:rsidTr="005437EA">
        <w:trPr>
          <w:trHeight w:val="242"/>
          <w:jc w:val="center"/>
        </w:trPr>
        <w:tc>
          <w:tcPr>
            <w:tcW w:w="1417" w:type="dxa"/>
            <w:shd w:val="clear" w:color="auto" w:fill="auto"/>
            <w:vAlign w:val="center"/>
            <w:hideMark/>
          </w:tcPr>
          <w:p w14:paraId="5FB6C9B1"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Fort Collins</w:t>
            </w:r>
          </w:p>
        </w:tc>
        <w:tc>
          <w:tcPr>
            <w:tcW w:w="6805" w:type="dxa"/>
            <w:shd w:val="clear" w:color="auto" w:fill="auto"/>
            <w:vAlign w:val="center"/>
            <w:hideMark/>
          </w:tcPr>
          <w:p w14:paraId="026472A2"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18" w:history="1">
              <w:r w:rsidR="004E51F7" w:rsidRPr="00A30C9C">
                <w:rPr>
                  <w:rStyle w:val="aa"/>
                  <w:rFonts w:asciiTheme="minorHAnsi" w:eastAsia="Times New Roman" w:hAnsiTheme="minorHAnsi" w:cstheme="minorHAnsi"/>
                  <w:sz w:val="18"/>
                  <w:szCs w:val="18"/>
                </w:rPr>
                <w:t>http://hub.arcgis.com/datasets/7e577a14c83f4d83a6b58657c48027da_0/data?geometry=-105.502%2C40.489%2C-104.343%2C40.671</w:t>
              </w:r>
            </w:hyperlink>
            <w:r w:rsidR="004E51F7">
              <w:rPr>
                <w:rFonts w:asciiTheme="minorHAnsi" w:eastAsia="Times New Roman" w:hAnsiTheme="minorHAnsi" w:cstheme="minorHAnsi"/>
                <w:color w:val="0563C1"/>
                <w:sz w:val="18"/>
                <w:szCs w:val="18"/>
                <w:u w:val="single"/>
              </w:rPr>
              <w:t xml:space="preserve"> </w:t>
            </w:r>
          </w:p>
        </w:tc>
      </w:tr>
      <w:tr w:rsidR="004E51F7" w:rsidRPr="00A335C0" w14:paraId="3C0643CE" w14:textId="77777777" w:rsidTr="005437EA">
        <w:trPr>
          <w:trHeight w:val="242"/>
          <w:jc w:val="center"/>
        </w:trPr>
        <w:tc>
          <w:tcPr>
            <w:tcW w:w="1417" w:type="dxa"/>
            <w:shd w:val="clear" w:color="auto" w:fill="auto"/>
            <w:vAlign w:val="center"/>
            <w:hideMark/>
          </w:tcPr>
          <w:p w14:paraId="08B1FE77"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Norman</w:t>
            </w:r>
          </w:p>
        </w:tc>
        <w:tc>
          <w:tcPr>
            <w:tcW w:w="6805" w:type="dxa"/>
            <w:shd w:val="clear" w:color="auto" w:fill="auto"/>
            <w:vAlign w:val="center"/>
            <w:hideMark/>
          </w:tcPr>
          <w:p w14:paraId="2F7BD0CE"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19" w:history="1">
              <w:r w:rsidR="004E51F7" w:rsidRPr="00D75674">
                <w:rPr>
                  <w:rStyle w:val="aa"/>
                  <w:rFonts w:asciiTheme="minorHAnsi" w:eastAsia="Times New Roman" w:hAnsiTheme="minorHAnsi" w:cstheme="minorHAnsi"/>
                  <w:sz w:val="18"/>
                  <w:szCs w:val="18"/>
                </w:rPr>
                <w:t>http://hub.arcgis.com/datasets/d68b0defa057465db7167d9260c90ad9_</w:t>
              </w:r>
              <w:r w:rsidR="004E51F7" w:rsidRPr="00A30C9C">
                <w:rPr>
                  <w:rStyle w:val="aa"/>
                  <w:rFonts w:asciiTheme="minorHAnsi" w:eastAsia="Times New Roman" w:hAnsiTheme="minorHAnsi" w:cstheme="minorHAnsi"/>
                  <w:sz w:val="18"/>
                  <w:szCs w:val="18"/>
                </w:rPr>
                <w:t>0</w:t>
              </w:r>
            </w:hyperlink>
            <w:r w:rsidR="004E51F7">
              <w:rPr>
                <w:rFonts w:asciiTheme="minorHAnsi" w:eastAsia="Times New Roman" w:hAnsiTheme="minorHAnsi" w:cstheme="minorHAnsi"/>
                <w:color w:val="0563C1"/>
                <w:sz w:val="18"/>
                <w:szCs w:val="18"/>
                <w:u w:val="single"/>
              </w:rPr>
              <w:t xml:space="preserve"> </w:t>
            </w:r>
          </w:p>
        </w:tc>
      </w:tr>
      <w:tr w:rsidR="004E51F7" w:rsidRPr="00A335C0" w14:paraId="174A71CD" w14:textId="77777777" w:rsidTr="005437EA">
        <w:trPr>
          <w:trHeight w:val="242"/>
          <w:jc w:val="center"/>
        </w:trPr>
        <w:tc>
          <w:tcPr>
            <w:tcW w:w="1417" w:type="dxa"/>
            <w:shd w:val="clear" w:color="auto" w:fill="auto"/>
            <w:vAlign w:val="center"/>
            <w:hideMark/>
          </w:tcPr>
          <w:p w14:paraId="57640EED"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Austin</w:t>
            </w:r>
          </w:p>
        </w:tc>
        <w:tc>
          <w:tcPr>
            <w:tcW w:w="6805" w:type="dxa"/>
            <w:shd w:val="clear" w:color="auto" w:fill="auto"/>
            <w:vAlign w:val="center"/>
            <w:hideMark/>
          </w:tcPr>
          <w:p w14:paraId="349D72D0"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0" w:history="1">
              <w:r w:rsidR="004E51F7" w:rsidRPr="00A30C9C">
                <w:rPr>
                  <w:rStyle w:val="aa"/>
                  <w:rFonts w:asciiTheme="minorHAnsi" w:eastAsia="Times New Roman" w:hAnsiTheme="minorHAnsi" w:cstheme="minorHAnsi"/>
                  <w:sz w:val="18"/>
                  <w:szCs w:val="18"/>
                </w:rPr>
                <w:t>https://data.austintexas.gov/browse?q=footprint&amp;sortBy=relevance</w:t>
              </w:r>
            </w:hyperlink>
            <w:r w:rsidR="004E51F7">
              <w:rPr>
                <w:rFonts w:asciiTheme="minorHAnsi" w:eastAsia="Times New Roman" w:hAnsiTheme="minorHAnsi" w:cstheme="minorHAnsi"/>
                <w:color w:val="0563C1"/>
                <w:sz w:val="18"/>
                <w:szCs w:val="18"/>
                <w:u w:val="single"/>
              </w:rPr>
              <w:t xml:space="preserve"> </w:t>
            </w:r>
          </w:p>
        </w:tc>
      </w:tr>
      <w:tr w:rsidR="004E51F7" w:rsidRPr="00A335C0" w14:paraId="0118E71B" w14:textId="77777777" w:rsidTr="005437EA">
        <w:trPr>
          <w:trHeight w:val="242"/>
          <w:jc w:val="center"/>
        </w:trPr>
        <w:tc>
          <w:tcPr>
            <w:tcW w:w="1417" w:type="dxa"/>
            <w:shd w:val="clear" w:color="auto" w:fill="auto"/>
            <w:vAlign w:val="center"/>
            <w:hideMark/>
          </w:tcPr>
          <w:p w14:paraId="1DFC8FF4"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Albuquerque</w:t>
            </w:r>
          </w:p>
        </w:tc>
        <w:tc>
          <w:tcPr>
            <w:tcW w:w="6805" w:type="dxa"/>
            <w:shd w:val="clear" w:color="auto" w:fill="auto"/>
            <w:vAlign w:val="center"/>
            <w:hideMark/>
          </w:tcPr>
          <w:p w14:paraId="7D2B4C3E"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1" w:history="1">
              <w:r w:rsidR="004E51F7" w:rsidRPr="00A30C9C">
                <w:rPr>
                  <w:rStyle w:val="aa"/>
                  <w:rFonts w:asciiTheme="minorHAnsi" w:eastAsia="Times New Roman" w:hAnsiTheme="minorHAnsi" w:cstheme="minorHAnsi"/>
                  <w:sz w:val="18"/>
                  <w:szCs w:val="18"/>
                </w:rPr>
                <w:t>http://datacabq.opendata.arcgis.com/datasets/e65e375b680345e0b21fa7585d83ce9c_0?uiTab=table</w:t>
              </w:r>
            </w:hyperlink>
            <w:r w:rsidR="004E51F7">
              <w:rPr>
                <w:rFonts w:asciiTheme="minorHAnsi" w:eastAsia="Times New Roman" w:hAnsiTheme="minorHAnsi" w:cstheme="minorHAnsi"/>
                <w:color w:val="0563C1"/>
                <w:sz w:val="18"/>
                <w:szCs w:val="18"/>
                <w:u w:val="single"/>
              </w:rPr>
              <w:t xml:space="preserve"> </w:t>
            </w:r>
          </w:p>
        </w:tc>
      </w:tr>
      <w:tr w:rsidR="004E51F7" w:rsidRPr="00A335C0" w14:paraId="43B6A9C0" w14:textId="77777777" w:rsidTr="005437EA">
        <w:trPr>
          <w:trHeight w:val="234"/>
          <w:jc w:val="center"/>
        </w:trPr>
        <w:tc>
          <w:tcPr>
            <w:tcW w:w="1417" w:type="dxa"/>
            <w:shd w:val="clear" w:color="auto" w:fill="auto"/>
            <w:vAlign w:val="center"/>
            <w:hideMark/>
          </w:tcPr>
          <w:p w14:paraId="33669E99"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New York</w:t>
            </w:r>
          </w:p>
        </w:tc>
        <w:tc>
          <w:tcPr>
            <w:tcW w:w="6805" w:type="dxa"/>
            <w:shd w:val="clear" w:color="auto" w:fill="auto"/>
            <w:vAlign w:val="center"/>
            <w:hideMark/>
          </w:tcPr>
          <w:p w14:paraId="02DF185F"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2" w:history="1">
              <w:r w:rsidR="004E51F7" w:rsidRPr="00A335C0">
                <w:rPr>
                  <w:rFonts w:asciiTheme="minorHAnsi" w:eastAsia="Times New Roman" w:hAnsiTheme="minorHAnsi" w:cstheme="minorHAnsi"/>
                  <w:color w:val="0000FF"/>
                  <w:sz w:val="18"/>
                  <w:szCs w:val="18"/>
                  <w:u w:val="single"/>
                </w:rPr>
                <w:t>https://data.cityofnewyork.us/Housing-Development/Building-Footprints/nqwf-w8eh</w:t>
              </w:r>
            </w:hyperlink>
          </w:p>
        </w:tc>
      </w:tr>
      <w:tr w:rsidR="004E51F7" w:rsidRPr="00A335C0" w14:paraId="3E7590AB" w14:textId="77777777" w:rsidTr="005437EA">
        <w:trPr>
          <w:trHeight w:val="242"/>
          <w:jc w:val="center"/>
        </w:trPr>
        <w:tc>
          <w:tcPr>
            <w:tcW w:w="1417" w:type="dxa"/>
            <w:shd w:val="clear" w:color="auto" w:fill="auto"/>
            <w:vAlign w:val="center"/>
            <w:hideMark/>
          </w:tcPr>
          <w:p w14:paraId="519AF38B" w14:textId="1FFE3E72" w:rsidR="004E51F7" w:rsidRPr="00A335C0" w:rsidRDefault="004E51F7" w:rsidP="00086B8F">
            <w:pPr>
              <w:spacing w:line="276" w:lineRule="auto"/>
              <w:rPr>
                <w:rFonts w:asciiTheme="minorHAnsi" w:eastAsia="Times New Roman" w:hAnsiTheme="minorHAnsi" w:cstheme="minorHAnsi"/>
                <w:color w:val="000000"/>
                <w:sz w:val="18"/>
                <w:szCs w:val="18"/>
              </w:rPr>
            </w:pPr>
            <w:bookmarkStart w:id="1" w:name="RANGE!A12"/>
            <w:r w:rsidRPr="00A335C0">
              <w:rPr>
                <w:rFonts w:asciiTheme="minorHAnsi" w:eastAsia="Times New Roman" w:hAnsiTheme="minorHAnsi" w:cstheme="minorHAnsi"/>
                <w:color w:val="000000"/>
                <w:sz w:val="18"/>
                <w:szCs w:val="18"/>
              </w:rPr>
              <w:t>San Francisco</w:t>
            </w:r>
            <w:bookmarkEnd w:id="1"/>
          </w:p>
        </w:tc>
        <w:bookmarkStart w:id="2" w:name="_Hlk536003529"/>
        <w:tc>
          <w:tcPr>
            <w:tcW w:w="6805" w:type="dxa"/>
            <w:shd w:val="clear" w:color="auto" w:fill="auto"/>
            <w:vAlign w:val="center"/>
            <w:hideMark/>
          </w:tcPr>
          <w:p w14:paraId="407E0AEA" w14:textId="77777777" w:rsidR="004E51F7" w:rsidRPr="00A335C0" w:rsidRDefault="004E51F7" w:rsidP="00086B8F">
            <w:pPr>
              <w:spacing w:line="276" w:lineRule="auto"/>
              <w:rPr>
                <w:rFonts w:asciiTheme="minorHAnsi" w:eastAsia="Times New Roman" w:hAnsiTheme="minorHAnsi" w:cstheme="minorHAnsi"/>
                <w:color w:val="0563C1"/>
                <w:sz w:val="18"/>
                <w:szCs w:val="18"/>
                <w:u w:val="single"/>
              </w:rPr>
            </w:pPr>
            <w:r>
              <w:rPr>
                <w:rFonts w:asciiTheme="minorHAnsi" w:eastAsia="Times New Roman" w:hAnsiTheme="minorHAnsi" w:cstheme="minorHAnsi"/>
                <w:color w:val="0563C1"/>
                <w:sz w:val="18"/>
                <w:szCs w:val="18"/>
                <w:u w:val="single"/>
              </w:rPr>
              <w:fldChar w:fldCharType="begin"/>
            </w:r>
            <w:r>
              <w:rPr>
                <w:rFonts w:asciiTheme="minorHAnsi" w:eastAsia="Times New Roman" w:hAnsiTheme="minorHAnsi" w:cstheme="minorHAnsi"/>
                <w:color w:val="0563C1"/>
                <w:sz w:val="18"/>
                <w:szCs w:val="18"/>
                <w:u w:val="single"/>
              </w:rPr>
              <w:instrText xml:space="preserve"> HYPERLINK "</w:instrText>
            </w:r>
            <w:r w:rsidRPr="00A335C0">
              <w:rPr>
                <w:rFonts w:asciiTheme="minorHAnsi" w:eastAsia="Times New Roman" w:hAnsiTheme="minorHAnsi" w:cstheme="minorHAnsi"/>
                <w:color w:val="0563C1"/>
                <w:sz w:val="18"/>
                <w:szCs w:val="18"/>
                <w:u w:val="single"/>
              </w:rPr>
              <w:instrText>https://data.sfgov.org/Housing-and-Buildings/Building-Footprints-File-Geodatabase-Format-/asx6-3trm</w:instrText>
            </w:r>
            <w:r>
              <w:rPr>
                <w:rFonts w:asciiTheme="minorHAnsi" w:eastAsia="Times New Roman" w:hAnsiTheme="minorHAnsi" w:cstheme="minorHAnsi"/>
                <w:color w:val="0563C1"/>
                <w:sz w:val="18"/>
                <w:szCs w:val="18"/>
                <w:u w:val="single"/>
              </w:rPr>
              <w:instrText xml:space="preserve">" </w:instrText>
            </w:r>
            <w:r>
              <w:rPr>
                <w:rFonts w:asciiTheme="minorHAnsi" w:eastAsia="Times New Roman" w:hAnsiTheme="minorHAnsi" w:cstheme="minorHAnsi"/>
                <w:color w:val="0563C1"/>
                <w:sz w:val="18"/>
                <w:szCs w:val="18"/>
                <w:u w:val="single"/>
              </w:rPr>
              <w:fldChar w:fldCharType="separate"/>
            </w:r>
            <w:r w:rsidRPr="00A30C9C">
              <w:rPr>
                <w:rStyle w:val="aa"/>
                <w:rFonts w:asciiTheme="minorHAnsi" w:eastAsia="Times New Roman" w:hAnsiTheme="minorHAnsi" w:cstheme="minorHAnsi"/>
                <w:sz w:val="18"/>
                <w:szCs w:val="18"/>
              </w:rPr>
              <w:t>https://data.sfgov.org/Housing-and-Buildings/Building-Footprints-File-Geodatabase-Format-/asx6-3trm</w:t>
            </w:r>
            <w:bookmarkEnd w:id="2"/>
            <w:r>
              <w:rPr>
                <w:rFonts w:asciiTheme="minorHAnsi" w:eastAsia="Times New Roman" w:hAnsiTheme="minorHAnsi" w:cstheme="minorHAnsi"/>
                <w:color w:val="0563C1"/>
                <w:sz w:val="18"/>
                <w:szCs w:val="18"/>
                <w:u w:val="single"/>
              </w:rPr>
              <w:fldChar w:fldCharType="end"/>
            </w:r>
            <w:r>
              <w:rPr>
                <w:rFonts w:asciiTheme="minorHAnsi" w:eastAsia="Times New Roman" w:hAnsiTheme="minorHAnsi" w:cstheme="minorHAnsi"/>
                <w:color w:val="0563C1"/>
                <w:sz w:val="18"/>
                <w:szCs w:val="18"/>
                <w:u w:val="single"/>
              </w:rPr>
              <w:t xml:space="preserve"> </w:t>
            </w:r>
          </w:p>
        </w:tc>
      </w:tr>
      <w:tr w:rsidR="004E51F7" w:rsidRPr="00A335C0" w14:paraId="4F917E2E" w14:textId="77777777" w:rsidTr="005437EA">
        <w:trPr>
          <w:trHeight w:val="242"/>
          <w:jc w:val="center"/>
        </w:trPr>
        <w:tc>
          <w:tcPr>
            <w:tcW w:w="1417" w:type="dxa"/>
            <w:shd w:val="clear" w:color="auto" w:fill="auto"/>
            <w:vAlign w:val="center"/>
            <w:hideMark/>
          </w:tcPr>
          <w:p w14:paraId="3F3BCBE9"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Miami</w:t>
            </w:r>
          </w:p>
        </w:tc>
        <w:tc>
          <w:tcPr>
            <w:tcW w:w="6805" w:type="dxa"/>
            <w:shd w:val="clear" w:color="auto" w:fill="auto"/>
            <w:vAlign w:val="center"/>
            <w:hideMark/>
          </w:tcPr>
          <w:p w14:paraId="740A70AC"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3" w:history="1">
              <w:r w:rsidR="004E51F7" w:rsidRPr="00A335C0">
                <w:rPr>
                  <w:rFonts w:asciiTheme="minorHAnsi" w:eastAsia="Times New Roman" w:hAnsiTheme="minorHAnsi" w:cstheme="minorHAnsi"/>
                  <w:color w:val="0000FF"/>
                  <w:sz w:val="18"/>
                  <w:szCs w:val="18"/>
                  <w:u w:val="single"/>
                </w:rPr>
                <w:t>https://mdc.maps.arcgis.com/home/item.html?id=ab4d3a61e60c441bbfc1098d701fc991</w:t>
              </w:r>
            </w:hyperlink>
          </w:p>
        </w:tc>
      </w:tr>
      <w:tr w:rsidR="004E51F7" w:rsidRPr="00A335C0" w14:paraId="53E3CB34" w14:textId="77777777" w:rsidTr="005437EA">
        <w:trPr>
          <w:trHeight w:val="242"/>
          <w:jc w:val="center"/>
        </w:trPr>
        <w:tc>
          <w:tcPr>
            <w:tcW w:w="1417" w:type="dxa"/>
            <w:shd w:val="clear" w:color="auto" w:fill="auto"/>
            <w:vAlign w:val="center"/>
            <w:hideMark/>
          </w:tcPr>
          <w:p w14:paraId="1BA282C1"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Sarasota</w:t>
            </w:r>
          </w:p>
        </w:tc>
        <w:tc>
          <w:tcPr>
            <w:tcW w:w="6805" w:type="dxa"/>
            <w:shd w:val="clear" w:color="auto" w:fill="auto"/>
            <w:vAlign w:val="center"/>
            <w:hideMark/>
          </w:tcPr>
          <w:p w14:paraId="447EEA00"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4" w:history="1">
              <w:r w:rsidR="004E51F7" w:rsidRPr="00D75674">
                <w:rPr>
                  <w:rStyle w:val="aa"/>
                  <w:rFonts w:asciiTheme="minorHAnsi" w:eastAsia="Times New Roman" w:hAnsiTheme="minorHAnsi" w:cstheme="minorHAnsi"/>
                  <w:sz w:val="18"/>
                  <w:szCs w:val="18"/>
                </w:rPr>
                <w:t>http://hub.arcgis.com/datasets/6c679d2949544274aee3bee8182c5611_0?geometry=-84.608%2C29.432%2C-78.802%2C30.265&amp;page=</w:t>
              </w:r>
              <w:r w:rsidR="004E51F7" w:rsidRPr="00A30C9C">
                <w:rPr>
                  <w:rStyle w:val="aa"/>
                  <w:rFonts w:asciiTheme="minorHAnsi" w:eastAsia="Times New Roman" w:hAnsiTheme="minorHAnsi" w:cstheme="minorHAnsi"/>
                  <w:sz w:val="18"/>
                  <w:szCs w:val="18"/>
                </w:rPr>
                <w:t>9</w:t>
              </w:r>
            </w:hyperlink>
            <w:r w:rsidR="004E51F7">
              <w:rPr>
                <w:rFonts w:asciiTheme="minorHAnsi" w:eastAsia="Times New Roman" w:hAnsiTheme="minorHAnsi" w:cstheme="minorHAnsi"/>
                <w:color w:val="0563C1"/>
                <w:sz w:val="18"/>
                <w:szCs w:val="18"/>
                <w:u w:val="single"/>
              </w:rPr>
              <w:t xml:space="preserve"> </w:t>
            </w:r>
          </w:p>
        </w:tc>
      </w:tr>
      <w:tr w:rsidR="004E51F7" w:rsidRPr="00A335C0" w14:paraId="6767F1C8" w14:textId="77777777" w:rsidTr="005437EA">
        <w:trPr>
          <w:trHeight w:val="234"/>
          <w:jc w:val="center"/>
        </w:trPr>
        <w:tc>
          <w:tcPr>
            <w:tcW w:w="1417" w:type="dxa"/>
            <w:shd w:val="clear" w:color="auto" w:fill="auto"/>
            <w:vAlign w:val="center"/>
            <w:hideMark/>
          </w:tcPr>
          <w:p w14:paraId="64F7757C"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Boston</w:t>
            </w:r>
          </w:p>
        </w:tc>
        <w:tc>
          <w:tcPr>
            <w:tcW w:w="6805" w:type="dxa"/>
            <w:shd w:val="clear" w:color="auto" w:fill="auto"/>
            <w:vAlign w:val="center"/>
            <w:hideMark/>
          </w:tcPr>
          <w:p w14:paraId="04630FF6"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5" w:history="1">
              <w:r w:rsidR="004E51F7" w:rsidRPr="00A335C0">
                <w:rPr>
                  <w:rFonts w:asciiTheme="minorHAnsi" w:eastAsia="Times New Roman" w:hAnsiTheme="minorHAnsi" w:cstheme="minorHAnsi"/>
                  <w:color w:val="0000FF"/>
                  <w:sz w:val="18"/>
                  <w:szCs w:val="18"/>
                  <w:u w:val="single"/>
                </w:rPr>
                <w:t>http://boston.maps.arcgis.com/home/item.html?id=c423eda7a64b49c98a9ebdf5a6b7e135</w:t>
              </w:r>
            </w:hyperlink>
          </w:p>
        </w:tc>
      </w:tr>
      <w:tr w:rsidR="004E51F7" w:rsidRPr="00A335C0" w14:paraId="4E668DF4" w14:textId="77777777" w:rsidTr="005437EA">
        <w:trPr>
          <w:trHeight w:val="242"/>
          <w:jc w:val="center"/>
        </w:trPr>
        <w:tc>
          <w:tcPr>
            <w:tcW w:w="1417" w:type="dxa"/>
            <w:shd w:val="clear" w:color="auto" w:fill="auto"/>
            <w:vAlign w:val="center"/>
            <w:hideMark/>
          </w:tcPr>
          <w:p w14:paraId="19B38650" w14:textId="77777777" w:rsidR="004E51F7" w:rsidRPr="00A335C0" w:rsidRDefault="004E51F7" w:rsidP="00086B8F">
            <w:pPr>
              <w:spacing w:line="276" w:lineRule="auto"/>
              <w:rPr>
                <w:rFonts w:asciiTheme="minorHAnsi" w:eastAsia="Times New Roman" w:hAnsiTheme="minorHAnsi" w:cstheme="minorHAnsi"/>
                <w:color w:val="000000"/>
                <w:sz w:val="18"/>
                <w:szCs w:val="18"/>
              </w:rPr>
            </w:pPr>
            <w:proofErr w:type="spellStart"/>
            <w:r w:rsidRPr="00A335C0">
              <w:rPr>
                <w:rFonts w:asciiTheme="minorHAnsi" w:eastAsia="Times New Roman" w:hAnsiTheme="minorHAnsi" w:cstheme="minorHAnsi"/>
                <w:color w:val="000000"/>
                <w:sz w:val="18"/>
                <w:szCs w:val="18"/>
              </w:rPr>
              <w:t>Santa_Clara</w:t>
            </w:r>
            <w:proofErr w:type="spellEnd"/>
          </w:p>
        </w:tc>
        <w:tc>
          <w:tcPr>
            <w:tcW w:w="6805" w:type="dxa"/>
            <w:shd w:val="clear" w:color="auto" w:fill="auto"/>
            <w:vAlign w:val="center"/>
            <w:hideMark/>
          </w:tcPr>
          <w:p w14:paraId="173459D2"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6" w:history="1">
              <w:r w:rsidR="004E51F7" w:rsidRPr="00A30C9C">
                <w:rPr>
                  <w:rStyle w:val="aa"/>
                  <w:rFonts w:asciiTheme="minorHAnsi" w:eastAsia="Times New Roman" w:hAnsiTheme="minorHAnsi" w:cstheme="minorHAnsi"/>
                  <w:sz w:val="18"/>
                  <w:szCs w:val="18"/>
                </w:rPr>
                <w:t>http://hub.arcgis.com/datasets/ee83a3518a7249fda22866117463de3f_0?page=10</w:t>
              </w:r>
            </w:hyperlink>
            <w:r w:rsidR="004E51F7">
              <w:rPr>
                <w:rFonts w:asciiTheme="minorHAnsi" w:eastAsia="Times New Roman" w:hAnsiTheme="minorHAnsi" w:cstheme="minorHAnsi"/>
                <w:color w:val="0563C1"/>
                <w:sz w:val="18"/>
                <w:szCs w:val="18"/>
                <w:u w:val="single"/>
              </w:rPr>
              <w:t xml:space="preserve"> </w:t>
            </w:r>
          </w:p>
        </w:tc>
      </w:tr>
      <w:tr w:rsidR="004E51F7" w:rsidRPr="00A335C0" w14:paraId="08CA031E" w14:textId="77777777" w:rsidTr="005437EA">
        <w:trPr>
          <w:trHeight w:val="242"/>
          <w:jc w:val="center"/>
        </w:trPr>
        <w:tc>
          <w:tcPr>
            <w:tcW w:w="1417" w:type="dxa"/>
            <w:shd w:val="clear" w:color="auto" w:fill="auto"/>
            <w:vAlign w:val="center"/>
            <w:hideMark/>
          </w:tcPr>
          <w:p w14:paraId="4F609A1D"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Reedsburg</w:t>
            </w:r>
          </w:p>
        </w:tc>
        <w:tc>
          <w:tcPr>
            <w:tcW w:w="6805" w:type="dxa"/>
            <w:shd w:val="clear" w:color="auto" w:fill="auto"/>
            <w:vAlign w:val="center"/>
            <w:hideMark/>
          </w:tcPr>
          <w:p w14:paraId="48052785"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7" w:history="1">
              <w:r w:rsidR="004E51F7" w:rsidRPr="00A30C9C">
                <w:rPr>
                  <w:rStyle w:val="aa"/>
                  <w:rFonts w:asciiTheme="minorHAnsi" w:eastAsia="Times New Roman" w:hAnsiTheme="minorHAnsi" w:cstheme="minorHAnsi"/>
                  <w:sz w:val="18"/>
                  <w:szCs w:val="18"/>
                </w:rPr>
                <w:t>http://hub.arcgis.com/datasets/dbe64a71897e4982934dbd7637d576d5_0?geometry=-91.204%2C43.336%2C-87.378%2C44.031</w:t>
              </w:r>
            </w:hyperlink>
            <w:r w:rsidR="004E51F7">
              <w:rPr>
                <w:rFonts w:asciiTheme="minorHAnsi" w:eastAsia="Times New Roman" w:hAnsiTheme="minorHAnsi" w:cstheme="minorHAnsi"/>
                <w:color w:val="0563C1"/>
                <w:sz w:val="18"/>
                <w:szCs w:val="18"/>
                <w:u w:val="single"/>
              </w:rPr>
              <w:t xml:space="preserve"> </w:t>
            </w:r>
          </w:p>
        </w:tc>
      </w:tr>
      <w:tr w:rsidR="004E51F7" w:rsidRPr="00A335C0" w14:paraId="508CF692" w14:textId="77777777" w:rsidTr="005437EA">
        <w:trPr>
          <w:trHeight w:val="349"/>
          <w:jc w:val="center"/>
        </w:trPr>
        <w:tc>
          <w:tcPr>
            <w:tcW w:w="1417" w:type="dxa"/>
            <w:shd w:val="clear" w:color="auto" w:fill="auto"/>
            <w:vAlign w:val="center"/>
            <w:hideMark/>
          </w:tcPr>
          <w:p w14:paraId="48E65BA8"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Macomb</w:t>
            </w:r>
          </w:p>
        </w:tc>
        <w:tc>
          <w:tcPr>
            <w:tcW w:w="6805" w:type="dxa"/>
            <w:shd w:val="clear" w:color="auto" w:fill="auto"/>
            <w:vAlign w:val="center"/>
            <w:hideMark/>
          </w:tcPr>
          <w:p w14:paraId="485719FE"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8" w:history="1">
              <w:r w:rsidR="004E51F7" w:rsidRPr="00D75674">
                <w:rPr>
                  <w:rStyle w:val="aa"/>
                  <w:rFonts w:asciiTheme="minorHAnsi" w:eastAsia="Times New Roman" w:hAnsiTheme="minorHAnsi" w:cstheme="minorHAnsi"/>
                  <w:sz w:val="18"/>
                  <w:szCs w:val="18"/>
                </w:rPr>
                <w:t>http://hub.arcgis.com/datasets/b5bbaf4fef6e4b59b8214ccaa17b8331_</w:t>
              </w:r>
              <w:r w:rsidR="004E51F7" w:rsidRPr="00A30C9C">
                <w:rPr>
                  <w:rStyle w:val="aa"/>
                  <w:rFonts w:asciiTheme="minorHAnsi" w:eastAsia="Times New Roman" w:hAnsiTheme="minorHAnsi" w:cstheme="minorHAnsi"/>
                  <w:sz w:val="18"/>
                  <w:szCs w:val="18"/>
                </w:rPr>
                <w:t>0</w:t>
              </w:r>
            </w:hyperlink>
            <w:r w:rsidR="004E51F7">
              <w:rPr>
                <w:rFonts w:asciiTheme="minorHAnsi" w:eastAsia="Times New Roman" w:hAnsiTheme="minorHAnsi" w:cstheme="minorHAnsi"/>
                <w:color w:val="0563C1"/>
                <w:sz w:val="18"/>
                <w:szCs w:val="18"/>
                <w:u w:val="single"/>
              </w:rPr>
              <w:t xml:space="preserve"> </w:t>
            </w:r>
          </w:p>
        </w:tc>
      </w:tr>
      <w:tr w:rsidR="004E51F7" w:rsidRPr="00A335C0" w14:paraId="3928280D" w14:textId="77777777" w:rsidTr="005437EA">
        <w:trPr>
          <w:trHeight w:val="349"/>
          <w:jc w:val="center"/>
        </w:trPr>
        <w:tc>
          <w:tcPr>
            <w:tcW w:w="1417" w:type="dxa"/>
            <w:shd w:val="clear" w:color="auto" w:fill="auto"/>
            <w:vAlign w:val="center"/>
            <w:hideMark/>
          </w:tcPr>
          <w:p w14:paraId="4ADC1BF3"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Washtenaw</w:t>
            </w:r>
          </w:p>
        </w:tc>
        <w:tc>
          <w:tcPr>
            <w:tcW w:w="6805" w:type="dxa"/>
            <w:shd w:val="clear" w:color="auto" w:fill="auto"/>
            <w:vAlign w:val="center"/>
            <w:hideMark/>
          </w:tcPr>
          <w:p w14:paraId="79291C1B"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29" w:history="1">
              <w:r w:rsidR="004E51F7" w:rsidRPr="00A335C0">
                <w:rPr>
                  <w:rFonts w:asciiTheme="minorHAnsi" w:eastAsia="Times New Roman" w:hAnsiTheme="minorHAnsi" w:cstheme="minorHAnsi"/>
                  <w:color w:val="0000FF"/>
                  <w:sz w:val="18"/>
                  <w:szCs w:val="18"/>
                  <w:u w:val="single"/>
                </w:rPr>
                <w:t>http://hub.arcgis.com/datasets/beefad4ecf334b43b883123a72bf86b7_0</w:t>
              </w:r>
            </w:hyperlink>
          </w:p>
        </w:tc>
      </w:tr>
      <w:tr w:rsidR="004E51F7" w:rsidRPr="00A335C0" w14:paraId="4C3FC440" w14:textId="77777777" w:rsidTr="005437EA">
        <w:trPr>
          <w:trHeight w:val="242"/>
          <w:jc w:val="center"/>
        </w:trPr>
        <w:tc>
          <w:tcPr>
            <w:tcW w:w="1417" w:type="dxa"/>
            <w:shd w:val="clear" w:color="auto" w:fill="auto"/>
            <w:vAlign w:val="center"/>
            <w:hideMark/>
          </w:tcPr>
          <w:p w14:paraId="54955875"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Henderson</w:t>
            </w:r>
          </w:p>
        </w:tc>
        <w:tc>
          <w:tcPr>
            <w:tcW w:w="6805" w:type="dxa"/>
            <w:shd w:val="clear" w:color="auto" w:fill="auto"/>
            <w:vAlign w:val="center"/>
            <w:hideMark/>
          </w:tcPr>
          <w:p w14:paraId="006F6343"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0" w:history="1">
              <w:r w:rsidR="004E51F7" w:rsidRPr="00A335C0">
                <w:rPr>
                  <w:rFonts w:asciiTheme="minorHAnsi" w:eastAsia="Times New Roman" w:hAnsiTheme="minorHAnsi" w:cstheme="minorHAnsi"/>
                  <w:color w:val="0000FF"/>
                  <w:sz w:val="18"/>
                  <w:szCs w:val="18"/>
                  <w:u w:val="single"/>
                </w:rPr>
                <w:t>http://hub.arcgis.com/datasets/23e5f3506f034c3d99b84e54fce51584_11</w:t>
              </w:r>
            </w:hyperlink>
          </w:p>
        </w:tc>
      </w:tr>
      <w:tr w:rsidR="004E51F7" w:rsidRPr="00A335C0" w14:paraId="161261AB" w14:textId="77777777" w:rsidTr="005437EA">
        <w:trPr>
          <w:trHeight w:val="242"/>
          <w:jc w:val="center"/>
        </w:trPr>
        <w:tc>
          <w:tcPr>
            <w:tcW w:w="1417" w:type="dxa"/>
            <w:shd w:val="clear" w:color="auto" w:fill="auto"/>
            <w:vAlign w:val="center"/>
            <w:hideMark/>
          </w:tcPr>
          <w:p w14:paraId="4558ACF5"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Lincoln</w:t>
            </w:r>
          </w:p>
        </w:tc>
        <w:tc>
          <w:tcPr>
            <w:tcW w:w="6805" w:type="dxa"/>
            <w:shd w:val="clear" w:color="auto" w:fill="auto"/>
            <w:vAlign w:val="center"/>
            <w:hideMark/>
          </w:tcPr>
          <w:p w14:paraId="75F012E9"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1" w:history="1">
              <w:r w:rsidR="004E51F7" w:rsidRPr="00D75674">
                <w:rPr>
                  <w:rStyle w:val="aa"/>
                  <w:rFonts w:asciiTheme="minorHAnsi" w:eastAsia="Times New Roman" w:hAnsiTheme="minorHAnsi" w:cstheme="minorHAnsi"/>
                  <w:sz w:val="18"/>
                  <w:szCs w:val="18"/>
                </w:rPr>
                <w:t>http://hub.arcgis.com/datasets/1b6a5a2ef1b34c28950c4e720e8d7a3d_</w:t>
              </w:r>
              <w:r w:rsidR="004E51F7" w:rsidRPr="00A30C9C">
                <w:rPr>
                  <w:rStyle w:val="aa"/>
                  <w:rFonts w:asciiTheme="minorHAnsi" w:eastAsia="Times New Roman" w:hAnsiTheme="minorHAnsi" w:cstheme="minorHAnsi"/>
                  <w:sz w:val="18"/>
                  <w:szCs w:val="18"/>
                </w:rPr>
                <w:t>0</w:t>
              </w:r>
            </w:hyperlink>
            <w:r w:rsidR="004E51F7">
              <w:rPr>
                <w:rFonts w:asciiTheme="minorHAnsi" w:eastAsia="Times New Roman" w:hAnsiTheme="minorHAnsi" w:cstheme="minorHAnsi"/>
                <w:color w:val="0563C1"/>
                <w:sz w:val="18"/>
                <w:szCs w:val="18"/>
                <w:u w:val="single"/>
              </w:rPr>
              <w:t xml:space="preserve"> </w:t>
            </w:r>
          </w:p>
        </w:tc>
      </w:tr>
      <w:tr w:rsidR="004E51F7" w:rsidRPr="00A335C0" w14:paraId="4CA441D2" w14:textId="77777777" w:rsidTr="005437EA">
        <w:trPr>
          <w:trHeight w:val="268"/>
          <w:jc w:val="center"/>
        </w:trPr>
        <w:tc>
          <w:tcPr>
            <w:tcW w:w="1417" w:type="dxa"/>
            <w:shd w:val="clear" w:color="auto" w:fill="auto"/>
            <w:vAlign w:val="center"/>
            <w:hideMark/>
          </w:tcPr>
          <w:p w14:paraId="5A399BAF" w14:textId="624329BD" w:rsidR="004E51F7" w:rsidRPr="00A335C0" w:rsidRDefault="004E51F7" w:rsidP="00086B8F">
            <w:pPr>
              <w:spacing w:line="276" w:lineRule="auto"/>
              <w:rPr>
                <w:rFonts w:asciiTheme="minorHAnsi" w:eastAsia="Times New Roman" w:hAnsiTheme="minorHAnsi" w:cstheme="minorHAnsi"/>
                <w:color w:val="000000"/>
                <w:sz w:val="18"/>
                <w:szCs w:val="18"/>
              </w:rPr>
            </w:pPr>
            <w:bookmarkStart w:id="3" w:name="RANGE!A24"/>
            <w:r w:rsidRPr="00A335C0">
              <w:rPr>
                <w:rFonts w:asciiTheme="minorHAnsi" w:eastAsia="Times New Roman" w:hAnsiTheme="minorHAnsi" w:cstheme="minorHAnsi"/>
                <w:color w:val="000000"/>
                <w:sz w:val="18"/>
                <w:szCs w:val="18"/>
              </w:rPr>
              <w:t>Monroe</w:t>
            </w:r>
            <w:bookmarkEnd w:id="3"/>
          </w:p>
        </w:tc>
        <w:bookmarkStart w:id="4" w:name="_Hlk536050997"/>
        <w:tc>
          <w:tcPr>
            <w:tcW w:w="6805" w:type="dxa"/>
            <w:shd w:val="clear" w:color="auto" w:fill="auto"/>
            <w:vAlign w:val="center"/>
            <w:hideMark/>
          </w:tcPr>
          <w:p w14:paraId="6F167C1C" w14:textId="77777777" w:rsidR="004E51F7" w:rsidRPr="00A335C0" w:rsidRDefault="004E51F7" w:rsidP="00086B8F">
            <w:pPr>
              <w:spacing w:line="276" w:lineRule="auto"/>
              <w:rPr>
                <w:rFonts w:asciiTheme="minorHAnsi" w:eastAsia="Times New Roman" w:hAnsiTheme="minorHAnsi" w:cstheme="minorHAnsi"/>
                <w:color w:val="0563C1"/>
                <w:sz w:val="18"/>
                <w:szCs w:val="18"/>
                <w:u w:val="single"/>
              </w:rPr>
            </w:pPr>
            <w:r>
              <w:rPr>
                <w:rFonts w:asciiTheme="minorHAnsi" w:eastAsia="Times New Roman" w:hAnsiTheme="minorHAnsi" w:cstheme="minorHAnsi"/>
                <w:color w:val="0563C1"/>
                <w:sz w:val="18"/>
                <w:szCs w:val="18"/>
                <w:u w:val="single"/>
              </w:rPr>
              <w:fldChar w:fldCharType="begin"/>
            </w:r>
            <w:r>
              <w:rPr>
                <w:rFonts w:asciiTheme="minorHAnsi" w:eastAsia="Times New Roman" w:hAnsiTheme="minorHAnsi" w:cstheme="minorHAnsi"/>
                <w:color w:val="0563C1"/>
                <w:sz w:val="18"/>
                <w:szCs w:val="18"/>
                <w:u w:val="single"/>
              </w:rPr>
              <w:instrText xml:space="preserve"> HYPERLINK "</w:instrText>
            </w:r>
            <w:r w:rsidRPr="00062F41">
              <w:rPr>
                <w:color w:val="0563C1"/>
              </w:rPr>
              <w:instrText>http://hub.arcgis.com/datasets/61e3bf9f7da143b3b87e17dabe5b0c52_</w:instrText>
            </w:r>
            <w:r w:rsidRPr="00A335C0">
              <w:rPr>
                <w:rFonts w:asciiTheme="minorHAnsi" w:eastAsia="Times New Roman" w:hAnsiTheme="minorHAnsi" w:cstheme="minorHAnsi"/>
                <w:color w:val="0563C1"/>
                <w:sz w:val="18"/>
                <w:szCs w:val="18"/>
                <w:u w:val="single"/>
              </w:rPr>
              <w:instrText>0</w:instrText>
            </w:r>
            <w:r>
              <w:rPr>
                <w:rFonts w:asciiTheme="minorHAnsi" w:eastAsia="Times New Roman" w:hAnsiTheme="minorHAnsi" w:cstheme="minorHAnsi"/>
                <w:color w:val="0563C1"/>
                <w:sz w:val="18"/>
                <w:szCs w:val="18"/>
                <w:u w:val="single"/>
              </w:rPr>
              <w:instrText xml:space="preserve">" </w:instrText>
            </w:r>
            <w:r>
              <w:rPr>
                <w:rFonts w:asciiTheme="minorHAnsi" w:eastAsia="Times New Roman" w:hAnsiTheme="minorHAnsi" w:cstheme="minorHAnsi"/>
                <w:color w:val="0563C1"/>
                <w:sz w:val="18"/>
                <w:szCs w:val="18"/>
                <w:u w:val="single"/>
              </w:rPr>
              <w:fldChar w:fldCharType="separate"/>
            </w:r>
            <w:r w:rsidRPr="00D75674">
              <w:rPr>
                <w:rStyle w:val="aa"/>
                <w:rFonts w:asciiTheme="minorHAnsi" w:eastAsia="Times New Roman" w:hAnsiTheme="minorHAnsi" w:cstheme="minorHAnsi"/>
                <w:sz w:val="18"/>
                <w:szCs w:val="18"/>
              </w:rPr>
              <w:t>http://hub.arcgis.com/datasets/61e3bf9f7da143b3b87e17dabe5b0c52_</w:t>
            </w:r>
            <w:r w:rsidRPr="00A30C9C">
              <w:rPr>
                <w:rStyle w:val="aa"/>
                <w:rFonts w:asciiTheme="minorHAnsi" w:eastAsia="Times New Roman" w:hAnsiTheme="minorHAnsi" w:cstheme="minorHAnsi"/>
                <w:sz w:val="18"/>
                <w:szCs w:val="18"/>
              </w:rPr>
              <w:t>0</w:t>
            </w:r>
            <w:bookmarkEnd w:id="4"/>
            <w:r>
              <w:rPr>
                <w:rFonts w:asciiTheme="minorHAnsi" w:eastAsia="Times New Roman" w:hAnsiTheme="minorHAnsi" w:cstheme="minorHAnsi"/>
                <w:color w:val="0563C1"/>
                <w:sz w:val="18"/>
                <w:szCs w:val="18"/>
                <w:u w:val="single"/>
              </w:rPr>
              <w:fldChar w:fldCharType="end"/>
            </w:r>
            <w:r>
              <w:rPr>
                <w:rFonts w:asciiTheme="minorHAnsi" w:eastAsia="Times New Roman" w:hAnsiTheme="minorHAnsi" w:cstheme="minorHAnsi"/>
                <w:color w:val="0563C1"/>
                <w:sz w:val="18"/>
                <w:szCs w:val="18"/>
                <w:u w:val="single"/>
              </w:rPr>
              <w:t xml:space="preserve"> </w:t>
            </w:r>
          </w:p>
        </w:tc>
      </w:tr>
      <w:tr w:rsidR="004E51F7" w:rsidRPr="00A335C0" w14:paraId="153A46B2" w14:textId="77777777" w:rsidTr="005437EA">
        <w:trPr>
          <w:trHeight w:val="283"/>
          <w:jc w:val="center"/>
        </w:trPr>
        <w:tc>
          <w:tcPr>
            <w:tcW w:w="1417" w:type="dxa"/>
            <w:shd w:val="clear" w:color="auto" w:fill="auto"/>
            <w:vAlign w:val="center"/>
            <w:hideMark/>
          </w:tcPr>
          <w:p w14:paraId="547DF4AC" w14:textId="77777777" w:rsidR="004E51F7" w:rsidRPr="00A335C0" w:rsidRDefault="004E51F7" w:rsidP="00086B8F">
            <w:pPr>
              <w:spacing w:line="276" w:lineRule="auto"/>
              <w:rPr>
                <w:rFonts w:asciiTheme="minorHAnsi" w:eastAsia="Times New Roman" w:hAnsiTheme="minorHAnsi" w:cstheme="minorHAnsi"/>
                <w:color w:val="000000"/>
                <w:sz w:val="18"/>
                <w:szCs w:val="18"/>
              </w:rPr>
            </w:pPr>
            <w:proofErr w:type="spellStart"/>
            <w:r w:rsidRPr="00A335C0">
              <w:rPr>
                <w:rFonts w:asciiTheme="minorHAnsi" w:eastAsia="Times New Roman" w:hAnsiTheme="minorHAnsi" w:cstheme="minorHAnsi"/>
                <w:color w:val="000000"/>
                <w:sz w:val="18"/>
                <w:szCs w:val="18"/>
              </w:rPr>
              <w:t>St._Clair</w:t>
            </w:r>
            <w:proofErr w:type="spellEnd"/>
          </w:p>
        </w:tc>
        <w:tc>
          <w:tcPr>
            <w:tcW w:w="6805" w:type="dxa"/>
            <w:shd w:val="clear" w:color="auto" w:fill="auto"/>
            <w:vAlign w:val="center"/>
            <w:hideMark/>
          </w:tcPr>
          <w:p w14:paraId="7F204D16"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2" w:history="1">
              <w:r w:rsidR="004E51F7" w:rsidRPr="00A30C9C">
                <w:rPr>
                  <w:rStyle w:val="aa"/>
                  <w:rFonts w:asciiTheme="minorHAnsi" w:eastAsia="Times New Roman" w:hAnsiTheme="minorHAnsi" w:cstheme="minorHAnsi"/>
                  <w:sz w:val="18"/>
                  <w:szCs w:val="18"/>
                </w:rPr>
                <w:t>http://hub.arcgis.com/datasets/d00d7cffefd6466086dcfc7202f185f4_0/data?orderBy=MEDIAN_HGT&amp;page=109</w:t>
              </w:r>
            </w:hyperlink>
            <w:r w:rsidR="004E51F7">
              <w:rPr>
                <w:rFonts w:asciiTheme="minorHAnsi" w:eastAsia="Times New Roman" w:hAnsiTheme="minorHAnsi" w:cstheme="minorHAnsi"/>
                <w:color w:val="0563C1"/>
                <w:sz w:val="18"/>
                <w:szCs w:val="18"/>
                <w:u w:val="single"/>
              </w:rPr>
              <w:t xml:space="preserve"> </w:t>
            </w:r>
          </w:p>
        </w:tc>
      </w:tr>
      <w:tr w:rsidR="004E51F7" w:rsidRPr="00A335C0" w14:paraId="56D253AC" w14:textId="77777777" w:rsidTr="005437EA">
        <w:trPr>
          <w:trHeight w:val="234"/>
          <w:jc w:val="center"/>
        </w:trPr>
        <w:tc>
          <w:tcPr>
            <w:tcW w:w="1417" w:type="dxa"/>
            <w:shd w:val="clear" w:color="auto" w:fill="auto"/>
            <w:vAlign w:val="center"/>
            <w:hideMark/>
          </w:tcPr>
          <w:p w14:paraId="77B6DE52"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Sioux Falls</w:t>
            </w:r>
          </w:p>
        </w:tc>
        <w:tc>
          <w:tcPr>
            <w:tcW w:w="6805" w:type="dxa"/>
            <w:shd w:val="clear" w:color="auto" w:fill="auto"/>
            <w:vAlign w:val="center"/>
            <w:hideMark/>
          </w:tcPr>
          <w:p w14:paraId="3D7BF0D1"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3" w:history="1">
              <w:r w:rsidR="004E51F7" w:rsidRPr="00A335C0">
                <w:rPr>
                  <w:rFonts w:asciiTheme="minorHAnsi" w:eastAsia="Times New Roman" w:hAnsiTheme="minorHAnsi" w:cstheme="minorHAnsi"/>
                  <w:color w:val="0000FF"/>
                  <w:sz w:val="18"/>
                  <w:szCs w:val="18"/>
                  <w:u w:val="single"/>
                </w:rPr>
                <w:t>https://hub.arcgis.com/datasets/065e40f79b784848b403130234d95a1e_5?geometry=-97.326%2C43.445%2C-96.019%2C43.619&amp;page=8145</w:t>
              </w:r>
            </w:hyperlink>
          </w:p>
        </w:tc>
      </w:tr>
      <w:tr w:rsidR="004E51F7" w:rsidRPr="00A335C0" w14:paraId="4E545087" w14:textId="77777777" w:rsidTr="005437EA">
        <w:trPr>
          <w:trHeight w:val="242"/>
          <w:jc w:val="center"/>
        </w:trPr>
        <w:tc>
          <w:tcPr>
            <w:tcW w:w="1417" w:type="dxa"/>
            <w:shd w:val="clear" w:color="auto" w:fill="auto"/>
            <w:vAlign w:val="center"/>
            <w:hideMark/>
          </w:tcPr>
          <w:p w14:paraId="5DE0CDD7"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Bernalillo</w:t>
            </w:r>
          </w:p>
        </w:tc>
        <w:tc>
          <w:tcPr>
            <w:tcW w:w="6805" w:type="dxa"/>
            <w:shd w:val="clear" w:color="auto" w:fill="auto"/>
            <w:vAlign w:val="center"/>
            <w:hideMark/>
          </w:tcPr>
          <w:p w14:paraId="1445A193"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4" w:history="1">
              <w:r w:rsidR="004E51F7" w:rsidRPr="00A335C0">
                <w:rPr>
                  <w:rFonts w:asciiTheme="minorHAnsi" w:eastAsia="Times New Roman" w:hAnsiTheme="minorHAnsi" w:cstheme="minorHAnsi"/>
                  <w:color w:val="0000FF"/>
                  <w:sz w:val="18"/>
                  <w:szCs w:val="18"/>
                  <w:u w:val="single"/>
                </w:rPr>
                <w:t>https://hub.arcgis.com/datasets/e65e375b680345e0b21fa7585d83ce9c_0</w:t>
              </w:r>
            </w:hyperlink>
          </w:p>
        </w:tc>
      </w:tr>
      <w:tr w:rsidR="004E51F7" w:rsidRPr="00A335C0" w14:paraId="01002DB6" w14:textId="77777777" w:rsidTr="005437EA">
        <w:trPr>
          <w:trHeight w:val="242"/>
          <w:jc w:val="center"/>
        </w:trPr>
        <w:tc>
          <w:tcPr>
            <w:tcW w:w="1417" w:type="dxa"/>
            <w:shd w:val="clear" w:color="auto" w:fill="auto"/>
            <w:vAlign w:val="center"/>
            <w:hideMark/>
          </w:tcPr>
          <w:p w14:paraId="13A239DD"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Arlington</w:t>
            </w:r>
          </w:p>
        </w:tc>
        <w:tc>
          <w:tcPr>
            <w:tcW w:w="6805" w:type="dxa"/>
            <w:shd w:val="clear" w:color="auto" w:fill="auto"/>
            <w:vAlign w:val="center"/>
            <w:hideMark/>
          </w:tcPr>
          <w:p w14:paraId="51929F90"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5" w:history="1">
              <w:r w:rsidR="004E51F7" w:rsidRPr="00A335C0">
                <w:rPr>
                  <w:rFonts w:asciiTheme="minorHAnsi" w:eastAsia="Times New Roman" w:hAnsiTheme="minorHAnsi" w:cstheme="minorHAnsi"/>
                  <w:color w:val="0000FF"/>
                  <w:sz w:val="18"/>
                  <w:szCs w:val="18"/>
                  <w:u w:val="single"/>
                </w:rPr>
                <w:t>https://hub.arcgis.com/datasets/bac045c94c144838a7e65fbcf7aa939c_0?page=1532</w:t>
              </w:r>
            </w:hyperlink>
          </w:p>
        </w:tc>
      </w:tr>
      <w:tr w:rsidR="004E51F7" w:rsidRPr="00A335C0" w14:paraId="41034BA6" w14:textId="77777777" w:rsidTr="005437EA">
        <w:trPr>
          <w:trHeight w:val="242"/>
          <w:jc w:val="center"/>
        </w:trPr>
        <w:tc>
          <w:tcPr>
            <w:tcW w:w="1417" w:type="dxa"/>
            <w:shd w:val="clear" w:color="auto" w:fill="auto"/>
            <w:vAlign w:val="center"/>
            <w:hideMark/>
          </w:tcPr>
          <w:p w14:paraId="7EE63CC9"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DC</w:t>
            </w:r>
          </w:p>
        </w:tc>
        <w:tc>
          <w:tcPr>
            <w:tcW w:w="6805" w:type="dxa"/>
            <w:shd w:val="clear" w:color="auto" w:fill="auto"/>
            <w:vAlign w:val="center"/>
            <w:hideMark/>
          </w:tcPr>
          <w:p w14:paraId="61B6E886"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6" w:history="1">
              <w:r w:rsidR="004E51F7" w:rsidRPr="00A30C9C">
                <w:rPr>
                  <w:rStyle w:val="aa"/>
                  <w:rFonts w:asciiTheme="minorHAnsi" w:eastAsia="Times New Roman" w:hAnsiTheme="minorHAnsi" w:cstheme="minorHAnsi"/>
                  <w:sz w:val="18"/>
                  <w:szCs w:val="18"/>
                </w:rPr>
                <w:t>http://opendata.dc.gov/datasets?q=3d&amp;sort_by=relevance</w:t>
              </w:r>
            </w:hyperlink>
            <w:r w:rsidR="004E51F7">
              <w:rPr>
                <w:rFonts w:asciiTheme="minorHAnsi" w:eastAsia="Times New Roman" w:hAnsiTheme="minorHAnsi" w:cstheme="minorHAnsi"/>
                <w:color w:val="0563C1"/>
                <w:sz w:val="18"/>
                <w:szCs w:val="18"/>
                <w:u w:val="single"/>
              </w:rPr>
              <w:t xml:space="preserve"> </w:t>
            </w:r>
          </w:p>
        </w:tc>
      </w:tr>
      <w:tr w:rsidR="004E51F7" w:rsidRPr="00A335C0" w14:paraId="6B848D60" w14:textId="77777777" w:rsidTr="005437EA">
        <w:trPr>
          <w:trHeight w:val="75"/>
          <w:jc w:val="center"/>
        </w:trPr>
        <w:tc>
          <w:tcPr>
            <w:tcW w:w="1417" w:type="dxa"/>
            <w:shd w:val="clear" w:color="auto" w:fill="auto"/>
            <w:vAlign w:val="center"/>
            <w:hideMark/>
          </w:tcPr>
          <w:p w14:paraId="3679F985" w14:textId="77777777" w:rsidR="004E51F7" w:rsidRPr="00A335C0" w:rsidRDefault="004E51F7" w:rsidP="00086B8F">
            <w:pPr>
              <w:spacing w:line="276" w:lineRule="auto"/>
              <w:rPr>
                <w:rFonts w:asciiTheme="minorHAnsi" w:eastAsia="Times New Roman" w:hAnsiTheme="minorHAnsi" w:cstheme="minorHAnsi"/>
                <w:color w:val="000000"/>
                <w:sz w:val="18"/>
                <w:szCs w:val="18"/>
              </w:rPr>
            </w:pPr>
            <w:r w:rsidRPr="00A335C0">
              <w:rPr>
                <w:rFonts w:asciiTheme="minorHAnsi" w:eastAsia="Times New Roman" w:hAnsiTheme="minorHAnsi" w:cstheme="minorHAnsi"/>
                <w:color w:val="000000"/>
                <w:sz w:val="18"/>
                <w:szCs w:val="18"/>
              </w:rPr>
              <w:t>Cambridge</w:t>
            </w:r>
          </w:p>
        </w:tc>
        <w:tc>
          <w:tcPr>
            <w:tcW w:w="6805" w:type="dxa"/>
            <w:shd w:val="clear" w:color="auto" w:fill="auto"/>
            <w:vAlign w:val="center"/>
            <w:hideMark/>
          </w:tcPr>
          <w:p w14:paraId="00663179" w14:textId="77777777" w:rsidR="004E51F7" w:rsidRPr="00A335C0" w:rsidRDefault="00B65B80" w:rsidP="00086B8F">
            <w:pPr>
              <w:spacing w:line="276" w:lineRule="auto"/>
              <w:rPr>
                <w:rFonts w:asciiTheme="minorHAnsi" w:eastAsia="Times New Roman" w:hAnsiTheme="minorHAnsi" w:cstheme="minorHAnsi"/>
                <w:color w:val="0563C1"/>
                <w:sz w:val="18"/>
                <w:szCs w:val="18"/>
                <w:u w:val="single"/>
              </w:rPr>
            </w:pPr>
            <w:hyperlink r:id="rId37" w:history="1">
              <w:r w:rsidR="004E51F7" w:rsidRPr="00A335C0">
                <w:rPr>
                  <w:rFonts w:asciiTheme="minorHAnsi" w:eastAsia="Times New Roman" w:hAnsiTheme="minorHAnsi" w:cstheme="minorHAnsi"/>
                  <w:color w:val="0000FF"/>
                  <w:sz w:val="18"/>
                  <w:szCs w:val="18"/>
                  <w:u w:val="single"/>
                </w:rPr>
                <w:t>https://www.cambridgema.gov/GIS/gisdatadictionary/Basemap/BASEMAP_Buildings.aspx</w:t>
              </w:r>
            </w:hyperlink>
          </w:p>
        </w:tc>
      </w:tr>
    </w:tbl>
    <w:p w14:paraId="4FDE14FC" w14:textId="0ECE4AD9" w:rsidR="001A2B73" w:rsidRDefault="001A2B73" w:rsidP="001A2B73">
      <w:pPr>
        <w:pStyle w:val="1"/>
        <w:rPr>
          <w:lang w:eastAsia="zh-CN"/>
        </w:rPr>
      </w:pPr>
      <w:r>
        <w:rPr>
          <w:rFonts w:eastAsiaTheme="minorEastAsia" w:hint="eastAsia"/>
          <w:lang w:eastAsia="zh-CN"/>
        </w:rPr>
        <w:lastRenderedPageBreak/>
        <w:t>Method</w:t>
      </w:r>
    </w:p>
    <w:p w14:paraId="20B44F0E" w14:textId="3CFF2544" w:rsidR="00C45FE9" w:rsidRPr="00C45FE9" w:rsidRDefault="00C45FE9" w:rsidP="00C45FE9">
      <w:pPr>
        <w:pStyle w:val="2"/>
        <w:rPr>
          <w:rFonts w:eastAsiaTheme="minorEastAsia"/>
          <w:lang w:eastAsia="zh-CN"/>
        </w:rPr>
      </w:pPr>
      <w:r>
        <w:rPr>
          <w:rFonts w:eastAsiaTheme="minorEastAsia"/>
          <w:lang w:eastAsia="zh-CN"/>
        </w:rPr>
        <w:t>Overall design</w:t>
      </w:r>
    </w:p>
    <w:p w14:paraId="607638DD" w14:textId="243378BC" w:rsidR="00EA1FFE" w:rsidRDefault="00C45FE9" w:rsidP="00417FAD">
      <w:pPr>
        <w:ind w:firstLine="420"/>
        <w:rPr>
          <w:lang w:eastAsia="zh-CN"/>
        </w:rPr>
      </w:pPr>
      <w:r w:rsidRPr="00B6256B">
        <w:rPr>
          <w:lang w:eastAsia="zh-CN"/>
        </w:rPr>
        <w:t xml:space="preserve">The workflow involved </w:t>
      </w:r>
      <w:r w:rsidR="00A44A15">
        <w:rPr>
          <w:lang w:eastAsia="zh-CN"/>
        </w:rPr>
        <w:t>four</w:t>
      </w:r>
      <w:r w:rsidRPr="00B6256B">
        <w:rPr>
          <w:lang w:eastAsia="zh-CN"/>
        </w:rPr>
        <w:t xml:space="preserve"> main sections</w:t>
      </w:r>
      <w:r w:rsidR="00A44A15">
        <w:rPr>
          <w:lang w:eastAsia="zh-CN"/>
        </w:rPr>
        <w:t xml:space="preserve">, as depicted in </w:t>
      </w:r>
      <w:r w:rsidR="00A44A15" w:rsidRPr="00A44A15">
        <w:rPr>
          <w:lang w:eastAsia="zh-CN"/>
        </w:rPr>
        <w:t>Supplementary figure 1</w:t>
      </w:r>
      <w:r w:rsidRPr="00B6256B">
        <w:rPr>
          <w:lang w:eastAsia="zh-CN"/>
        </w:rPr>
        <w:t xml:space="preserve">. Firstly, we selected regions with uninterrupted spectral bands between 2010 and 2020. Subsequently, sample points were identified based on elevation, and 60-meter radius buffer zones were created around them. </w:t>
      </w:r>
      <w:r w:rsidR="00417FAD">
        <w:rPr>
          <w:lang w:eastAsia="zh-CN"/>
        </w:rPr>
        <w:t xml:space="preserve">Secondly, for the selected sample regions, a preprocessing methodology employing multi-temporal, multi-spectral, and multi-statistical techniques was applied to construct input variables for our model. Additionally, we utilized both the global building height </w:t>
      </w:r>
      <w:r w:rsidR="00417FAD">
        <w:rPr>
          <w:rFonts w:hint="eastAsia"/>
          <w:lang w:eastAsia="zh-CN"/>
        </w:rPr>
        <w:t>dataset</w:t>
      </w:r>
      <w:r w:rsidR="00417FAD">
        <w:rPr>
          <w:lang w:eastAsia="zh-CN"/>
        </w:rPr>
        <w:t xml:space="preserve"> </w:t>
      </w:r>
      <w:r w:rsidR="00417FAD">
        <w:rPr>
          <w:lang w:eastAsia="zh-CN"/>
        </w:rPr>
        <w:fldChar w:fldCharType="begin"/>
      </w:r>
      <w:r w:rsidR="00417FAD">
        <w:rPr>
          <w:lang w:eastAsia="zh-CN"/>
        </w:rPr>
        <w:instrText xml:space="preserve"> ADDIN ZOTERO_ITEM CSL_CITATION {"citationID":"4xdl0i7K","properties":{"formattedCitation":"(He et al., 2023)","plainCitation":"(He et al., 2023)","noteIndex":0},"citationItems":[{"id":1619,"uris":["http://zotero.org/users/10015936/items/YAULDATQ"],"itemData":{"id":1619,"type":"article-journal","abstract":"Understanding the spatiotemporal dynamics of global 3D urban expansion over time is becoming increasingly crucial for achieving long-term development goals. In this study, we generated a global dataset of annual urban 3D expansion (1990–2010) using World Settlement Footprint 2015 data, GAIA data, and ALOS AW3D30 data with a three-step technical framework: (1) extracting the global constructed land to generate the research area, (2) neighborhood analysis to calculate the original normalized DSM and slope height of each pixel in the study area, and (3) slope correction for areas with a slope greater than 10° to improve the accuracy of estimated building heights. The cross-validation results indicate that our dataset is reliable in the United States(R2 = 0.821), Europe(R2 = 0.863), China(R2 = 0.796), and across the world(R2 = 0.811). As we know, this is the first 30-meter 3D urban expansion dataset across the globe, which can give unique information to understand and address the implications of urbanization on food security, biodiversity, climate change, and public well-being and health.","archive_location":"1 </w:instrText>
      </w:r>
      <w:r w:rsidR="00417FAD">
        <w:rPr>
          <w:rFonts w:ascii="Segoe UI Emoji" w:hAnsi="Segoe UI Emoji" w:cs="Segoe UI Emoji"/>
          <w:lang w:eastAsia="zh-CN"/>
        </w:rPr>
        <w:instrText>📊</w:instrText>
      </w:r>
      <w:r w:rsidR="00417FAD">
        <w:rPr>
          <w:lang w:eastAsia="zh-CN"/>
        </w:rPr>
        <w:instrText xml:space="preserve">","call-number":"2","container-title":"Scientific Data","DOI":"10.1038/s41597-023-02240-w","ISSN":"2052-4463","issue":"1","journalAbbreviation":"Sci Data","language":"en","license":"2023 The Author(s)","note":"number: 1\npublisher: Nature Publishing Group","page":"321","source":"9.8 (Q1)","title":"Global 30 meters spatiotemporal 3D urban expansion dataset from 1990 to 2010","volume":"10","author":[{"family":"He","given":"Tingting"},{"family":"Wang","given":"Kechao"},{"family":"Xiao","given":"Wu"},{"family":"Xu","given":"Suchen"},{"family":"Li","given":"Mengmeng"},{"family":"Yang","given":"Runjia"},{"family":"Yue","given":"Wenze"}],"issued":{"date-parts":[["2023",5,26]]}}}],"schema":"https://github.com/citation-style-language/schema/raw/master/csl-citation.json"} </w:instrText>
      </w:r>
      <w:r w:rsidR="00417FAD">
        <w:rPr>
          <w:lang w:eastAsia="zh-CN"/>
        </w:rPr>
        <w:fldChar w:fldCharType="separate"/>
      </w:r>
      <w:r w:rsidR="00417FAD" w:rsidRPr="00417FAD">
        <w:t>(He et al., 2023)</w:t>
      </w:r>
      <w:r w:rsidR="00417FAD">
        <w:rPr>
          <w:lang w:eastAsia="zh-CN"/>
        </w:rPr>
        <w:fldChar w:fldCharType="end"/>
      </w:r>
      <w:r w:rsidR="00417FAD">
        <w:rPr>
          <w:lang w:eastAsia="zh-CN"/>
        </w:rPr>
        <w:t xml:space="preserve"> and GEDI datasets </w:t>
      </w:r>
      <w:r w:rsidR="00417FAD">
        <w:rPr>
          <w:lang w:eastAsia="zh-CN"/>
        </w:rPr>
        <w:fldChar w:fldCharType="begin"/>
      </w:r>
      <w:r w:rsidR="00417FAD">
        <w:rPr>
          <w:lang w:eastAsia="zh-CN"/>
        </w:rPr>
        <w:instrText xml:space="preserve"> ADDIN ZOTERO_ITEM CSL_CITATION {"citationID":"hpJZ7UFV","properties":{"formattedCitation":"(Potapov et al., 2021)","plainCitation":"(Potapov et al., 2021)","noteIndex":0},"citationItems":[{"id":109,"uris":["http://zotero.org/users/10015936/items/X6JQ8V53"],"itemData":{"id":109,"type":"article-journal","abstract":"Consistent, large-scale operational monitoring of forest height is essential for estimating forest-related carbon emissions, analyzing forest degradation, and quantifying the effectiveness of forest restoration initiatives. The Global Ecosystem Dynamics Investigation (GEDI) lidar instrument onboard the International Space Station has been collecting unique data on vegetation structure since April 2019. Here, we employed global Landsat analysisready data to extrapolate GEDI footprint-level forest canopy height measurements, creating a 30 m spatial resolution global forest canopy height map for the year 2019. The global forest height map was compared to the GEDI validation data (RMSE = 6.6 m; MAE = 4.45 m, R2 = 0.62) and available airborne lidar data (RMSE = 9.07 m; MAE = 6.36 m, R2 = 0.61). The demonstrated integration of GEDI data with time-series optical imagery is expected to enable multidecadal historic analysis and operational forward monitoring of forest height and its dynamics. Such capability is important to support global climate and sustainable development initiatives.","call-number":"1","container-title":"Remote Sensing of Environment","DOI":"10.1016/j.rse.2020.112165","ISSN":"0034-4257","journalAbbreviation":"Remote Sensing of Environment","language":"en","note":"165 citations (Semantic Scholar/DOI) [2022-11-27]","page":"112165","source":"13.5 (Q1)","title":"Mapping global forest canopy height through integration of GEDI and Landsat data","volume":"253","author":[{"family":"Potapov","given":"Peter"},{"family":"Li","given":"Xinyuan"},{"family":"Hernandez-Serna","given":"Andres"},{"family":"Tyukavina","given":"Alexandra"},{"family":"Hansen","given":"Matthew C."},{"family":"Kommareddy","given":"Anil"},{"family":"Pickens","given":"Amy"},{"family":"Turubanova","given":"Svetlana"},{"family":"Tang","given":"Hao"},{"family":"Silva","given":"Carlos Edibaldo"},{"family":"Armston","given":"John"},{"family":"Dubayah","given":"Ralph"},{"family":"Blair","given":"J. Bryan"},{"family":"Hofton","given":"Michelle"}],"issued":{"date-parts":[["2021",2]]}}}],"schema":"https://github.com/citation-style-language/schema/raw/master/csl-citation.json"} </w:instrText>
      </w:r>
      <w:r w:rsidR="00417FAD">
        <w:rPr>
          <w:lang w:eastAsia="zh-CN"/>
        </w:rPr>
        <w:fldChar w:fldCharType="separate"/>
      </w:r>
      <w:r w:rsidR="00417FAD" w:rsidRPr="00417FAD">
        <w:t>(Potapov et al., 2021)</w:t>
      </w:r>
      <w:r w:rsidR="00417FAD">
        <w:rPr>
          <w:lang w:eastAsia="zh-CN"/>
        </w:rPr>
        <w:fldChar w:fldCharType="end"/>
      </w:r>
      <w:r w:rsidR="00417FAD">
        <w:rPr>
          <w:lang w:eastAsia="zh-CN"/>
        </w:rPr>
        <w:t xml:space="preserve"> as labels for model training. </w:t>
      </w:r>
      <w:r w:rsidRPr="00B6256B">
        <w:rPr>
          <w:lang w:eastAsia="zh-CN"/>
        </w:rPr>
        <w:t xml:space="preserve">Thirdly, the variables and corresponding building heights were utilized </w:t>
      </w:r>
      <w:r>
        <w:rPr>
          <w:lang w:eastAsia="zh-CN"/>
        </w:rPr>
        <w:t>to build and optimize</w:t>
      </w:r>
      <w:r w:rsidRPr="00B6256B">
        <w:rPr>
          <w:lang w:eastAsia="zh-CN"/>
        </w:rPr>
        <w:t xml:space="preserve"> a Random Forest model. Accuracy validation was performed using actual height data from 2020. The building height results were integrated with the GAIA dataset, incorporating temporal information to create a spatiotemporal dataset that includes construction years</w:t>
      </w:r>
      <w:r w:rsidRPr="00324FD1">
        <w:rPr>
          <w:lang w:eastAsia="zh-CN"/>
        </w:rPr>
        <w:t>.</w:t>
      </w:r>
      <w:r w:rsidR="00E04758" w:rsidRPr="00324FD1">
        <w:rPr>
          <w:lang w:eastAsia="zh-CN"/>
        </w:rPr>
        <w:t xml:space="preserve"> Finally, we conducted accuracy validation using </w:t>
      </w:r>
      <w:r w:rsidR="00E04758" w:rsidRPr="00C93128">
        <w:rPr>
          <w:lang w:eastAsia="zh-CN"/>
        </w:rPr>
        <w:t>actual height data from 2020</w:t>
      </w:r>
      <w:r w:rsidR="00E04758" w:rsidRPr="00324FD1">
        <w:rPr>
          <w:lang w:eastAsia="zh-CN"/>
        </w:rPr>
        <w:t xml:space="preserve">. We </w:t>
      </w:r>
      <w:r w:rsidR="00E04758" w:rsidRPr="00C93128">
        <w:rPr>
          <w:lang w:eastAsia="zh-CN"/>
        </w:rPr>
        <w:t>integrated</w:t>
      </w:r>
      <w:r w:rsidR="00E04758">
        <w:rPr>
          <w:lang w:eastAsia="zh-CN"/>
        </w:rPr>
        <w:t xml:space="preserve"> </w:t>
      </w:r>
      <w:r w:rsidR="00E04758" w:rsidRPr="00324FD1">
        <w:rPr>
          <w:lang w:eastAsia="zh-CN"/>
        </w:rPr>
        <w:t>the building height results with the GAIA dataset, assigning temporal information to create a spatiotemporal dataset that includes construction years.</w:t>
      </w:r>
    </w:p>
    <w:p w14:paraId="1B1D5D86" w14:textId="461EECE7" w:rsidR="00EA1FFE" w:rsidRPr="00521B9B" w:rsidRDefault="00062EC3" w:rsidP="00EA1FFE">
      <w:pPr>
        <w:jc w:val="center"/>
        <w:rPr>
          <w:lang w:eastAsia="zh-CN"/>
        </w:rPr>
      </w:pPr>
      <w:r>
        <w:rPr>
          <w:noProof/>
          <w:lang w:eastAsia="zh-CN"/>
        </w:rPr>
        <w:lastRenderedPageBreak/>
        <w:drawing>
          <wp:inline distT="0" distB="0" distL="0" distR="0" wp14:anchorId="168D3DE4" wp14:editId="790EC16A">
            <wp:extent cx="5265420" cy="36880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65420" cy="3688080"/>
                    </a:xfrm>
                    <a:prstGeom prst="rect">
                      <a:avLst/>
                    </a:prstGeom>
                    <a:noFill/>
                    <a:ln>
                      <a:noFill/>
                    </a:ln>
                  </pic:spPr>
                </pic:pic>
              </a:graphicData>
            </a:graphic>
          </wp:inline>
        </w:drawing>
      </w:r>
    </w:p>
    <w:p w14:paraId="50998CA9" w14:textId="7616A769" w:rsidR="00EA1FFE" w:rsidRPr="00806799" w:rsidRDefault="00EA1FFE" w:rsidP="00EA1FFE">
      <w:pPr>
        <w:spacing w:line="240" w:lineRule="auto"/>
        <w:jc w:val="center"/>
        <w:rPr>
          <w:rFonts w:eastAsiaTheme="minorEastAsia" w:cstheme="minorBidi"/>
          <w:sz w:val="20"/>
          <w:szCs w:val="20"/>
          <w:lang w:eastAsia="zh-CN"/>
        </w:rPr>
      </w:pPr>
      <w:r w:rsidRPr="00C60136">
        <w:rPr>
          <w:rFonts w:eastAsiaTheme="minorEastAsia" w:cstheme="minorBidi" w:hint="eastAsia"/>
          <w:sz w:val="20"/>
          <w:szCs w:val="20"/>
          <w:lang w:eastAsia="zh-CN"/>
        </w:rPr>
        <w:t>S</w:t>
      </w:r>
      <w:r w:rsidRPr="00C60136">
        <w:rPr>
          <w:rFonts w:eastAsiaTheme="minorEastAsia" w:cstheme="minorBidi"/>
          <w:sz w:val="20"/>
          <w:szCs w:val="20"/>
          <w:lang w:eastAsia="zh-CN"/>
        </w:rPr>
        <w:t>upplementary figure</w:t>
      </w:r>
      <w:r w:rsidRPr="00806799">
        <w:rPr>
          <w:rFonts w:eastAsiaTheme="minorEastAsia" w:cstheme="minorBidi"/>
          <w:sz w:val="20"/>
          <w:szCs w:val="20"/>
          <w:lang w:eastAsia="zh-CN"/>
        </w:rPr>
        <w:t xml:space="preserve"> </w:t>
      </w:r>
      <w:r>
        <w:rPr>
          <w:rFonts w:eastAsiaTheme="minorEastAsia" w:cstheme="minorBidi"/>
          <w:sz w:val="20"/>
          <w:szCs w:val="20"/>
          <w:lang w:eastAsia="zh-CN"/>
        </w:rPr>
        <w:t>1</w:t>
      </w:r>
      <w:r w:rsidRPr="00806799">
        <w:rPr>
          <w:rFonts w:eastAsiaTheme="minorEastAsia" w:cstheme="minorBidi"/>
          <w:sz w:val="20"/>
          <w:szCs w:val="20"/>
          <w:lang w:eastAsia="zh-CN"/>
        </w:rPr>
        <w:t>. Technical framework.</w:t>
      </w:r>
    </w:p>
    <w:p w14:paraId="31FBB750" w14:textId="77777777" w:rsidR="00C45FE9" w:rsidRPr="00C45FE9" w:rsidRDefault="00C45FE9" w:rsidP="00C45FE9">
      <w:pPr>
        <w:rPr>
          <w:lang w:eastAsia="zh-CN"/>
        </w:rPr>
      </w:pPr>
    </w:p>
    <w:p w14:paraId="2E547C2B" w14:textId="3D6C79BE" w:rsidR="00F77830" w:rsidRDefault="00F77830" w:rsidP="00F77830">
      <w:pPr>
        <w:pStyle w:val="2"/>
        <w:rPr>
          <w:lang w:eastAsia="zh-CN"/>
        </w:rPr>
      </w:pPr>
      <w:r>
        <w:rPr>
          <w:lang w:eastAsia="zh-CN"/>
        </w:rPr>
        <w:t>Sample selection</w:t>
      </w:r>
    </w:p>
    <w:p w14:paraId="7A2C56A2" w14:textId="7C087540" w:rsidR="00F77830" w:rsidRDefault="00F77830" w:rsidP="00F77830">
      <w:pPr>
        <w:ind w:firstLine="420"/>
      </w:pPr>
      <w:r w:rsidRPr="000D696A">
        <w:rPr>
          <w:lang w:eastAsia="zh-CN"/>
        </w:rPr>
        <w:t>The selection of samples before constructing a machine learning model significantly impacts training accuracy and generalization ability.</w:t>
      </w:r>
      <w:r w:rsidRPr="000D696A">
        <w:t xml:space="preserve"> </w:t>
      </w:r>
      <w:r w:rsidRPr="000D696A">
        <w:rPr>
          <w:lang w:eastAsia="zh-CN"/>
        </w:rPr>
        <w:t>Some existing research heavily relies on open cadastral data</w:t>
      </w:r>
      <w:r>
        <w:rPr>
          <w:lang w:eastAsia="zh-CN"/>
        </w:rPr>
        <w:t xml:space="preserve"> </w:t>
      </w:r>
      <w:r>
        <w:rPr>
          <w:lang w:eastAsia="zh-CN"/>
        </w:rPr>
        <w:fldChar w:fldCharType="begin"/>
      </w:r>
      <w:r>
        <w:rPr>
          <w:lang w:eastAsia="zh-CN"/>
        </w:rPr>
        <w:instrText xml:space="preserve"> ADDIN ZOTERO_ITEM CSL_CITATION {"citationID":"92OeakTr","properties":{"formattedCitation":"(M. Li et al., 2020, 2022)","plainCitation":"(M. Li et al., 2020, 2022)","noteIndex":0},"citationItems":[{"id":105,"uris":["http://zotero.org/users/10015936/items/XMJDIMUQ"],"itemData":{"id":105,"type":"article-journal","abstract":"Urban land use is often characterized based on the presence of built-up land, while the land use intensity of different locations is ignored. This narrow focus is at least partially due to a lack of data on the vertical dimension of urban land. The potential of Earth observation data to fill this gap has already been shown, but this has not yet been applied at large spatial scales. This study aims to map urban 3D building structure, i.e. building footprint, height, and volume, for Europe, the US, and China using random forest models. Our models perform well, as indicated by R2 values of 0.90 for building footprint, 0.81 for building height, and 0.88 for building volume, for all three case regions combined. In our multidimensional input variables, we find that built-up density derived from the Global Urban Footprint (GUF) is the most important variable for estimating building footprint, while backscatter intensity of Synthetic Aperture Radar (SAR) is the most important variable for estimating building height. A combination of the two is essential to estimate building volume. Our analysis further highlights the heterogeneity of 3D building structure across space. Specifically, buildings in China tend to be taller on average (10.35 m) compared to Europe (7.37 m) and the US (6.69 m). At the same time, the building volume per capita in China is lowest, with 302.3 m3 per capita, while Europe and the US show estimates of 404.6 m3 and 565.4 m3, respectively. The results of this study (3D building structure data for Europe, the US, and China) are publicly available, and can be used for further analysis of urban environment, spatial planning, and land use projections.","call-number":"1","container-title":"Remote Sensing of Environment","DOI":"10.1016/j.rse.2020.111859","ISSN":"0034-4257","journalAbbreviation":"Remote Sensing of Environment","language":"en","note":"69 citations (Semantic Scholar/DOI) [2022-11-27]","page":"111859","source":"13.5 (Q1)","title":"Continental-scale mapping and analysis of 3D building structure","volume":"245","author":[{"family":"Li","given":"Mengmeng"},{"family":"Koks","given":"Elco"},{"family":"Taubenböck","given":"Hannes"},{"family":"Vliet","given":"Jasper","non-dropping-particle":"van"}],"issued":{"date-parts":[["2020",8]]}}},{"id":119,"uris":["http://zotero.org/users/10015936/items/JD9QE9CB"],"itemData":{"id":119,"type":"article-journal","abstract":"Horizontal and vertical patterns of built-up land are essential to analyse a range of environmental change impacts, such as exposure to natural hazards, urban heat islands, and trapping air pollution, as well as for decision making in this context. However, while data on horizontal patterns are abundant, they are relatively rare for vertical patterns. Here, we present global maps of 3D built-up patterns at a 1-km2 resolution for the nominal year 2015. These data are estimated using random forest models, fed with a wide range of spatial data and trained on reference data from all continents except Antarctica. Independent testing indicates that R2 values of the global models for built-up footprint, height, and volume equal 0.89, 0.73, and 0.84, respectively. Our results show that buildings worldwide are 6.16-m high on average, and total building volume is 1645 km3, which is the equivalent of a solid cube of 12 km on each side. Yet, we find large variations in 3D built-up patterns, both within and across world regions. In particular, floor space per person exceeds 200 m2 in both Oceania and North America, while it is only 29 m2 in South Asia and 38 m2 in Sub-Saharan Africa. Our results provide novel insights into the global distribution of 3D built-up patterns and offer new opportunities for the assessments of urban environmental impacts. The global data for building footprint, height and volume can be downloaded from https://doi.org/10.34894/4QAGYL.","archive_location":"8 </w:instrText>
      </w:r>
      <w:r>
        <w:rPr>
          <w:rFonts w:ascii="Segoe UI Emoji" w:hAnsi="Segoe UI Emoji" w:cs="Segoe UI Emoji"/>
          <w:lang w:eastAsia="zh-CN"/>
        </w:rPr>
        <w:instrText>📊</w:instrText>
      </w:r>
      <w:r>
        <w:rPr>
          <w:lang w:eastAsia="zh-CN"/>
        </w:rPr>
        <w:instrText xml:space="preserve">","call-number":"1","container-title":"International Journal of Applied Earth Observation and Geoinformation","DOI":"10.1016/j.jag.2022.103048","ISSN":"1569-8432","journalAbbreviation":"International Journal of Applied Earth Observation and Geoinformation","language":"en","note":"0 citations (Semantic Scholar/DOI) [2022-11-27]","page":"103048","source":"7.5 (Q1)","title":"Global maps of 3D built-up patterns for urban morphological analysis","volume":"114","author":[{"family":"Li","given":"Mengmeng"},{"family":"Wang","given":"Yuan"},{"family":"Rosier","given":"Job F."},{"family":"Verburg","given":"Peter H."},{"family":"Vliet","given":"Jasper","non-dropping-particle":"van"}],"issued":{"date-parts":[["2022",11]]}}}],"schema":"https://github.com/citation-style-language/schema/raw/master/csl-citation.json"} </w:instrText>
      </w:r>
      <w:r>
        <w:rPr>
          <w:lang w:eastAsia="zh-CN"/>
        </w:rPr>
        <w:fldChar w:fldCharType="separate"/>
      </w:r>
      <w:r w:rsidRPr="00F77830">
        <w:t>(M. Li et al., 2020, 2022)</w:t>
      </w:r>
      <w:r>
        <w:rPr>
          <w:lang w:eastAsia="zh-CN"/>
        </w:rPr>
        <w:fldChar w:fldCharType="end"/>
      </w:r>
      <w:r w:rsidRPr="000D696A">
        <w:rPr>
          <w:lang w:eastAsia="zh-CN"/>
        </w:rPr>
        <w:t xml:space="preserve">, </w:t>
      </w:r>
      <w:r w:rsidRPr="00F51221">
        <w:rPr>
          <w:lang w:eastAsia="zh-CN"/>
        </w:rPr>
        <w:t>requiring the collection of building height data from government websites of various countries worldwide</w:t>
      </w:r>
      <w:r>
        <w:rPr>
          <w:rFonts w:hint="eastAsia"/>
          <w:lang w:eastAsia="zh-CN"/>
        </w:rPr>
        <w:t>.</w:t>
      </w:r>
      <w:r w:rsidRPr="000D696A">
        <w:rPr>
          <w:lang w:eastAsia="zh-CN"/>
        </w:rPr>
        <w:t xml:space="preserve"> This approach requires substantial labor and, on the other hand, is </w:t>
      </w:r>
      <w:r>
        <w:rPr>
          <w:lang w:eastAsia="zh-CN"/>
        </w:rPr>
        <w:t>in</w:t>
      </w:r>
      <w:r w:rsidRPr="000D696A">
        <w:rPr>
          <w:lang w:eastAsia="zh-CN"/>
        </w:rPr>
        <w:t xml:space="preserve">feasible in areas without high-precision building height data. Other research </w:t>
      </w:r>
      <w:r w:rsidRPr="000954DF">
        <w:rPr>
          <w:lang w:eastAsia="zh-CN"/>
        </w:rPr>
        <w:t xml:space="preserve">utilizes </w:t>
      </w:r>
      <w:r w:rsidRPr="000D696A">
        <w:rPr>
          <w:lang w:eastAsia="zh-CN"/>
        </w:rPr>
        <w:t xml:space="preserve">building height data from certain remote sensing products, such as GEDI </w:t>
      </w:r>
      <w:r>
        <w:rPr>
          <w:lang w:eastAsia="zh-CN"/>
        </w:rPr>
        <w:fldChar w:fldCharType="begin"/>
      </w:r>
      <w:r>
        <w:rPr>
          <w:lang w:eastAsia="zh-CN"/>
        </w:rPr>
        <w:instrText xml:space="preserve"> ADDIN ZOTERO_ITEM CSL_CITATION {"citationID":"o563nY64","properties":{"formattedCitation":"(Ma et al., 2023)","plainCitation":"(Ma et al., 2023)","noteIndex":0},"citationItems":[{"id":1468,"uris":["http://zotero.org/users/10015936/items/8WYP5KKD"],"itemData":{"id":1468,"type":"article-journal","abstract":"The increasing availability of 3-D urban data yields new insights into urban developments and their implications for population density, energy consumption, and the carbon budget. However, existing products of urban building heights at a regional or global scale are mostly subject to coarse grid size or long-time lags. Fineresolution building height maps remain unavailable for most regions to present recent vertical information. Also, the lack of sampled building heights with spatial and temporal consistency at larger scales makes it difficult to update building height maps. The newly available spaceborne lidar data from the Global Ecosystem Dynamics Investigation (GEDI) are expected to overcome these critical barriers. Here we propose a generalizable approach to mapping large-scale distributions of building heights by fusing GEDI-derived relative height metrics, optical data (i.e., Landsat-8 and Sentinel-2), and radar data (Sentinel-1). We applied our approach to the Yangtze River Delta region (YRD), one of China's largest urban agglomerations. We investigated the availability of building height samples generated from GEDI-based relative height metrics and the optimal grid size of building height mapping into 30-m (about footprint level) and 150-m (regional level) grid sizes. We finally developed a random forest model using active and passive sensors to extrapolate GEDI-derived samples discretely to the continuous building height map at the 150-m grid size in 2019. We revealed the spatial distribution patterns of building heights and the urbanization effect on the city's mean building heights in the YRD region. We found that: (1) GEDI-derived building height samples were highly consistent with the reference building height data at the footprint (i.e., Pearson's r = 0.86, RMSE = 9.25 m, n = 237) and regional (i.e., Pearson's r = 0.76, RMSE = 6.36 m, n = 69) levels. (2) The Pearson's correlation coefficient (r) and root mean square error (RMSE) of the final spatially continuous and up-to-date building height map were 0.85 and 5.03 m, respectively. (3) The resulting map showed a strong positive correlation between the city's mean building height and urbanization level. Our work makes it possible to use remotely sensed data to make global maps of building heights at a 150-m scale.","archive_location":"3 </w:instrText>
      </w:r>
      <w:r>
        <w:rPr>
          <w:rFonts w:ascii="Segoe UI Emoji" w:hAnsi="Segoe UI Emoji" w:cs="Segoe UI Emoji"/>
          <w:lang w:eastAsia="zh-CN"/>
        </w:rPr>
        <w:instrText>📊</w:instrText>
      </w:r>
      <w:r>
        <w:rPr>
          <w:lang w:eastAsia="zh-CN"/>
        </w:rPr>
        <w:instrText xml:space="preserve">","call-number":"1","container-title":"Remote Sensing of Environment","DOI":"10.1016/j.rse.2022.113392","ISSN":"0034-4257","journalAbbreviation":"Remote Sensing of Environment","language":"en","page":"113392","source":"13.5 (Q1)","title":"Mapping fine-scale building heights in urban agglomeration with spaceborne lidar","volume":"285","author":[{"family":"Ma","given":"Xiao"},{"family":"Zheng","given":"Guang"},{"family":"Chi","given":"Xu"},{"family":"Yang","given":"Long"},{"family":"Geng","given":"Qiang"},{"family":"Li","given":"Jiarui"},{"family":"Qiao","given":"Yifan"}],"issued":{"date-parts":[["2023",2]]}}}],"schema":"https://github.com/citation-style-language/schema/raw/master/csl-citation.json"} </w:instrText>
      </w:r>
      <w:r>
        <w:rPr>
          <w:lang w:eastAsia="zh-CN"/>
        </w:rPr>
        <w:fldChar w:fldCharType="separate"/>
      </w:r>
      <w:r w:rsidRPr="00D03B57">
        <w:t>(Ma et al., 2023)</w:t>
      </w:r>
      <w:r>
        <w:rPr>
          <w:lang w:eastAsia="zh-CN"/>
        </w:rPr>
        <w:fldChar w:fldCharType="end"/>
      </w:r>
      <w:r w:rsidRPr="000D696A">
        <w:rPr>
          <w:lang w:eastAsia="zh-CN"/>
        </w:rPr>
        <w:t xml:space="preserve">, </w:t>
      </w:r>
      <w:r>
        <w:rPr>
          <w:lang w:eastAsia="zh-CN"/>
        </w:rPr>
        <w:t>derived</w:t>
      </w:r>
      <w:r w:rsidRPr="000D696A">
        <w:rPr>
          <w:lang w:eastAsia="zh-CN"/>
        </w:rPr>
        <w:t xml:space="preserve"> through calculations.</w:t>
      </w:r>
      <w:r w:rsidRPr="000D696A">
        <w:t xml:space="preserve"> </w:t>
      </w:r>
      <w:r w:rsidRPr="000D696A">
        <w:rPr>
          <w:lang w:eastAsia="zh-CN"/>
        </w:rPr>
        <w:t xml:space="preserve">However, due to inherent limitations in </w:t>
      </w:r>
      <w:r>
        <w:rPr>
          <w:lang w:eastAsia="zh-CN"/>
        </w:rPr>
        <w:t xml:space="preserve">processing these product data to obtain building heights, this method introduces significant errors, </w:t>
      </w:r>
      <w:r>
        <w:rPr>
          <w:lang w:eastAsia="zh-CN"/>
        </w:rPr>
        <w:lastRenderedPageBreak/>
        <w:t>raising</w:t>
      </w:r>
      <w:r w:rsidRPr="000D696A">
        <w:rPr>
          <w:lang w:eastAsia="zh-CN"/>
        </w:rPr>
        <w:t xml:space="preserve"> concerns about the precision of the training samples generated.</w:t>
      </w:r>
      <w:r>
        <w:rPr>
          <w:lang w:eastAsia="zh-CN"/>
        </w:rPr>
        <w:t xml:space="preserve"> </w:t>
      </w:r>
      <w:r>
        <w:rPr>
          <w:rFonts w:hint="eastAsia"/>
          <w:lang w:eastAsia="zh-CN"/>
        </w:rPr>
        <w:t>In</w:t>
      </w:r>
      <w:r>
        <w:rPr>
          <w:lang w:eastAsia="zh-CN"/>
        </w:rPr>
        <w:t xml:space="preserve"> order t</w:t>
      </w:r>
      <w:r w:rsidRPr="001168DA">
        <w:rPr>
          <w:lang w:eastAsia="zh-CN"/>
        </w:rPr>
        <w:t xml:space="preserve">o address these shortcomings in sample selection for model training, </w:t>
      </w:r>
      <w:r>
        <w:rPr>
          <w:lang w:eastAsia="zh-CN"/>
        </w:rPr>
        <w:t>our study</w:t>
      </w:r>
      <w:r w:rsidRPr="001168DA">
        <w:rPr>
          <w:lang w:eastAsia="zh-CN"/>
        </w:rPr>
        <w:t xml:space="preserve"> introduce</w:t>
      </w:r>
      <w:r>
        <w:rPr>
          <w:lang w:eastAsia="zh-CN"/>
        </w:rPr>
        <w:t>s</w:t>
      </w:r>
      <w:r w:rsidRPr="001168DA">
        <w:rPr>
          <w:lang w:eastAsia="zh-CN"/>
        </w:rPr>
        <w:t xml:space="preserve"> an innovative, globally applicable, three-step sampling method. It involves</w:t>
      </w:r>
      <w:r w:rsidRPr="008620F6">
        <w:t xml:space="preserve"> </w:t>
      </w:r>
      <w:r>
        <w:t>“</w:t>
      </w:r>
      <w:r w:rsidRPr="008620F6">
        <w:t>CCDC detection</w:t>
      </w:r>
      <w:r>
        <w:t>,”</w:t>
      </w:r>
      <w:r w:rsidRPr="008620F6">
        <w:t xml:space="preserve"> </w:t>
      </w:r>
      <w:r>
        <w:t>“</w:t>
      </w:r>
      <w:r w:rsidRPr="008620F6">
        <w:t>pixel selection along building boundaries</w:t>
      </w:r>
      <w:r>
        <w:t>,”</w:t>
      </w:r>
      <w:r w:rsidRPr="008620F6">
        <w:t xml:space="preserve"> and </w:t>
      </w:r>
      <w:r>
        <w:t>“</w:t>
      </w:r>
      <w:r w:rsidRPr="008620F6">
        <w:t>sampling based on height categories</w:t>
      </w:r>
      <w:r>
        <w:t xml:space="preserve">,” </w:t>
      </w:r>
      <w:r w:rsidRPr="00CA62FB">
        <w:rPr>
          <w:lang w:eastAsia="zh-CN"/>
        </w:rPr>
        <w:t>as illustrated in Fig</w:t>
      </w:r>
      <w:r>
        <w:rPr>
          <w:lang w:eastAsia="zh-CN"/>
        </w:rPr>
        <w:t>.</w:t>
      </w:r>
      <w:r w:rsidRPr="00CA62FB">
        <w:rPr>
          <w:lang w:eastAsia="zh-CN"/>
        </w:rPr>
        <w:t xml:space="preserve"> </w:t>
      </w:r>
      <w:r>
        <w:rPr>
          <w:lang w:eastAsia="zh-CN"/>
        </w:rPr>
        <w:t>3</w:t>
      </w:r>
      <w:r>
        <w:t xml:space="preserve">. First, we took the intersection of </w:t>
      </w:r>
      <w:r w:rsidR="0079608A">
        <w:t>four</w:t>
      </w:r>
      <w:r>
        <w:t xml:space="preserve"> datasets: WSF2019, Microsoft Building Footprint, </w:t>
      </w:r>
      <w:r w:rsidR="0079608A" w:rsidRPr="0079608A">
        <w:t>EUBUCCO v0.1</w:t>
      </w:r>
      <w:r w:rsidR="0079608A">
        <w:t xml:space="preserve">, </w:t>
      </w:r>
      <w:r>
        <w:t xml:space="preserve">and China Building Rooftop Area to obtain a more reliable </w:t>
      </w:r>
      <w:r>
        <w:rPr>
          <w:rFonts w:hint="eastAsia"/>
          <w:lang w:eastAsia="zh-CN"/>
        </w:rPr>
        <w:t>horizontal</w:t>
      </w:r>
      <w:r>
        <w:t xml:space="preserve"> range of </w:t>
      </w:r>
      <w:r>
        <w:rPr>
          <w:rFonts w:hint="eastAsia"/>
          <w:lang w:eastAsia="zh-CN"/>
        </w:rPr>
        <w:t>built</w:t>
      </w:r>
      <w:r>
        <w:t xml:space="preserve">-up areas. Subsequently, we applied the </w:t>
      </w:r>
      <w:r w:rsidRPr="008A6D76">
        <w:t>Continuous Change Detection and Classification</w:t>
      </w:r>
      <w:r>
        <w:t xml:space="preserve"> (CCDC) temporal algorithm </w:t>
      </w:r>
      <w:r>
        <w:fldChar w:fldCharType="begin"/>
      </w:r>
      <w:r>
        <w:instrText xml:space="preserve"> ADDIN ZOTERO_ITEM CSL_CITATION {"citationID":"OyzPZaOy","properties":{"formattedCitation":"(Ar\\uc0\\u233{}valo et al., 2020; Deng &amp; Zhu, 2020)","plainCitation":"(Arévalo et al., 2020; Deng &amp; Zhu, 2020)","noteIndex":0},"citationItems":[{"id":1997,"uris":["http://zotero.org/users/10015936/items/L2I2Y2XL"],"itemData":{"id":1997,"type":"article-journal","abstract":"Land cover has been designated by the Global Climate Observing System (GCOS) as an Essential Climate Variable due to its integral role in many climate and environmental processes. Land cover and change affect regional precipitation patterns, surface energy balance, the carbon cycle and biodiversity. Accurate information on land cover and change is essential for climate change mitigation programs such as UN-REDD+. Still, uncertainties related to land change are large, in part due to the use of traditional land cover and change mapping techniques that use one or a few remotely sensed images, preventing a comprehensive analysis of ecosystem change processes. The opening of the Landsat archive and the initiation of the Copernicus Program have enabled analyses based on time series data, allowing the scientific community to explore global land cover dynamics in ways that were previously limited by data availability. One such method is the Continuous Change Detection and Classification algorithm (CCDC), which uses all available Landsat data to model temporal-spectral features that include seasonality, trends, and spectral variability. Until recently, the CCDC algorithm was restricted to academic environments due to computational requirements and complexity, preventing its use by local practitioners. The situation has changed with the recent implementation of CCDC in the Google Earth Engine, which enables analyses at global scales. What is still missing are tools that allow users to explore, analyze and process CCDC outputs in a simplified way. In this paper, we present a suite of free tools that facilitate interaction with CCDC outputs, including: (1) time series viewers of CCDC-generated time segments; (2) a spatial data viewer to explore CCDC model coefficients and derivatives, and visualize change information; (3) tools to create land cover and land cover change maps from CCDC outputs; (4) a tool for unbiased area estimation of key climate-related variables like deforestation extent; and (5) an API for accessing the functionality underlying these tools. We illustrate the usage of these tools at different locations with examples that explore Landsat time series and CCDC coefficients, and a land cover change mapping example in the Southeastern USA that includes area and accuracy estimates.","container-title":"Frontiers in Climate","DOI":"10.3389/fclim.2020.576740","ISSN":"2624-9553","journalAbbreviation":"Front. Clim.","language":"en","title":"A Suite of Tools for Continuous Land Change Monitoring in Google Earth Engine","URL":"https://www.frontiersin.org/articles/10.3389/fclim.2020.576740/full","volume":"2","author":[{"family":"Arévalo","given":"Paulo"},{"family":"Bullock","given":"Eric L."},{"family":"Woodcock","given":"Curtis E."},{"family":"Olofsson","given":"Pontus"}],"accessed":{"date-parts":[["2023",10,16]]},"issued":{"date-parts":[["2020"]]}}},{"id":1998,"uris":["http://zotero.org/users/10015936/items/N2SEDPJU"],"itemData":{"id":1998,"type":"article-journal","abstract":"A novel method called Continuous Subpixel Monitoring (CSM) was developed to map and monitor urban impervious surface change continuously at the subpixel level. Time series model of each pixel was first estimated based on clear Landsat observations between 2000 and 2014, and any land surface change was detected by the Continuous Change Detection and Classification (CCDC) algorithm. These coefficients and Root Mean Square Errors (RMSEs) of the estimated time series models were then employed as the inputs of random forest regressor. A few experiments with different combinations of variables and bands were explored to better construct random forest regression models. We successfully applied this algorithm to map subpixel urban impervious surface area (ISA%) and characterize its dynamics in Broome County, New York. Several conclusions can be drawn from the results and analyses. First, the integration of subpixel mapping technique and time series analysis in CSM can yield a relatively satisfactory ISA% result at one point in time. With higher precision and smaller bias, its mapping accuracy is better than that of National Land Cover Database (NLCD) percent developed imperviousness product, without using extensive auxiliary data, such as nighttime light image and transportation network. Second, the ISA% change of any time interval can be easily derived and detected by CSM with relatively high accuracy, which have the potential to generate sub-annual ISA% change products. Furthermore, this approach can detect not only urban expansion/intensification (ISA% gain), but also different patterns of urban transitions overtime, such as urban demolition/redevelopment to vegetation (ISA% loss), and surface modifications (no mechanical change). Finally, CSM works well in one of the cloudiest regions in the United States. This algorithm could provide a new direction to map and monitor percent urban impervious surface change in a reliable and efficient way, which also has the potential to apply to other land cover types (e.g., tree, shrub, and barren lands) at the subpixel level.","call-number":"1","collection-title":"Time Series Analysis with High Spatial Resolution Imagery","container-title":"Remote Sensing of Environment","DOI":"10.1016/j.rse.2018.10.011","ISSN":"0034-4257","journalAbbreviation":"Remote Sensing of Environment","language":"en","page":"110929","source":"13.5 (Q1)","title":"Continuous subpixel monitoring of urban impervious surface using Landsat time series","volume":"238","author":[{"family":"Deng","given":"Chengbin"},{"family":"Zhu","given":"Zhe"}],"issued":{"date-parts":[["2020",3]]}}}],"schema":"https://github.com/citation-style-language/schema/raw/master/csl-citation.json"} </w:instrText>
      </w:r>
      <w:r>
        <w:fldChar w:fldCharType="separate"/>
      </w:r>
      <w:r w:rsidRPr="00DF27C7">
        <w:t>(Arévalo et al., 2020; Deng &amp; Zhu, 2020)</w:t>
      </w:r>
      <w:r>
        <w:fldChar w:fldCharType="end"/>
      </w:r>
      <w:r w:rsidRPr="00DF27C7">
        <w:t xml:space="preserve"> </w:t>
      </w:r>
      <w:r>
        <w:t xml:space="preserve">in GEE to detect all building pixels and identified areas with uninterrupted spectral bands in the 2010-2020 decade as potential sampling regions. </w:t>
      </w:r>
      <w:r>
        <w:rPr>
          <w:rFonts w:hint="eastAsia"/>
          <w:lang w:eastAsia="zh-CN"/>
        </w:rPr>
        <w:t>Moreover,</w:t>
      </w:r>
      <w:r>
        <w:rPr>
          <w:lang w:eastAsia="zh-CN"/>
        </w:rPr>
        <w:t xml:space="preserve"> we</w:t>
      </w:r>
      <w:r w:rsidRPr="00535E95">
        <w:rPr>
          <w:lang w:eastAsia="zh-CN"/>
        </w:rPr>
        <w:t xml:space="preserve"> select</w:t>
      </w:r>
      <w:r>
        <w:rPr>
          <w:lang w:eastAsia="zh-CN"/>
        </w:rPr>
        <w:t>ed</w:t>
      </w:r>
      <w:r w:rsidRPr="00535E95">
        <w:rPr>
          <w:lang w:eastAsia="zh-CN"/>
        </w:rPr>
        <w:t xml:space="preserve"> pixels located on building boundaries to mitigate the impact of the original data's limitations</w:t>
      </w:r>
      <w:r w:rsidRPr="005032A0">
        <w:rPr>
          <w:lang w:eastAsia="zh-CN"/>
        </w:rPr>
        <w:t>.</w:t>
      </w:r>
      <w:r>
        <w:rPr>
          <w:lang w:eastAsia="zh-CN"/>
        </w:rPr>
        <w:t xml:space="preserve"> </w:t>
      </w:r>
      <w:r>
        <w:t>During the sampling process, we selected 2000 samples from each category of pixels with heights ranging from 3-10, 10-20, 20-30, and 30-40 meters. For pixels with heights in the ranges of 40-50, 50-60, and &gt;60 meters, we selected 1000 samples from each category.</w:t>
      </w:r>
      <w:r>
        <w:rPr>
          <w:rFonts w:hint="eastAsia"/>
          <w:lang w:eastAsia="zh-CN"/>
        </w:rPr>
        <w:t xml:space="preserve"> </w:t>
      </w:r>
      <w:r>
        <w:t>From the resulting sample collection, 70% was randomly chosen as the training set, while the remaining 30% was designated as the validation set.</w:t>
      </w:r>
    </w:p>
    <w:p w14:paraId="5DF864C3" w14:textId="586ECDF4" w:rsidR="001A2B73" w:rsidRDefault="00970092" w:rsidP="001A2B73">
      <w:r>
        <w:rPr>
          <w:noProof/>
        </w:rPr>
        <w:lastRenderedPageBreak/>
        <w:drawing>
          <wp:inline distT="0" distB="0" distL="0" distR="0" wp14:anchorId="607020A9" wp14:editId="68D898E7">
            <wp:extent cx="5273040" cy="4351020"/>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73040" cy="4351020"/>
                    </a:xfrm>
                    <a:prstGeom prst="rect">
                      <a:avLst/>
                    </a:prstGeom>
                    <a:noFill/>
                    <a:ln>
                      <a:noFill/>
                    </a:ln>
                  </pic:spPr>
                </pic:pic>
              </a:graphicData>
            </a:graphic>
          </wp:inline>
        </w:drawing>
      </w:r>
    </w:p>
    <w:p w14:paraId="386A3E20" w14:textId="6E0C5787" w:rsidR="00C60136" w:rsidRPr="00C60136" w:rsidRDefault="00C60136" w:rsidP="00C60136">
      <w:pPr>
        <w:spacing w:line="240" w:lineRule="auto"/>
        <w:jc w:val="center"/>
        <w:rPr>
          <w:rFonts w:eastAsiaTheme="minorEastAsia" w:cstheme="minorBidi"/>
          <w:sz w:val="20"/>
          <w:szCs w:val="20"/>
          <w:lang w:eastAsia="zh-CN"/>
        </w:rPr>
      </w:pPr>
      <w:r w:rsidRPr="00C60136">
        <w:rPr>
          <w:rFonts w:eastAsiaTheme="minorEastAsia" w:cstheme="minorBidi" w:hint="eastAsia"/>
          <w:sz w:val="20"/>
          <w:szCs w:val="20"/>
          <w:lang w:eastAsia="zh-CN"/>
        </w:rPr>
        <w:t>S</w:t>
      </w:r>
      <w:r w:rsidRPr="00C60136">
        <w:rPr>
          <w:rFonts w:eastAsiaTheme="minorEastAsia" w:cstheme="minorBidi"/>
          <w:sz w:val="20"/>
          <w:szCs w:val="20"/>
          <w:lang w:eastAsia="zh-CN"/>
        </w:rPr>
        <w:t>upplementary figure</w:t>
      </w:r>
      <w:r>
        <w:rPr>
          <w:rFonts w:eastAsiaTheme="minorEastAsia" w:cstheme="minorBidi"/>
          <w:sz w:val="20"/>
          <w:szCs w:val="20"/>
          <w:lang w:eastAsia="zh-CN"/>
        </w:rPr>
        <w:t xml:space="preserve"> </w:t>
      </w:r>
      <w:r w:rsidRPr="00C60136">
        <w:rPr>
          <w:rFonts w:eastAsiaTheme="minorEastAsia" w:cstheme="minorBidi"/>
          <w:sz w:val="20"/>
          <w:szCs w:val="20"/>
          <w:lang w:eastAsia="zh-CN"/>
        </w:rPr>
        <w:t>2</w:t>
      </w:r>
      <w:r>
        <w:rPr>
          <w:rFonts w:eastAsiaTheme="minorEastAsia" w:cstheme="minorBidi"/>
          <w:sz w:val="20"/>
          <w:szCs w:val="20"/>
          <w:lang w:eastAsia="zh-CN"/>
        </w:rPr>
        <w:t xml:space="preserve">. </w:t>
      </w:r>
      <w:r w:rsidRPr="00411953">
        <w:rPr>
          <w:rFonts w:eastAsiaTheme="minorEastAsia" w:cstheme="minorBidi"/>
          <w:sz w:val="20"/>
          <w:szCs w:val="20"/>
          <w:lang w:eastAsia="zh-CN"/>
        </w:rPr>
        <w:t xml:space="preserve">Illustration of </w:t>
      </w:r>
      <w:r>
        <w:rPr>
          <w:rFonts w:eastAsiaTheme="minorEastAsia" w:cstheme="minorBidi"/>
          <w:sz w:val="20"/>
          <w:szCs w:val="20"/>
          <w:lang w:eastAsia="zh-CN"/>
        </w:rPr>
        <w:t>s</w:t>
      </w:r>
      <w:r w:rsidRPr="00411953">
        <w:rPr>
          <w:rFonts w:eastAsiaTheme="minorEastAsia" w:cstheme="minorBidi"/>
          <w:sz w:val="20"/>
          <w:szCs w:val="20"/>
          <w:lang w:eastAsia="zh-CN"/>
        </w:rPr>
        <w:t xml:space="preserve">ample </w:t>
      </w:r>
      <w:r>
        <w:rPr>
          <w:rFonts w:eastAsiaTheme="minorEastAsia" w:cstheme="minorBidi"/>
          <w:sz w:val="20"/>
          <w:szCs w:val="20"/>
          <w:lang w:eastAsia="zh-CN"/>
        </w:rPr>
        <w:t>s</w:t>
      </w:r>
      <w:r w:rsidRPr="00411953">
        <w:rPr>
          <w:rFonts w:eastAsiaTheme="minorEastAsia" w:cstheme="minorBidi"/>
          <w:sz w:val="20"/>
          <w:szCs w:val="20"/>
          <w:lang w:eastAsia="zh-CN"/>
        </w:rPr>
        <w:t xml:space="preserve">election </w:t>
      </w:r>
      <w:r>
        <w:rPr>
          <w:rFonts w:eastAsiaTheme="minorEastAsia" w:cstheme="minorBidi"/>
          <w:sz w:val="20"/>
          <w:szCs w:val="20"/>
          <w:lang w:eastAsia="zh-CN"/>
        </w:rPr>
        <w:t>m</w:t>
      </w:r>
      <w:r w:rsidRPr="00411953">
        <w:rPr>
          <w:rFonts w:eastAsiaTheme="minorEastAsia" w:cstheme="minorBidi"/>
          <w:sz w:val="20"/>
          <w:szCs w:val="20"/>
          <w:lang w:eastAsia="zh-CN"/>
        </w:rPr>
        <w:t>ethods</w:t>
      </w:r>
      <w:r w:rsidRPr="00806799">
        <w:rPr>
          <w:rFonts w:eastAsiaTheme="minorEastAsia" w:cstheme="minorBidi"/>
          <w:sz w:val="20"/>
          <w:szCs w:val="20"/>
          <w:lang w:eastAsia="zh-CN"/>
        </w:rPr>
        <w:t>.</w:t>
      </w:r>
    </w:p>
    <w:p w14:paraId="12047CF7" w14:textId="77777777" w:rsidR="00F77830" w:rsidRDefault="00F77830" w:rsidP="00F77830">
      <w:pPr>
        <w:pStyle w:val="2"/>
        <w:rPr>
          <w:lang w:eastAsia="zh-CN"/>
        </w:rPr>
      </w:pPr>
      <w:r>
        <w:rPr>
          <w:lang w:eastAsia="zh-CN"/>
        </w:rPr>
        <w:t>Variable and label preparation</w:t>
      </w:r>
    </w:p>
    <w:p w14:paraId="513AC9CD" w14:textId="7C911784" w:rsidR="00F77830" w:rsidRDefault="00F77830" w:rsidP="00F77830">
      <w:pPr>
        <w:ind w:firstLine="420"/>
        <w:rPr>
          <w:lang w:eastAsia="zh-CN"/>
        </w:rPr>
      </w:pPr>
      <w:r w:rsidRPr="00BA708B">
        <w:rPr>
          <w:lang w:eastAsia="zh-CN"/>
        </w:rPr>
        <w:t>Once the sample areas are selected, it is essential to establish the relationships between the building heights at each sample point and the surrounding natural features, social factors, and remote sensing spectral attributes within a certain range.</w:t>
      </w:r>
      <w:r w:rsidRPr="00B76497">
        <w:t xml:space="preserve"> </w:t>
      </w:r>
      <w:r w:rsidRPr="00B76497">
        <w:rPr>
          <w:lang w:eastAsia="zh-CN"/>
        </w:rPr>
        <w:t xml:space="preserve">To enrich the information content of the input variables, we conducted </w:t>
      </w:r>
      <w:r>
        <w:rPr>
          <w:lang w:eastAsia="zh-CN"/>
        </w:rPr>
        <w:t xml:space="preserve">temporal and spatial feature statistics on various variables </w:t>
      </w:r>
      <w:r>
        <w:rPr>
          <w:lang w:eastAsia="zh-CN"/>
        </w:rPr>
        <w:fldChar w:fldCharType="begin"/>
      </w:r>
      <w:r>
        <w:rPr>
          <w:lang w:eastAsia="zh-CN"/>
        </w:rPr>
        <w:instrText xml:space="preserve"> ADDIN ZOTERO_ITEM CSL_CITATION {"citationID":"AKKJuggQ","properties":{"formattedCitation":"(Frantz et al., 2021)","plainCitation":"(Frantz et al., 2021)","noteIndex":0},"citationItems":[{"id":"X6soPRQW/5roA0ZsL","uris":["http://zotero.org/users/10015936/items/H24V6QZC"],"itemData":{"id":62,"type":"article-journal","call-number":"1","container-title":"Remote Sensing of Environment","DOI":"10.1016/j.rse.2020.112128","language":"en","note":"publisher: Elsevier","page":"112128","source":"13.85","title":"National-scale mapping of building height using Sentinel-1 and Sentinel-2 time series","volume":"252","author":[{"family":"Frantz","given":"David"},{"family":"Schug","given":"Franz"},{"family":"Okujeni","given":"Akpona"},{"family":"Navacchi","given":"Claudio"},{"family":"Wagner","given":"Wolfgang"},{"family":"Linden","given":"Sebastian","non-dropping-particle":"van der"},{"family":"Hostert","given":"Patrick"}],"issued":{"date-parts":[["2021"]]}}}],"schema":"https://github.com/citation-style-language/schema/raw/master/csl-citation.json"} </w:instrText>
      </w:r>
      <w:r>
        <w:rPr>
          <w:lang w:eastAsia="zh-CN"/>
        </w:rPr>
        <w:fldChar w:fldCharType="separate"/>
      </w:r>
      <w:r w:rsidRPr="00BA708B">
        <w:t>(Frantz et al., 2021)</w:t>
      </w:r>
      <w:r>
        <w:rPr>
          <w:lang w:eastAsia="zh-CN"/>
        </w:rPr>
        <w:fldChar w:fldCharType="end"/>
      </w:r>
      <w:r>
        <w:rPr>
          <w:lang w:eastAsia="zh-CN"/>
        </w:rPr>
        <w:t xml:space="preserve">. Among these variables, Sentinel-1 and Sentinel-2 possessed temporal sequences. Therefore, we initially conducted temporal feature statistics on these variables, calculating mean, maximum, variance, standard deviation, and percentiles for all images at sample points in 2020. </w:t>
      </w:r>
      <w:r>
        <w:rPr>
          <w:lang w:eastAsia="zh-CN"/>
        </w:rPr>
        <w:lastRenderedPageBreak/>
        <w:t>Subsequently, for variables without temporal sequences (including PALSAR, VIIRS, terrain, location, population, and canopy height), we synthesized the mean values for 2020 to create single images for each variable. Following this, spatial feature statistics were performed on the mean-synthesized variables and the temporal feature statistical variables from the Sentinel bands. Specifically, centered around each sample point, we created buffer zones with a 60-meter radius and computed each variable's mean and maximum values within these buffer zones. These calculated values were assigned to the pixel corresponding to the central sample point as spatial feature statistics. The resulting temporal feature statistical values and spatial feature statistical values for each sample point were collectively prepared as input variables for that sample point. In contrast, the building height for that sample point served as the output value for constructing the Random Forest model.</w:t>
      </w:r>
    </w:p>
    <w:p w14:paraId="575C8E8B" w14:textId="3BFEDBDC" w:rsidR="00F77830" w:rsidRDefault="00F77830" w:rsidP="00F77830">
      <w:pPr>
        <w:ind w:firstLine="420"/>
        <w:rPr>
          <w:lang w:eastAsia="zh-CN"/>
        </w:rPr>
      </w:pPr>
      <w:r w:rsidRPr="00471830">
        <w:rPr>
          <w:lang w:eastAsia="zh-CN"/>
        </w:rPr>
        <w:t xml:space="preserve">In setting the training set labels, i.e., building heights, the precision of machine learning models is significantly influenced. Thus, this study comprehensively selected two performance-complementary datasets. The first dataset is a global 30-meter spatiotemporal 3D urban expansion dataset proposed by </w:t>
      </w:r>
      <w:proofErr w:type="spellStart"/>
      <w:r w:rsidRPr="00471830">
        <w:rPr>
          <w:lang w:eastAsia="zh-CN"/>
        </w:rPr>
        <w:t>He</w:t>
      </w:r>
      <w:proofErr w:type="spellEnd"/>
      <w:r w:rsidRPr="00471830">
        <w:rPr>
          <w:lang w:eastAsia="zh-CN"/>
        </w:rPr>
        <w:t xml:space="preserve"> et al.</w:t>
      </w:r>
      <w:r w:rsidRPr="001F3E48">
        <w:t xml:space="preserve"> </w:t>
      </w:r>
      <w:r w:rsidRPr="001F3E48">
        <w:fldChar w:fldCharType="begin"/>
      </w:r>
      <w:r>
        <w:instrText xml:space="preserve"> ADDIN ZOTERO_ITEM CSL_CITATION {"citationID":"EuHrv7Ur","properties":{"formattedCitation":"(He et al., 2023)","plainCitation":"(He et al., 2023)","dontUpdate":true,"noteIndex":0},"citationItems":[{"id":1619,"uris":["http://zotero.org/users/10015936/items/YAULDATQ"],"itemData":{"id":1619,"type":"article-journal","abstract":"Understanding the spatiotemporal dynamics of global 3D urban expansion over time is becoming increasingly crucial for achieving long-term development goals. In this study, we generated a global dataset of annual urban 3D expansion (1990–2010) using World Settlement Footprint 2015 data, GAIA data, and ALOS AW3D30 data with a three-step technical framework: (1) extracting the global constructed land to generate the research area, (2) neighborhood analysis to calculate the original normalized DSM and slope height of each pixel in the study area, and (3) slope correction for areas with a slope greater than 10° to improve the accuracy of estimated building heights. The cross-validation results indicate that our dataset is reliable in the United States(R2 = 0.821), Europe(R2 = 0.863), China(R2 = 0.796), and across the world(R2 = 0.811). As we know, this is the first 30-meter 3D urban expansion dataset across the globe, which can give unique information to understand and address the implications of urbanization on food security, biodiversity, climate change, and public well-being and health.","archive_location":"1 </w:instrText>
      </w:r>
      <w:r>
        <w:rPr>
          <w:rFonts w:ascii="Segoe UI Emoji" w:hAnsi="Segoe UI Emoji" w:cs="Segoe UI Emoji"/>
        </w:rPr>
        <w:instrText>📊</w:instrText>
      </w:r>
      <w:r>
        <w:instrText xml:space="preserve">","call-number":"2","container-title":"Scientific Data","DOI":"10.1038/s41597-023-02240-w","ISSN":"2052-4463","issue":"1","journalAbbreviation":"Sci Data","language":"en","license":"2023 The Author(s)","note":"number: 1\npublisher: Nature Publishing Group","page":"321","source":"9.8 (Q1)","title":"Global 30 meters spatiotemporal 3D urban expansion dataset from 1990 to 2010","volume":"10","author":[{"family":"He","given":"Tingting"},{"family":"Wang","given":"Kechao"},{"family":"Xiao","given":"Wu"},{"family":"Xu","given":"Suchen"},{"family":"Li","given":"Mengmeng"},{"family":"Yang","given":"Runjia"},{"family":"Yue","given":"Wenze"}],"issued":{"date-parts":[["2023",5,26]]}}}],"schema":"https://github.com/citation-style-language/schema/raw/master/csl-citation.json"} </w:instrText>
      </w:r>
      <w:r w:rsidRPr="001F3E48">
        <w:fldChar w:fldCharType="separate"/>
      </w:r>
      <w:r w:rsidRPr="001F3E48">
        <w:t>(2023)</w:t>
      </w:r>
      <w:r w:rsidRPr="001F3E48">
        <w:fldChar w:fldCharType="end"/>
      </w:r>
      <w:r w:rsidRPr="00471830">
        <w:rPr>
          <w:lang w:eastAsia="zh-CN"/>
        </w:rPr>
        <w:t xml:space="preserve">. This dataset, derived from ALOS DSM products using a moving window method to calculate building heights, exhibits lower accuracy in relatively smooth areas with less noticeable height variations but is suitable for capturing the heights of tall buildings with distinct height differences. Conversely, </w:t>
      </w:r>
      <w:r>
        <w:rPr>
          <w:lang w:eastAsia="zh-CN"/>
        </w:rPr>
        <w:t>with height information available only along 14 ground tracks, GEDI data</w:t>
      </w:r>
      <w:r w:rsidR="00DE402A">
        <w:rPr>
          <w:lang w:eastAsia="zh-CN"/>
        </w:rPr>
        <w:t xml:space="preserve"> </w:t>
      </w:r>
      <w:r w:rsidR="00DE402A">
        <w:rPr>
          <w:lang w:eastAsia="zh-CN"/>
        </w:rPr>
        <w:fldChar w:fldCharType="begin"/>
      </w:r>
      <w:r w:rsidR="00DE402A">
        <w:rPr>
          <w:lang w:eastAsia="zh-CN"/>
        </w:rPr>
        <w:instrText xml:space="preserve"> ADDIN ZOTERO_ITEM CSL_CITATION {"citationID":"9eReikDd","properties":{"formattedCitation":"(Potapov et al., 2021)","plainCitation":"(Potapov et al., 2021)","noteIndex":0},"citationItems":[{"id":109,"uris":["http://zotero.org/users/10015936/items/X6JQ8V53"],"itemData":{"id":109,"type":"article-journal","abstract":"Consistent, large-scale operational monitoring of forest height is essential for estimating forest-related carbon emissions, analyzing forest degradation, and quantifying the effectiveness of forest restoration initiatives. The Global Ecosystem Dynamics Investigation (GEDI) lidar instrument onboard the International Space Station has been collecting unique data on vegetation structure since April 2019. Here, we employed global Landsat analysisready data to extrapolate GEDI footprint-level forest canopy height measurements, creating a 30 m spatial resolution global forest canopy height map for the year 2019. The global forest height map was compared to the GEDI validation data (RMSE = 6.6 m; MAE = 4.45 m, R2 = 0.62) and available airborne lidar data (RMSE = 9.07 m; MAE = 6.36 m, R2 = 0.61). The demonstrated integration of GEDI data with time-series optical imagery is expected to enable multidecadal historic analysis and operational forward monitoring of forest height and its dynamics. Such capability is important to support global climate and sustainable development initiatives.","call-number":"1","container-title":"Remote Sensing of Environment","DOI":"10.1016/j.rse.2020.112165","ISSN":"0034-4257","journalAbbreviation":"Remote Sensing of Environment","language":"en","note":"165 citations (Semantic Scholar/DOI) [2022-11-27]","page":"112165","source":"13.5 (Q1)","title":"Mapping global forest canopy height through integration of GEDI and Landsat data","volume":"253","author":[{"family":"Potapov","given":"Peter"},{"family":"Li","given":"Xinyuan"},{"family":"Hernandez-Serna","given":"Andres"},{"family":"Tyukavina","given":"Alexandra"},{"family":"Hansen","given":"Matthew C."},{"family":"Kommareddy","given":"Anil"},{"family":"Pickens","given":"Amy"},{"family":"Turubanova","given":"Svetlana"},{"family":"Tang","given":"Hao"},{"family":"Silva","given":"Carlos Edibaldo"},{"family":"Armston","given":"John"},{"family":"Dubayah","given":"Ralph"},{"family":"Blair","given":"J. Bryan"},{"family":"Hofton","given":"Michelle"}],"issued":{"date-parts":[["2021",2]]}}}],"schema":"https://github.com/citation-style-language/schema/raw/master/csl-citation.json"} </w:instrText>
      </w:r>
      <w:r w:rsidR="00DE402A">
        <w:rPr>
          <w:lang w:eastAsia="zh-CN"/>
        </w:rPr>
        <w:fldChar w:fldCharType="separate"/>
      </w:r>
      <w:r w:rsidR="00DE402A" w:rsidRPr="00DE402A">
        <w:t>(Potapov et al., 2021)</w:t>
      </w:r>
      <w:r w:rsidR="00DE402A">
        <w:rPr>
          <w:lang w:eastAsia="zh-CN"/>
        </w:rPr>
        <w:fldChar w:fldCharType="end"/>
      </w:r>
      <w:r w:rsidRPr="00471830">
        <w:rPr>
          <w:lang w:eastAsia="zh-CN"/>
        </w:rPr>
        <w:t xml:space="preserve"> has limited samples, especially for tall </w:t>
      </w:r>
      <w:r w:rsidRPr="00471830">
        <w:rPr>
          <w:lang w:eastAsia="zh-CN"/>
        </w:rPr>
        <w:lastRenderedPageBreak/>
        <w:t>buildings. Consequently, it is better suited for capturing the heights of extensive low-rise structures, such as slums, effectively compensating for the deficiencies in the other dataset regarding numerous low-rise buildings with less apparent height differences.</w:t>
      </w:r>
    </w:p>
    <w:p w14:paraId="14D558DE" w14:textId="77777777" w:rsidR="00F77830" w:rsidRDefault="00F77830" w:rsidP="00F77830">
      <w:pPr>
        <w:pStyle w:val="2"/>
        <w:rPr>
          <w:lang w:eastAsia="zh-CN"/>
        </w:rPr>
      </w:pPr>
      <w:r>
        <w:rPr>
          <w:lang w:eastAsia="zh-CN"/>
        </w:rPr>
        <w:t>Building height data simulation</w:t>
      </w:r>
    </w:p>
    <w:p w14:paraId="57BF057A" w14:textId="77777777" w:rsidR="00F77830" w:rsidRDefault="00F77830" w:rsidP="00F77830">
      <w:pPr>
        <w:ind w:firstLine="420"/>
        <w:rPr>
          <w:lang w:eastAsia="zh-CN"/>
        </w:rPr>
      </w:pPr>
      <w:r w:rsidRPr="006F2B47">
        <w:rPr>
          <w:lang w:eastAsia="zh-CN"/>
        </w:rPr>
        <w:t>After preparing the sample area variables, we construct</w:t>
      </w:r>
      <w:r>
        <w:rPr>
          <w:rFonts w:hint="eastAsia"/>
          <w:lang w:eastAsia="zh-CN"/>
        </w:rPr>
        <w:t>ed</w:t>
      </w:r>
      <w:r w:rsidRPr="006F2B47">
        <w:rPr>
          <w:lang w:eastAsia="zh-CN"/>
        </w:rPr>
        <w:t xml:space="preserve"> a black-box model using spatiotemporal statistical data as independent variables and sample building heights as the dependent variable to capture their statistical relationships.</w:t>
      </w:r>
      <w:r>
        <w:rPr>
          <w:lang w:eastAsia="zh-CN"/>
        </w:rPr>
        <w:t xml:space="preserve"> </w:t>
      </w:r>
      <w:r w:rsidRPr="009D3838">
        <w:rPr>
          <w:lang w:eastAsia="zh-CN"/>
        </w:rPr>
        <w:t xml:space="preserve">We </w:t>
      </w:r>
      <w:r w:rsidRPr="00AA3D48">
        <w:rPr>
          <w:lang w:eastAsia="zh-CN"/>
        </w:rPr>
        <w:t xml:space="preserve">utilized </w:t>
      </w:r>
      <w:r w:rsidRPr="009D3838">
        <w:rPr>
          <w:lang w:eastAsia="zh-CN"/>
        </w:rPr>
        <w:t xml:space="preserve">the </w:t>
      </w:r>
      <w:r w:rsidRPr="009D3838">
        <w:rPr>
          <w:rFonts w:hint="eastAsia"/>
          <w:lang w:eastAsia="zh-CN"/>
        </w:rPr>
        <w:t>Rando</w:t>
      </w:r>
      <w:r w:rsidRPr="009D3838">
        <w:rPr>
          <w:lang w:eastAsia="zh-CN"/>
        </w:rPr>
        <w:t xml:space="preserve">m Forest (RF) regression model </w:t>
      </w:r>
      <w:r w:rsidRPr="009D3838">
        <w:rPr>
          <w:lang w:eastAsia="zh-CN"/>
        </w:rPr>
        <w:fldChar w:fldCharType="begin"/>
      </w:r>
      <w:r>
        <w:rPr>
          <w:lang w:eastAsia="zh-CN"/>
        </w:rPr>
        <w:instrText xml:space="preserve"> ADDIN ZOTERO_ITEM CSL_CITATION {"citationID":"kM0s4XZJ","properties":{"formattedCitation":"(Liaw &amp; Wiener, 2002)","plainCitation":"(Liaw &amp; Wiener, 2002)","noteIndex":0},"citationItems":[{"id":1505,"uris":["http://zotero.org/users/10015936/items/XFM79FRN"],"itemData":{"id":1505,"type":"article-journal","language":"en","title":"Classiﬁcation and Regression by randomForest","volume":"2","author":[{"family":"Liaw","given":"Andy"},{"family":"Wiener","given":"Matthew"}],"issued":{"date-parts":[["2002"]]}}}],"schema":"https://github.com/citation-style-language/schema/raw/master/csl-citation.json"} </w:instrText>
      </w:r>
      <w:r w:rsidRPr="009D3838">
        <w:rPr>
          <w:lang w:eastAsia="zh-CN"/>
        </w:rPr>
        <w:fldChar w:fldCharType="separate"/>
      </w:r>
      <w:r w:rsidRPr="009D3838">
        <w:t>(Liaw &amp; Wiener, 2002)</w:t>
      </w:r>
      <w:r w:rsidRPr="009D3838">
        <w:rPr>
          <w:lang w:eastAsia="zh-CN"/>
        </w:rPr>
        <w:fldChar w:fldCharType="end"/>
      </w:r>
      <w:r w:rsidRPr="00AA3D48">
        <w:rPr>
          <w:lang w:eastAsia="zh-CN"/>
        </w:rPr>
        <w:t xml:space="preserve"> for building height estimation</w:t>
      </w:r>
      <w:r w:rsidRPr="009D3838">
        <w:rPr>
          <w:lang w:eastAsia="zh-CN"/>
        </w:rPr>
        <w:t xml:space="preserve">. </w:t>
      </w:r>
      <w:r w:rsidRPr="00CE05C2">
        <w:rPr>
          <w:lang w:eastAsia="zh-CN"/>
        </w:rPr>
        <w:t xml:space="preserve">The Random Forest model depends on two critical parameters: </w:t>
      </w:r>
      <w:proofErr w:type="spellStart"/>
      <w:r w:rsidRPr="00CE05C2">
        <w:rPr>
          <w:lang w:eastAsia="zh-CN"/>
        </w:rPr>
        <w:t>N</w:t>
      </w:r>
      <w:r w:rsidRPr="00A7190D">
        <w:rPr>
          <w:vertAlign w:val="subscript"/>
          <w:lang w:eastAsia="zh-CN"/>
        </w:rPr>
        <w:t>tree</w:t>
      </w:r>
      <w:proofErr w:type="spellEnd"/>
      <w:r w:rsidRPr="00CE05C2">
        <w:rPr>
          <w:lang w:eastAsia="zh-CN"/>
        </w:rPr>
        <w:t xml:space="preserve">, the number of trees, and </w:t>
      </w:r>
      <w:proofErr w:type="spellStart"/>
      <w:r w:rsidRPr="00CE05C2">
        <w:rPr>
          <w:lang w:eastAsia="zh-CN"/>
        </w:rPr>
        <w:t>M</w:t>
      </w:r>
      <w:r w:rsidRPr="00A7190D">
        <w:rPr>
          <w:vertAlign w:val="subscript"/>
          <w:lang w:eastAsia="zh-CN"/>
        </w:rPr>
        <w:t>try</w:t>
      </w:r>
      <w:proofErr w:type="spellEnd"/>
      <w:r w:rsidRPr="00CE05C2">
        <w:rPr>
          <w:lang w:eastAsia="zh-CN"/>
        </w:rPr>
        <w:t xml:space="preserve">, the number of randomly selected features used for node splitting. Increasing </w:t>
      </w:r>
      <w:proofErr w:type="spellStart"/>
      <w:r w:rsidRPr="00CE05C2">
        <w:rPr>
          <w:lang w:eastAsia="zh-CN"/>
        </w:rPr>
        <w:t>N</w:t>
      </w:r>
      <w:r w:rsidRPr="00A7190D">
        <w:rPr>
          <w:vertAlign w:val="subscript"/>
          <w:lang w:eastAsia="zh-CN"/>
        </w:rPr>
        <w:t>tree</w:t>
      </w:r>
      <w:proofErr w:type="spellEnd"/>
      <w:r w:rsidRPr="00CE05C2">
        <w:rPr>
          <w:lang w:eastAsia="zh-CN"/>
        </w:rPr>
        <w:t xml:space="preserve"> can substantially enhance Random Forest's performance. Given that the RF classifier is computationally efficient and robust against overfitting, it is often recommended to set </w:t>
      </w:r>
      <w:proofErr w:type="spellStart"/>
      <w:r w:rsidRPr="00CE05C2">
        <w:rPr>
          <w:lang w:eastAsia="zh-CN"/>
        </w:rPr>
        <w:t>N</w:t>
      </w:r>
      <w:r w:rsidRPr="00A7190D">
        <w:rPr>
          <w:vertAlign w:val="subscript"/>
          <w:lang w:eastAsia="zh-CN"/>
        </w:rPr>
        <w:t>tree</w:t>
      </w:r>
      <w:proofErr w:type="spellEnd"/>
      <w:r w:rsidRPr="00CE05C2">
        <w:rPr>
          <w:lang w:eastAsia="zh-CN"/>
        </w:rPr>
        <w:t xml:space="preserve"> to the highest feasible value</w:t>
      </w:r>
      <w:r>
        <w:rPr>
          <w:color w:val="C00000"/>
          <w:lang w:eastAsia="zh-CN"/>
        </w:rPr>
        <w:fldChar w:fldCharType="begin"/>
      </w:r>
      <w:r>
        <w:rPr>
          <w:color w:val="C00000"/>
          <w:lang w:eastAsia="zh-CN"/>
        </w:rPr>
        <w:instrText xml:space="preserve"> ADDIN ZOTERO_ITEM CSL_CITATION {"citationID":"X3GjNkOH","properties":{"formattedCitation":"(Guan et al., 2013)","plainCitation":"(Guan et al., 2013)","noteIndex":0},"citationItems":[{"id":1911,"uris":["http://zotero.org/users/10015936/items/AFZX9F2W"],"itemData":{"id":1911,"type":"article-journal","abstract":"Using high-spatial-resolution multispectral imagery alone is insufficient for achieving highly accurate and reliable thematic mapping of urban areas. Integration of lidar-derived elevation information into image classification can considerably improve classification results. Additionally, traditional pixel-based classifiers have some limitations in regard to certain landscape and data types. In this study, we take advantage of current advances in object-based image analysis and machine learning algorithms to reduce manual image interpretation and automate feature selection in a classification process. A sequence of image segmentation, feature selection, and object classification is developed and tested by the data sets in two study areas (Mannheim, Germany and Niagara Falls, Canada). First, to improve the quality of segmentation, a range image of lidar data is incorporated in an image segmentation process. Among features derived from lidar data and aerial imagery, the random forest, a robust ensemble classifier, is then used to identify the best features using iterative feature elimination. On the condition that the number of samples is at least two or three times the number of features, a segmentation scale factor has no particular effect on the selected features or classification accuracies. The results of the two study areas demonstrate that the presented object-based classification method, compared with the pixel-based classification, improves by 0.02 and 0.05 in kappa statistics, and by 3.9% and 4.5% in overall accuracy, respectively.","call-number":"3","container-title":"International Journal of Remote Sensing","DOI":"10.1080/01431161.2013.788261","ISSN":"0143-1161","issue":"14","journalAbbreviation":"International Journal of Remote Sensing","language":"en","note":"publisher: Taylor &amp; Francis\n_eprint: https://doi.org/10.1080/01431161.2013.788261","page":"5166-5186","source":"3.4 (Q2)","title":"Integration of orthoimagery and lidar data for object-based urban thematic mapping using random forests","volume":"34","author":[{"family":"Guan","given":"Haiyan"},{"family":"Li","given":"Jonathan"},{"family":"Chapman","given":"Michael"},{"family":"Deng","given":"Fei"},{"family":"Ji","given":"Zheng"},{"family":"Yang","given":"Xu"}],"issued":{"date-parts":[["2013",7,20]]}}}],"schema":"https://github.com/citation-style-language/schema/raw/master/csl-citation.json"} </w:instrText>
      </w:r>
      <w:r>
        <w:rPr>
          <w:color w:val="C00000"/>
          <w:lang w:eastAsia="zh-CN"/>
        </w:rPr>
        <w:fldChar w:fldCharType="separate"/>
      </w:r>
      <w:r w:rsidRPr="009D3838">
        <w:t>(Guan et al., 2013)</w:t>
      </w:r>
      <w:r>
        <w:rPr>
          <w:color w:val="C00000"/>
          <w:lang w:eastAsia="zh-CN"/>
        </w:rPr>
        <w:fldChar w:fldCharType="end"/>
      </w:r>
      <w:r w:rsidRPr="00C372AF">
        <w:rPr>
          <w:lang w:eastAsia="zh-CN"/>
        </w:rPr>
        <w:t xml:space="preserve">. Most of the studies used a value of 500 for </w:t>
      </w:r>
      <w:proofErr w:type="spellStart"/>
      <w:r w:rsidRPr="00C372AF">
        <w:rPr>
          <w:lang w:eastAsia="zh-CN"/>
        </w:rPr>
        <w:t>N</w:t>
      </w:r>
      <w:r w:rsidRPr="00A7190D">
        <w:rPr>
          <w:vertAlign w:val="subscript"/>
          <w:lang w:eastAsia="zh-CN"/>
        </w:rPr>
        <w:t>tree</w:t>
      </w:r>
      <w:proofErr w:type="spellEnd"/>
      <w:r w:rsidRPr="00C372AF">
        <w:rPr>
          <w:lang w:eastAsia="zh-CN"/>
        </w:rPr>
        <w:t>, as it was observed that the errors of the classification tree tend to stabilize before reaching this number</w:t>
      </w:r>
      <w:r w:rsidRPr="00EA24F9">
        <w:rPr>
          <w:color w:val="C00000"/>
          <w:lang w:eastAsia="zh-CN"/>
        </w:rPr>
        <w:t xml:space="preserve"> </w:t>
      </w:r>
      <w:r>
        <w:rPr>
          <w:color w:val="C00000"/>
          <w:lang w:eastAsia="zh-CN"/>
        </w:rPr>
        <w:fldChar w:fldCharType="begin"/>
      </w:r>
      <w:r>
        <w:rPr>
          <w:color w:val="C00000"/>
          <w:lang w:eastAsia="zh-CN"/>
        </w:rPr>
        <w:instrText xml:space="preserve"> ADDIN ZOTERO_ITEM CSL_CITATION {"citationID":"rDMLq5Sn","properties":{"formattedCitation":"(Lawrence et al., 2006)","plainCitation":"(Lawrence et al., 2006)","noteIndex":0},"citationItems":[{"id":1914,"uris":["http://zotero.org/users/10015936/items/L4CVV8SU"],"itemData":{"id":1914,"type":"article-journal","abstract":"Invasive nonindigenous plants are threatening the biological integrity of North American rangelands, as well as the economies that are supported by those ecosystems. Spatial information is critical to fulfilling invasive plant management strategies. Traditional invasive plant mapping has utilized ground-based hand or GPS mapping. The shortfalls of ground-based methods include the limited spatial extent covered and the associated time and cost. Mapping vegetation with remote sensing covers large spatial areas and maps can be updated at an interval determined by management needs. The objective of the study was to map leafy spurge (Euphorbia esula L.) and spotted knapweed (Centaurea maculosa Lam.) using 128-band hyperspectral (5-m and 3-m resolution) imagery and assess the accuracy of the resulting maps. Beiman Cutler classifications (BCC) were used to classify the imagery using the randomForest package in the R statistical program. BCC builds multiple classification trees by repeatedly taking random subsets of the observational data and using random subsets of the spectral bands to determine each split in the classification trees. The resulting classification trees vote on the correct classification. Overall accuracy was 84% for the spotted knapweed classification, with class accuracies ranging from 60% to 93%; overall accuracy was 86% for the leafy spurge classification, with class accuracies ranging from 66% to 93%. Our results indicate that (1) BCC can achieve substantial improvements in accuracy over single classification trees with these data and (2) it might be unnecessary to have separate accuracy assessment data when using BCC, as the algorithm provides a reliable internal estimate of accuracy.","call-number":"1","container-title":"Remote Sensing of Environment","DOI":"10.1016/j.rse.2005.10.014","ISSN":"0034-4257","issue":"3","journalAbbreviation":"Remote Sensing of Environment","language":"en","page":"356-362","source":"13.5 (Q1)","title":"Mapping invasive plants using hyperspectral imagery and Breiman Cutler classifications (randomForest)","volume":"100","author":[{"family":"Lawrence","given":"Rick L."},{"family":"Wood","given":"Shana D."},{"family":"Sheley","given":"Roger L."}],"issued":{"date-parts":[["2006",2]]}}}],"schema":"https://github.com/citation-style-language/schema/raw/master/csl-citation.json"} </w:instrText>
      </w:r>
      <w:r>
        <w:rPr>
          <w:color w:val="C00000"/>
          <w:lang w:eastAsia="zh-CN"/>
        </w:rPr>
        <w:fldChar w:fldCharType="separate"/>
      </w:r>
      <w:r w:rsidRPr="009D3838">
        <w:t>(Lawrence et al., 2006)</w:t>
      </w:r>
      <w:r>
        <w:rPr>
          <w:color w:val="C00000"/>
          <w:lang w:eastAsia="zh-CN"/>
        </w:rPr>
        <w:fldChar w:fldCharType="end"/>
      </w:r>
      <w:r w:rsidRPr="00C372AF">
        <w:rPr>
          <w:lang w:eastAsia="zh-CN"/>
        </w:rPr>
        <w:t xml:space="preserve">. When </w:t>
      </w:r>
      <w:proofErr w:type="spellStart"/>
      <w:r w:rsidRPr="00C372AF">
        <w:rPr>
          <w:lang w:eastAsia="zh-CN"/>
        </w:rPr>
        <w:t>M</w:t>
      </w:r>
      <w:r w:rsidRPr="00A7190D">
        <w:rPr>
          <w:vertAlign w:val="subscript"/>
          <w:lang w:eastAsia="zh-CN"/>
        </w:rPr>
        <w:t>try</w:t>
      </w:r>
      <w:proofErr w:type="spellEnd"/>
      <w:r w:rsidRPr="00C372AF">
        <w:rPr>
          <w:lang w:eastAsia="zh-CN"/>
        </w:rPr>
        <w:t xml:space="preserve"> is kept small, it reduce</w:t>
      </w:r>
      <w:r>
        <w:rPr>
          <w:lang w:eastAsia="zh-CN"/>
        </w:rPr>
        <w:t>s</w:t>
      </w:r>
      <w:r w:rsidRPr="00C372AF">
        <w:rPr>
          <w:lang w:eastAsia="zh-CN"/>
        </w:rPr>
        <w:t xml:space="preserve"> the model’s variance but increases bias, possibly overlooking critical featur</w:t>
      </w:r>
      <w:r w:rsidRPr="00281D6F">
        <w:rPr>
          <w:lang w:eastAsia="zh-CN"/>
        </w:rPr>
        <w:t>es.</w:t>
      </w:r>
    </w:p>
    <w:p w14:paraId="141C32B4" w14:textId="77DB995B" w:rsidR="00D87DCE" w:rsidRPr="00D87DCE" w:rsidRDefault="00F77830" w:rsidP="00D87DCE">
      <w:pPr>
        <w:ind w:firstLine="420"/>
        <w:rPr>
          <w:lang w:eastAsia="zh-CN"/>
        </w:rPr>
      </w:pPr>
      <w:r w:rsidRPr="00281D6F">
        <w:rPr>
          <w:lang w:eastAsia="zh-CN"/>
        </w:rPr>
        <w:t xml:space="preserve">Conversely, with a large </w:t>
      </w:r>
      <w:proofErr w:type="spellStart"/>
      <w:r w:rsidRPr="00281D6F">
        <w:rPr>
          <w:lang w:eastAsia="zh-CN"/>
        </w:rPr>
        <w:t>M</w:t>
      </w:r>
      <w:r w:rsidRPr="00A7190D">
        <w:rPr>
          <w:vertAlign w:val="subscript"/>
          <w:lang w:eastAsia="zh-CN"/>
        </w:rPr>
        <w:t>try</w:t>
      </w:r>
      <w:proofErr w:type="spellEnd"/>
      <w:r w:rsidRPr="00281D6F">
        <w:rPr>
          <w:lang w:eastAsia="zh-CN"/>
        </w:rPr>
        <w:t>, the model'</w:t>
      </w:r>
      <w:r>
        <w:rPr>
          <w:lang w:eastAsia="zh-CN"/>
        </w:rPr>
        <w:t xml:space="preserve">s </w:t>
      </w:r>
      <w:r w:rsidRPr="00281D6F">
        <w:rPr>
          <w:lang w:eastAsia="zh-CN"/>
        </w:rPr>
        <w:t>variance increases</w:t>
      </w:r>
      <w:r>
        <w:rPr>
          <w:lang w:eastAsia="zh-CN"/>
        </w:rPr>
        <w:t>,</w:t>
      </w:r>
      <w:r w:rsidRPr="00281D6F">
        <w:rPr>
          <w:lang w:eastAsia="zh-CN"/>
        </w:rPr>
        <w:t xml:space="preserve"> but the bias decreases as</w:t>
      </w:r>
      <w:r w:rsidRPr="00281D6F">
        <w:t xml:space="preserve"> </w:t>
      </w:r>
      <w:r w:rsidRPr="00281D6F">
        <w:rPr>
          <w:lang w:eastAsia="zh-CN"/>
        </w:rPr>
        <w:t>it considers more features</w:t>
      </w:r>
      <w:r w:rsidRPr="00A7190D">
        <w:rPr>
          <w:lang w:eastAsia="zh-CN"/>
        </w:rPr>
        <w:t xml:space="preserve">. </w:t>
      </w:r>
      <w:r>
        <w:rPr>
          <w:lang w:eastAsia="zh-CN"/>
        </w:rPr>
        <w:t>Previous studie</w:t>
      </w:r>
      <w:r w:rsidRPr="00D07ADB">
        <w:rPr>
          <w:lang w:eastAsia="zh-CN"/>
        </w:rPr>
        <w:t xml:space="preserve">s suggested that </w:t>
      </w:r>
      <w:proofErr w:type="spellStart"/>
      <w:r w:rsidRPr="00D07ADB">
        <w:rPr>
          <w:lang w:eastAsia="zh-CN"/>
        </w:rPr>
        <w:t>M</w:t>
      </w:r>
      <w:r w:rsidRPr="00D07ADB">
        <w:rPr>
          <w:vertAlign w:val="subscript"/>
          <w:lang w:eastAsia="zh-CN"/>
        </w:rPr>
        <w:t>try</w:t>
      </w:r>
      <w:proofErr w:type="spellEnd"/>
      <w:r w:rsidRPr="00D07ADB">
        <w:rPr>
          <w:lang w:eastAsia="zh-CN"/>
        </w:rPr>
        <w:t xml:space="preserve"> be set as the square root of the number of variables</w:t>
      </w:r>
      <w:r w:rsidRPr="00A7190D">
        <w:rPr>
          <w:lang w:eastAsia="zh-CN"/>
        </w:rPr>
        <w:t xml:space="preserve"> </w:t>
      </w:r>
      <w:r>
        <w:rPr>
          <w:lang w:eastAsia="zh-CN"/>
        </w:rPr>
        <w:fldChar w:fldCharType="begin"/>
      </w:r>
      <w:r>
        <w:rPr>
          <w:lang w:eastAsia="zh-CN"/>
        </w:rPr>
        <w:instrText xml:space="preserve"> ADDIN ZOTERO_ITEM CSL_CITATION {"citationID":"Ino6Rn29","properties":{"formattedCitation":"(Gislason et al., 2006)","plainCitation":"(Gislason et al., 2006)","noteIndex":0},"citationItems":[{"id":1917,"uris":["http://zotero.org/users/10015936/items/F9KMDF5L"],"itemData":{"id":1917,"type":"article-journal","abstract":"Random Forests are considered for classification of multisource remote sensing and geographic data. Various ensemble classification methods have been proposed in recent years. These methods have been proven to improve classification accuracy considerably. The most widely used ensemble methods are boosting and bagging. Boosting is based on sample re-weighting but bagging uses bootstrapping. The Random Forest classifier uses bagging, or bootstrap aggregating, to form an ensemble of classification and regression tree (CART)-like classifiers. In addition, it searches only a random subset of the variables for a split at each CART node, in order to minimize the correlation between the classifiers in the ensemble. This method is not sensitive to noise or overtraining, as the resampling is not based on weighting. Furthermore, it is computationally much lighter than methods based on boosting and somewhat lighter than simple bagging. In the paper, the use of the Random Forest classifier for land cover classification is explored. We compare the accuracy of the Random Forest classifier to other better-known ensemble methods on multisource remote sensing and geographic data.","call-number":"3","collection-title":"Pattern Recognition in Remote Sensing (PRRS 2004)","container-title":"Pattern Recognition Letters","DOI":"10.1016/j.patrec.2005.08.011","ISSN":"0167-8655","issue":"4","journalAbbreviation":"Pattern Recognition Letters","language":"en","page":"294-300","source":"5.1 (Q2)","title":"Random Forests for land cover classification","volume":"27","author":[{"family":"Gislason","given":"Pall Oskar"},{"family":"Benediktsson","given":"Jon Atli"},{"family":"Sveinsson","given":"Johannes R."}],"issued":{"date-parts":[["2006",3]]}}}],"schema":"https://github.com/citation-style-language/schema/raw/master/csl-citation.json"} </w:instrText>
      </w:r>
      <w:r>
        <w:rPr>
          <w:lang w:eastAsia="zh-CN"/>
        </w:rPr>
        <w:fldChar w:fldCharType="separate"/>
      </w:r>
      <w:r w:rsidRPr="00D07ADB">
        <w:t>(Gislason et al., 2006)</w:t>
      </w:r>
      <w:r>
        <w:rPr>
          <w:lang w:eastAsia="zh-CN"/>
        </w:rPr>
        <w:fldChar w:fldCharType="end"/>
      </w:r>
      <w:r>
        <w:rPr>
          <w:lang w:eastAsia="zh-CN"/>
        </w:rPr>
        <w:t xml:space="preserve">. Here, we set </w:t>
      </w:r>
      <w:proofErr w:type="spellStart"/>
      <w:r>
        <w:rPr>
          <w:lang w:eastAsia="zh-CN"/>
        </w:rPr>
        <w:t>N</w:t>
      </w:r>
      <w:r w:rsidRPr="00D07ADB">
        <w:rPr>
          <w:vertAlign w:val="subscript"/>
          <w:lang w:eastAsia="zh-CN"/>
        </w:rPr>
        <w:t>tree</w:t>
      </w:r>
      <w:proofErr w:type="spellEnd"/>
      <w:r>
        <w:rPr>
          <w:lang w:eastAsia="zh-CN"/>
        </w:rPr>
        <w:t xml:space="preserve"> to 500 and </w:t>
      </w:r>
      <w:proofErr w:type="spellStart"/>
      <w:r>
        <w:rPr>
          <w:lang w:eastAsia="zh-CN"/>
        </w:rPr>
        <w:t>M</w:t>
      </w:r>
      <w:r w:rsidRPr="00D07ADB">
        <w:rPr>
          <w:vertAlign w:val="subscript"/>
          <w:lang w:eastAsia="zh-CN"/>
        </w:rPr>
        <w:t>try</w:t>
      </w:r>
      <w:proofErr w:type="spellEnd"/>
      <w:r>
        <w:rPr>
          <w:lang w:eastAsia="zh-CN"/>
        </w:rPr>
        <w:t xml:space="preserve"> to the square root of the variable count. In this study, </w:t>
      </w:r>
      <w:r w:rsidRPr="00D3734B">
        <w:rPr>
          <w:lang w:eastAsia="zh-CN"/>
        </w:rPr>
        <w:t xml:space="preserve">World Settlement Footprint </w:t>
      </w:r>
      <w:r w:rsidRPr="00D3734B">
        <w:rPr>
          <w:lang w:eastAsia="zh-CN"/>
        </w:rPr>
        <w:lastRenderedPageBreak/>
        <w:t>2019 (WSF</w:t>
      </w:r>
      <w:r>
        <w:rPr>
          <w:lang w:eastAsia="zh-CN"/>
        </w:rPr>
        <w:t xml:space="preserve"> </w:t>
      </w:r>
      <w:r>
        <w:rPr>
          <w:rFonts w:hint="eastAsia"/>
          <w:lang w:eastAsia="zh-CN"/>
        </w:rPr>
        <w:t>2019</w:t>
      </w:r>
      <w:r w:rsidRPr="00D3734B">
        <w:rPr>
          <w:lang w:eastAsia="zh-CN"/>
        </w:rPr>
        <w:t>)</w:t>
      </w:r>
      <w:r>
        <w:rPr>
          <w:lang w:eastAsia="zh-CN"/>
        </w:rPr>
        <w:t xml:space="preserve"> </w:t>
      </w:r>
      <w:r>
        <w:rPr>
          <w:lang w:eastAsia="zh-CN"/>
        </w:rPr>
        <w:fldChar w:fldCharType="begin"/>
      </w:r>
      <w:r>
        <w:rPr>
          <w:lang w:eastAsia="zh-CN"/>
        </w:rPr>
        <w:instrText xml:space="preserve"> ADDIN ZOTERO_ITEM CSL_CITATION {"citationID":"B9Vv1hkr","properties":{"formattedCitation":"(Marconcini et al., 2021)","plainCitation":"(Marconcini et al., 2021)","noteIndex":0},"citationItems":[{"id":1883,"uris":["http://zotero.org/users/10015936/items/M7936PS5"],"itemData":{"id":1883,"type":"article-journal","abstract":"To improve the understanding of current trends in global urbanisation, we have launched the World Settlement Footprint (WSF) suite, a collection of novel datasets aimed at providing accurate, reliable and frequent information on the location and extent of human settlements, as well as on their morphology and built-up density. In this paper, we present three of its products (i.e., the WSF-Evolution, WSF2019 and WSF3D), which are expected to become an asset for national statistical offices, local authorities, academia, civil society, private sector, geospatial information community, as well as international organisations involved in the implementation of the Sustainable Development Goal 11 of the United Nations and the New Urban Agenda.","archive_location":"27 </w:instrText>
      </w:r>
      <w:r>
        <w:rPr>
          <w:rFonts w:ascii="Segoe UI Emoji" w:hAnsi="Segoe UI Emoji" w:cs="Segoe UI Emoji"/>
          <w:lang w:eastAsia="zh-CN"/>
        </w:rPr>
        <w:instrText>📊</w:instrText>
      </w:r>
      <w:r>
        <w:rPr>
          <w:lang w:eastAsia="zh-CN"/>
        </w:rPr>
        <w:instrText xml:space="preserve">","container-title":"GI_Forum","DOI":"10.1553/giscience2021_01_s33","ISSN":"2308-1708","journalAbbreviation":"giforum","language":"en","page":"33-38","title":"Understanding Current Trends in Global Urbanisation - The World Settlement Footprint Suite","volume":"1","author":[{"family":"Marconcini","given":"Mattia"},{"family":"Metz- Marconcini","given":"Annekatrin"},{"family":"Esch","given":"Thomas"},{"family":"Gorelick","given":"Noel"}],"issued":{"date-parts":[["2021"]]}}}],"schema":"https://github.com/citation-style-language/schema/raw/master/csl-citation.json"} </w:instrText>
      </w:r>
      <w:r>
        <w:rPr>
          <w:lang w:eastAsia="zh-CN"/>
        </w:rPr>
        <w:fldChar w:fldCharType="separate"/>
      </w:r>
      <w:r w:rsidRPr="00632B83">
        <w:t>(Marconcini et al., 2021)</w:t>
      </w:r>
      <w:r>
        <w:rPr>
          <w:lang w:eastAsia="zh-CN"/>
        </w:rPr>
        <w:fldChar w:fldCharType="end"/>
      </w:r>
      <w:r>
        <w:rPr>
          <w:rFonts w:hint="eastAsia"/>
          <w:lang w:eastAsia="zh-CN"/>
        </w:rPr>
        <w:t>,</w:t>
      </w:r>
      <w:r>
        <w:rPr>
          <w:lang w:eastAsia="zh-CN"/>
        </w:rPr>
        <w:t xml:space="preserve"> Microsoft Building footprint </w:t>
      </w:r>
      <w:r>
        <w:rPr>
          <w:lang w:eastAsia="zh-CN"/>
        </w:rPr>
        <w:fldChar w:fldCharType="begin"/>
      </w:r>
      <w:r>
        <w:rPr>
          <w:lang w:eastAsia="zh-CN"/>
        </w:rPr>
        <w:instrText xml:space="preserve"> ADDIN ZOTERO_ITEM CSL_CITATION {"citationID":"6k3dTbPd","properties":{"formattedCitation":"(Microsoft, 2018/2018)","plainCitation":"(Microsoft, 2018/2018)","noteIndex":0},"citationItems":[{"id":2020,"uris":["http://zotero.org/users/10015936/items/WPPKJWZE"],"itemData":{"id":2020,"type":"webpage","abstract":"Computer generated building footprints for the United States","language":"en","note":"original-date: 2018-06-13T18:31:31Z","title":"Microsoft/USBuildingFootprints","URL":"https://github.com/microsoft/USBuildingFootprints","author":[{"literal":"Microsoft"}],"accessed":{"date-parts":[["2023",10,20]]},"issued":{"date-parts":[["2018",7]]}}}],"schema":"https://github.com/citation-style-language/schema/raw/master/csl-citation.json"} </w:instrText>
      </w:r>
      <w:r>
        <w:rPr>
          <w:lang w:eastAsia="zh-CN"/>
        </w:rPr>
        <w:fldChar w:fldCharType="separate"/>
      </w:r>
      <w:r w:rsidRPr="00CB61DC">
        <w:t>(Microsoft, 2018/2018)</w:t>
      </w:r>
      <w:r>
        <w:rPr>
          <w:lang w:eastAsia="zh-CN"/>
        </w:rPr>
        <w:fldChar w:fldCharType="end"/>
      </w:r>
      <w:r>
        <w:rPr>
          <w:lang w:eastAsia="zh-CN"/>
        </w:rPr>
        <w:t xml:space="preserve">, </w:t>
      </w:r>
      <w:r w:rsidR="002D7804" w:rsidRPr="002D7804">
        <w:rPr>
          <w:lang w:eastAsia="zh-CN"/>
        </w:rPr>
        <w:t>EUBUCCO v0.1</w:t>
      </w:r>
      <w:r w:rsidR="002D7804">
        <w:rPr>
          <w:lang w:eastAsia="zh-CN"/>
        </w:rPr>
        <w:t xml:space="preserve"> </w:t>
      </w:r>
      <w:r w:rsidR="002D7804">
        <w:rPr>
          <w:lang w:eastAsia="zh-CN"/>
        </w:rPr>
        <w:fldChar w:fldCharType="begin"/>
      </w:r>
      <w:r w:rsidR="002D7804">
        <w:rPr>
          <w:lang w:eastAsia="zh-CN"/>
        </w:rPr>
        <w:instrText xml:space="preserve"> ADDIN ZOTERO_ITEM CSL_CITATION {"citationID":"Or66PbiB","properties":{"formattedCitation":"(Milojevic-Dupont et al., 2023)","plainCitation":"(Milojevic-Dupont et al., 2023)","noteIndex":0},"citationItems":[{"id":1982,"uris":["http://zotero.org/users/10015936/items/AUXJ436D"],"itemData":{"id":1982,"type":"article-journal","abstract":"Building stock management is becoming a global societal and political issue, inter alia because of growing sustainability concerns. Comprehensive and openly accessible building stock data can enable impactful research exploring the most effective policy options. In Europe, efforts from citizen and governments generated numerous relevant datasets but these are fragmented and heterogeneous, thus hindering their usability. Here, we present eubucco v0.1, a database of individual building footprints for ~202 million buildings across the 27 European Union countries and Switzerland. Three main attributes – building height, construction year and type – are included for respectively 73%, 24% and 46% of the buildings. We identify, collect and harmonize 50 open government datasets and OpenStreetMap, and perform extensive validation analyses to assess the quality, consistency and completeness of the data in every country. eubucco v0.1 provides the basis for high-resolution urban sustainability studies across scales – continental, comparative or local studies – using a centralized source and is relevant for a variety of use cases, e.g., for energy system analysis or natural hazard risk assessments. © 2023, The Author(s).","archive":"Scopus","call-number":"2","container-title":"Scientific Data","DOI":"10.1038/s41597-023-02040-2","ISSN":"2052-4463","issue":"1","journalAbbreviation":"Sci Data","language":"en","source":"9.8 (Q1)","title":"EUBUCCO v0.1: European building stock characteristics in a common and open database for 200+ million individual buildings","title-short":"EUBUCCO v0.1","URL":"https://www.nature.com/articles/s41597-023-02040-2","volume":"10","author":[{"family":"Milojevic-Dupont","given":"Nikola"},{"family":"Wagner","given":"Felix"},{"family":"Nachtigall","given":"Florian"},{"family":"Hu","given":"Jiawei"},{"family":"Brüser","given":"Geza Boi"},{"family":"Zumwald","given":"Marius"},{"family":"Biljecki","given":"Filip"},{"family":"Heeren","given":"Niko"},{"family":"Kaack","given":"Lynn H."},{"family":"Pichler","given":"Peter-Paul"},{"family":"Creutzig","given":"Felix"}],"issued":{"date-parts":[["2023"]]}}}],"schema":"https://github.com/citation-style-language/schema/raw/master/csl-citation.json"} </w:instrText>
      </w:r>
      <w:r w:rsidR="002D7804">
        <w:rPr>
          <w:lang w:eastAsia="zh-CN"/>
        </w:rPr>
        <w:fldChar w:fldCharType="separate"/>
      </w:r>
      <w:r w:rsidR="002D7804" w:rsidRPr="002D7804">
        <w:t>(Milojevic-Dupont et al., 2023)</w:t>
      </w:r>
      <w:r w:rsidR="002D7804">
        <w:rPr>
          <w:lang w:eastAsia="zh-CN"/>
        </w:rPr>
        <w:fldChar w:fldCharType="end"/>
      </w:r>
      <w:r w:rsidR="002D7804">
        <w:rPr>
          <w:lang w:eastAsia="zh-CN"/>
        </w:rPr>
        <w:t xml:space="preserve">, </w:t>
      </w:r>
      <w:r>
        <w:rPr>
          <w:lang w:eastAsia="zh-CN"/>
        </w:rPr>
        <w:t xml:space="preserve">and China Building Rooftop Area </w:t>
      </w:r>
      <w:r>
        <w:rPr>
          <w:lang w:eastAsia="zh-CN"/>
        </w:rPr>
        <w:fldChar w:fldCharType="begin"/>
      </w:r>
      <w:r>
        <w:rPr>
          <w:lang w:eastAsia="zh-CN"/>
        </w:rPr>
        <w:instrText xml:space="preserve"> ADDIN ZOTERO_ITEM CSL_CITATION {"citationID":"YL6yf3dy","properties":{"formattedCitation":"(Liu et al., 2023)","plainCitation":"(Liu et al., 2023)","noteIndex":0},"citationItems":[{"id":1863,"uris":["http://zotero.org/users/10015936/items/PVDULGR7"],"itemData":{"id":1863,"type":"article-journal","abstract":"Abstract. Large-scale and multi-annual maps of building rooftop area (BRA) are crucial for addressing policy decisions and sustainable development. In\naddition, as a fine-grained indicator of human activities, BRA could\ncontribute to urban planning and energy modeling to provide benefits to human well-being. However, it is still challenging to produce a large-scale BRA due to the rather tiny sizes of individual buildings. From the viewpoint\nof classification methods, conventional approaches utilize high-resolution\naerial images (metric or submetric resolution) to map BRA; unfortunately,\nhigh-resolution imagery is both infrequently captured and expensive to\npurchase, making the BRA mapping costly and inadequate over a consistent\nspatiotemporal scale. From the viewpoint of learning strategies, there is a\nnontrivial gap that persists between the limited training references and\nthe applications over geospatial variations. Despite the difficulties,\nexisting large-scale BRA datasets, such as those from Microsoft or Google,\ndo not include China, and hence there are no full-coverage maps of BRA in China\nyet. In this paper, we first propose a deep-learning method, named the\nSpatio-Temporal aware Super-Resolution Segmentation framework (STSR-Seg), to\nachieve robust super-resolution BRA extraction from relatively\nlow-resolution imagery over a large geographic space. Then, we produce the\nmulti-annual China Building Rooftop Area (CBRA) dataset with 2.5 m\nresolution from 2016–2021 Sentinel-2 images. CBRA is the first\nfull-coverage and multi-annual BRA dataset in China. With the designed training-sample-generation algorithms and the spatiotemporally aware learning\nstrategies, CBRA achieves good performance with a F1 score of 62.55 % (+10.61 % compared with the previous BRA data in China) based\non 250 000 testing samples in urban areas and a recall of 78.94 % based\non 30 000 testing samples in rural areas. Temporal analysis shows good\nperformance consistency over years and good agreement with other\nmulti-annual impervious surface area datasets. STSR-Seg will enable low-cost, dynamic, and large-scale BRA mapping\n(https://github.com/zpl99/STSR-Seg, last access: 12 July 2023). CBRA will foster the development of BRA mapping and therefore provide basic data for sustainable research (Liu\net al., 2023; https://doi.org/10.5281/zenodo.7500612).","archive_location":"0 </w:instrText>
      </w:r>
      <w:r>
        <w:rPr>
          <w:rFonts w:ascii="Segoe UI Emoji" w:hAnsi="Segoe UI Emoji" w:cs="Segoe UI Emoji"/>
          <w:lang w:eastAsia="zh-CN"/>
        </w:rPr>
        <w:instrText>📊</w:instrText>
      </w:r>
      <w:r>
        <w:rPr>
          <w:lang w:eastAsia="zh-CN"/>
        </w:rPr>
        <w:instrText xml:space="preserve">","call-number":"1","container-title":"Earth System Science Data","DOI":"10.5194/essd-15-3547-2023","ISSN":"1866-3516","issue":"8","journalAbbreviation":"Earth Syst. Sci. Data","language":"en","note":"publisher: Copernicus GmbH","page":"3547-3572","source":"11.4 (Q1)","title":"China Building Rooftop Area: the first multi-annual (2016–2021) and high-resolution (2.5 m) building rooftop area dataset in China derived with super-resolution segmentation from Sentinel-2 imagery","title-short":"China Building Rooftop Area","volume":"15","author":[{"family":"Liu","given":"Zeping"},{"family":"Tang","given":"Hong"},{"family":"Feng","given":"Lin"},{"family":"Lyu","given":"Siqing"}],"issued":{"date-parts":[["2023",8,9]]}}}],"schema":"https://github.com/citation-style-language/schema/raw/master/csl-citation.json"} </w:instrText>
      </w:r>
      <w:r>
        <w:rPr>
          <w:lang w:eastAsia="zh-CN"/>
        </w:rPr>
        <w:fldChar w:fldCharType="separate"/>
      </w:r>
      <w:r w:rsidRPr="00F77830">
        <w:t>(Liu et al., 2023)</w:t>
      </w:r>
      <w:r>
        <w:rPr>
          <w:lang w:eastAsia="zh-CN"/>
        </w:rPr>
        <w:fldChar w:fldCharType="end"/>
      </w:r>
      <w:r w:rsidRPr="000F5EA4">
        <w:rPr>
          <w:lang w:eastAsia="zh-CN"/>
        </w:rPr>
        <w:t xml:space="preserve"> were utilized to define the building footprint of the global case cities. The RF regr</w:t>
      </w:r>
      <w:r w:rsidRPr="00A7190D">
        <w:rPr>
          <w:lang w:eastAsia="zh-CN"/>
        </w:rPr>
        <w:t>ession model was constructed using all the input variables mentioned earlier and was implemented on the Google Earth Engine (GEE) platform.</w:t>
      </w:r>
      <w:r>
        <w:rPr>
          <w:lang w:eastAsia="zh-CN"/>
        </w:rPr>
        <w:t xml:space="preserve"> </w:t>
      </w:r>
      <w:r w:rsidRPr="000F5EA4">
        <w:rPr>
          <w:lang w:eastAsia="zh-CN"/>
        </w:rPr>
        <w:t xml:space="preserve">After using the established model to predict the building heights for the year 2020, we further intersected them with the Global Artificial Impervious Area (GAIA) data </w:t>
      </w:r>
      <w:r>
        <w:rPr>
          <w:lang w:eastAsia="zh-CN"/>
        </w:rPr>
        <w:fldChar w:fldCharType="begin"/>
      </w:r>
      <w:r>
        <w:rPr>
          <w:lang w:eastAsia="zh-CN"/>
        </w:rPr>
        <w:instrText xml:space="preserve"> ADDIN ZOTERO_ITEM CSL_CITATION {"citationID":"YmQziQ8R","properties":{"formattedCitation":"(Gong et al., 2020)","plainCitation":"(Gong et al., 2020)","noteIndex":0},"citationItems":[{"id":60,"uris":["http://zotero.org/users/10015936/items/D2N6B4QM"],"itemData":{"id":60,"type":"article-journal","abstract":"Artificial impervious areas are predominant indicators of human settlements. Timely, accurate, and frequent information on artificial impervious areas is critical to understanding the process of urbanization and land use/cover change, as well as of their impacts on the environment and biodiversity. Despite their importance, there still lack annual maps of high-resolution Global Artificial Impervious Areas (GAIA) with longer than 30-year records, due to the high demand of high performance computation and the lack of effective mapping algorithms. In this paper, we mapped annual GAIA from 1985 to 2018 using the full archive of 30-m resolution Landsat images on the Google Earth Engine platform. With ancillary datasets, including the nighttime light data and the Sentinel-1 Synthetic Aperture Radar data, we improved the performance of our previously developed algorithm in arid areas. We evaluated the GAIA data for 1985, 1990, 1995, 2000, 2005, 2010, and 2015, and the mean overall accuracy is higher than 90%. A cross-product comparison indicates the GAIA data are the only dataset spanning over 30 years. The temporal trend in GAIA agrees well with other datasets at the local, regional, and global scales. Our results indicate that the GAIA reached 797,076 km2 in 2018, which is 1.5 times more than that in 1990. China and the United States (US) rank among the top two in artificial impervious area, accounting for approximately 50% of the world's total in 2018. The artificial impervious area of China surpassed that of the US in 2015. By 2018, the remaining eight among the top ten countries are India, Russia, Brazil, France, Italy, Germany, Japan, and Canada. The GAIA dataset can be freely downloaded from http://data.ess.tsinghua.edu.cn.","archive_location":"469 </w:instrText>
      </w:r>
      <w:r>
        <w:rPr>
          <w:rFonts w:ascii="Segoe UI Emoji" w:hAnsi="Segoe UI Emoji" w:cs="Segoe UI Emoji"/>
          <w:lang w:eastAsia="zh-CN"/>
        </w:rPr>
        <w:instrText>📊</w:instrText>
      </w:r>
      <w:r>
        <w:rPr>
          <w:lang w:eastAsia="zh-CN"/>
        </w:rPr>
        <w:instrText xml:space="preserve">","call-number":"1","container-title":"Remote Sensing of Environment","DOI":"10.1016/j.rse.2019.111510","ISSN":"0034-4257","journalAbbreviation":"Remote Sensing of Environment","language":"en","note":"301 citations (Semantic Scholar/DOI) [2022-11-27]","page":"111510","source":"13.5 (Q1)","title":"Annual maps of global artificial impervious area (GAIA) between 1985 and 2018","volume":"236","author":[{"family":"Gong","given":"Peng"},{"family":"Li","given":"Xuecao"},{"family":"Wang","given":"Jie"},{"family":"Bai","given":"Yuqi"},{"family":"Chen","given":"Bin"},{"family":"Hu","given":"Tengyun"},{"family":"Liu","given":"Xiaoping"},{"family":"Xu","given":"Bing"},{"family":"Yang","given":"Jun"},{"family":"Zhang","given":"Wei"},{"family":"Zhou","given":"Yuyu"}],"issued":{"date-parts":[["2020",1]]}}}],"schema":"https://github.com/citation-style-language/schema/raw/master/csl-citation.json"} </w:instrText>
      </w:r>
      <w:r>
        <w:rPr>
          <w:lang w:eastAsia="zh-CN"/>
        </w:rPr>
        <w:fldChar w:fldCharType="separate"/>
      </w:r>
      <w:r w:rsidRPr="00632B83">
        <w:t>(Gong et al., 2020)</w:t>
      </w:r>
      <w:r>
        <w:rPr>
          <w:lang w:eastAsia="zh-CN"/>
        </w:rPr>
        <w:fldChar w:fldCharType="end"/>
      </w:r>
      <w:r w:rsidRPr="000F5EA4">
        <w:rPr>
          <w:lang w:eastAsia="zh-CN"/>
        </w:rPr>
        <w:t xml:space="preserve"> to assign the year attribute from GAIA. This process allowed us to identify the newly developed building footprints for each year from 2010 to 2020, effectively capturing the three-dimensional expansion process.</w:t>
      </w:r>
    </w:p>
    <w:p w14:paraId="2F0C3EB7" w14:textId="28D87C10" w:rsidR="00F77830" w:rsidRDefault="00F77830" w:rsidP="00F77830">
      <w:pPr>
        <w:pStyle w:val="2"/>
        <w:rPr>
          <w:lang w:eastAsia="zh-CN"/>
        </w:rPr>
      </w:pPr>
      <w:r>
        <w:rPr>
          <w:lang w:eastAsia="zh-CN"/>
        </w:rPr>
        <w:t>Per capita building volume, GDP and inequality for each city</w:t>
      </w:r>
    </w:p>
    <w:p w14:paraId="03CEAF67" w14:textId="692DD266" w:rsidR="00F77830" w:rsidRPr="00823F21" w:rsidRDefault="00F77830" w:rsidP="00F77830">
      <w:pPr>
        <w:rPr>
          <w:lang w:eastAsia="zh-CN"/>
        </w:rPr>
      </w:pPr>
      <w:r>
        <w:rPr>
          <w:lang w:eastAsia="zh-CN"/>
        </w:rPr>
        <w:tab/>
      </w:r>
      <w:r w:rsidR="00823F21" w:rsidRPr="00B3063C">
        <w:rPr>
          <w:lang w:eastAsia="zh-CN"/>
        </w:rPr>
        <w:t>In this study, our building map employs a 10m×10m grid size, considerably smaller than the footprint of typical buildings. We calculated individual grid building volumes by multiplying each pixel's building height by its area. The total building volume for each city was then derived by summing the volumes of all grids within that city</w:t>
      </w:r>
      <w:r w:rsidR="00823F21" w:rsidRPr="00B9502E">
        <w:rPr>
          <w:lang w:eastAsia="zh-CN"/>
        </w:rPr>
        <w:t xml:space="preserve">. </w:t>
      </w:r>
      <w:r w:rsidR="00823F21" w:rsidRPr="00A63D22">
        <w:rPr>
          <w:lang w:eastAsia="zh-CN"/>
        </w:rPr>
        <w:t xml:space="preserve">The population and per capita building volume in each city were calculated using the population records from the </w:t>
      </w:r>
      <w:proofErr w:type="spellStart"/>
      <w:r w:rsidR="00823F21" w:rsidRPr="00EE5087">
        <w:rPr>
          <w:lang w:eastAsia="zh-CN"/>
        </w:rPr>
        <w:t>WorldPop</w:t>
      </w:r>
      <w:proofErr w:type="spellEnd"/>
      <w:r w:rsidR="00823F21" w:rsidRPr="00B9502E">
        <w:rPr>
          <w:lang w:eastAsia="zh-CN"/>
        </w:rPr>
        <w:t>.</w:t>
      </w:r>
      <w:r w:rsidR="00823F21">
        <w:rPr>
          <w:lang w:eastAsia="zh-CN"/>
        </w:rPr>
        <w:t xml:space="preserve"> </w:t>
      </w:r>
      <w:r w:rsidR="00823F21">
        <w:rPr>
          <w:rFonts w:hint="eastAsia"/>
          <w:lang w:eastAsia="zh-CN"/>
        </w:rPr>
        <w:t>We</w:t>
      </w:r>
      <w:r w:rsidR="00823F21">
        <w:rPr>
          <w:lang w:eastAsia="zh-CN"/>
        </w:rPr>
        <w:t xml:space="preserve"> use national GDP per capita data </w:t>
      </w:r>
      <w:r w:rsidR="00823F21" w:rsidRPr="00F97B9D">
        <w:rPr>
          <w:lang w:eastAsia="zh-CN"/>
        </w:rPr>
        <w:t xml:space="preserve">as a proxy for the economic development stage of each city, categorizing all 2071 cities into major </w:t>
      </w:r>
      <w:r w:rsidR="00823F21">
        <w:rPr>
          <w:lang w:eastAsia="zh-CN"/>
        </w:rPr>
        <w:t>citie</w:t>
      </w:r>
      <w:r w:rsidR="00823F21" w:rsidRPr="00F97B9D">
        <w:rPr>
          <w:lang w:eastAsia="zh-CN"/>
        </w:rPr>
        <w:t>s within high-income, upper-middle-income, lower-middle-income, and low-income countries.</w:t>
      </w:r>
      <w:r w:rsidR="00823F21" w:rsidRPr="00152913">
        <w:rPr>
          <w:lang w:eastAsia="zh-CN"/>
        </w:rPr>
        <w:t xml:space="preserve"> We examined the relationship between per capita building volume and national GDP per capita</w:t>
      </w:r>
      <w:r w:rsidR="00823F21">
        <w:rPr>
          <w:rFonts w:hint="eastAsia"/>
          <w:lang w:eastAsia="zh-CN"/>
        </w:rPr>
        <w:t>.</w:t>
      </w:r>
      <w:r w:rsidR="00823F21">
        <w:rPr>
          <w:lang w:eastAsia="zh-CN"/>
        </w:rPr>
        <w:t xml:space="preserve"> Since</w:t>
      </w:r>
      <w:r w:rsidR="00823F21" w:rsidRPr="001A675E">
        <w:rPr>
          <w:lang w:eastAsia="zh-CN"/>
        </w:rPr>
        <w:t xml:space="preserve"> the GDP data we employed is a reproduced dataset </w:t>
      </w:r>
      <w:r w:rsidR="00823F21" w:rsidRPr="001A675E">
        <w:rPr>
          <w:lang w:eastAsia="zh-CN"/>
        </w:rPr>
        <w:lastRenderedPageBreak/>
        <w:t>synthesized from statistical data with a 1km resolution, the results obtained by resampling the GDP raster data are not entirely accurate, particularly when downscaling to higher spatial resolutions for subsequent urban-calibrated analyses. This is especially notable when calculating the per capita GDP of various cities in conjunction with population data, as it tends to overestimate the per capita GDP of smaller cities with fewer inhabitants.</w:t>
      </w:r>
      <w:r w:rsidR="00823F21" w:rsidRPr="00273D81">
        <w:t xml:space="preserve"> </w:t>
      </w:r>
      <w:r w:rsidR="00823F21" w:rsidRPr="00273D81">
        <w:rPr>
          <w:lang w:eastAsia="zh-CN"/>
        </w:rPr>
        <w:t>Hence, we utilized the national per capita GDP to represent the economic development stage of cities, although in reality, the economic development level of cities larger than &gt;50km² may not align entirely with the overall economic development level of their respective countries.</w:t>
      </w:r>
      <w:r w:rsidR="00823F21">
        <w:rPr>
          <w:lang w:eastAsia="zh-CN"/>
        </w:rPr>
        <w:t xml:space="preserve"> </w:t>
      </w:r>
      <w:r w:rsidR="00823F21" w:rsidRPr="002E3D16">
        <w:rPr>
          <w:lang w:eastAsia="zh-CN"/>
        </w:rPr>
        <w:t xml:space="preserve">To quantitatively depict patterns in the distribution of building heights, we computed the </w:t>
      </w:r>
      <w:r w:rsidR="00823F21">
        <w:rPr>
          <w:lang w:eastAsia="zh-CN"/>
        </w:rPr>
        <w:t>inequality index</w:t>
      </w:r>
      <w:r w:rsidR="00823F21" w:rsidRPr="002E3D16">
        <w:rPr>
          <w:lang w:eastAsia="zh-CN"/>
        </w:rPr>
        <w:t xml:space="preserve"> of building height distribution in each city, as</w:t>
      </w:r>
      <w:r w:rsidR="00823F21">
        <w:rPr>
          <w:lang w:eastAsia="zh-CN"/>
        </w:rPr>
        <w:t xml:space="preserve"> proposed by Brelsford et al. </w:t>
      </w:r>
      <w:r w:rsidR="00823F21">
        <w:rPr>
          <w:lang w:eastAsia="zh-CN"/>
        </w:rPr>
        <w:fldChar w:fldCharType="begin"/>
      </w:r>
      <w:r w:rsidR="00823F21">
        <w:rPr>
          <w:lang w:eastAsia="zh-CN"/>
        </w:rPr>
        <w:instrText xml:space="preserve"> ADDIN ZOTERO_ITEM CSL_CITATION {"citationID":"EZcFWkDy","properties":{"formattedCitation":"(Brelsford et al., 2017)","plainCitation":"(Brelsford et al., 2017)","noteIndex":0},"citationItems":[{"id":2132,"uris":["http://zotero.org/users/10015936/items/AQ5SFGLN"],"itemData":{"id":2132,"type":"article-journal","abstract":"Rapid worldwide urbanization is at once the main cause and, potentially, the main solution to global sustainable development challenges. The growth of cities is typically associated with increases in socioeconomic productivity, but it also creates strong inequalities. Despite a growing body of evidence characterizing these heterogeneities in developed urban areas, not much is known systematically about their most extreme forms in developing cities and their consequences for sustainability. Here, we characterize the general patterns of income and access to services in a large number of developing cities, with an emphasis on an extensive, high-resolution analysis of the urban areas of Brazil and South Africa. We use detailed census data to construct sustainable development indices in hundreds of thousands of neighborhoods and show that their statistics are scale-dependent and point to the critical role of large cities in creating higher average incomes and greater access to services within their national context. We then quantify the general statistical trajectory toward universal basic service provision at different scales to show that it is characterized by varying levels of inequality, with initial increases in access being typically accompanied by growing disparities over characteristic spatial scales. These results demonstrate how extensions of these methods to other goals and data can be used over time and space to produce a simple but general quantitative assessment of progress toward internationally agreed sustainable development goals.","archive_location":"127 </w:instrText>
      </w:r>
      <w:r w:rsidR="00823F21">
        <w:rPr>
          <w:rFonts w:ascii="Segoe UI Emoji" w:hAnsi="Segoe UI Emoji" w:cs="Segoe UI Emoji"/>
          <w:lang w:eastAsia="zh-CN"/>
        </w:rPr>
        <w:instrText>📊</w:instrText>
      </w:r>
      <w:r w:rsidR="00823F21">
        <w:rPr>
          <w:lang w:eastAsia="zh-CN"/>
        </w:rPr>
        <w:instrText xml:space="preserve">","call-number":"1","container-title":"Proceedings of the National Academy of Sciences","DOI":"10.1073/pnas.1606033114","issue":"34","language":"en","note":"publisher: Proceedings of the National Academy of Sciences","page":"8963-8968","source":"11.1 (Q1)","title":"Heterogeneity and scale of sustainable development in cities","volume":"114","author":[{"family":"Brelsford","given":"Christa"},{"family":"Lobo","given":"José"},{"family":"Hand","given":"Joe"},{"family":"Bettencourt","given":"Luís M. A."}],"issued":{"date-parts":[["2017",8,22]]}}}],"schema":"https://github.com/citation-style-language/schema/raw/master/csl-citation.json"} </w:instrText>
      </w:r>
      <w:r w:rsidR="00823F21">
        <w:rPr>
          <w:lang w:eastAsia="zh-CN"/>
        </w:rPr>
        <w:fldChar w:fldCharType="separate"/>
      </w:r>
      <w:r w:rsidR="00823F21" w:rsidRPr="004E0B24">
        <w:t>(Brelsford et al., 2017)</w:t>
      </w:r>
      <w:r w:rsidR="00823F21">
        <w:rPr>
          <w:lang w:eastAsia="zh-CN"/>
        </w:rPr>
        <w:fldChar w:fldCharType="end"/>
      </w:r>
      <w:r w:rsidR="00823F21">
        <w:rPr>
          <w:lang w:eastAsia="zh-CN"/>
        </w:rPr>
        <w:t xml:space="preserve"> and Pandey et al. </w:t>
      </w:r>
      <w:r w:rsidR="00823F21">
        <w:rPr>
          <w:lang w:eastAsia="zh-CN"/>
        </w:rPr>
        <w:fldChar w:fldCharType="begin"/>
      </w:r>
      <w:r w:rsidR="00823F21">
        <w:rPr>
          <w:lang w:eastAsia="zh-CN"/>
        </w:rPr>
        <w:instrText xml:space="preserve"> ADDIN ZOTERO_ITEM CSL_CITATION {"citationID":"PIwtbOYw","properties":{"formattedCitation":"(Pandey et al., 2022)","plainCitation":"(Pandey et al., 2022)","noteIndex":0},"citationItems":[{"id":2024,"uris":["http://zotero.org/users/10015936/items/YNRBZHZD"],"itemData":{"id":2024,"type":"article-journal","abstract":"Urbanization can challenge sustainable development if it produces unequal outcomes. Infrastructure is an important urbanization dimension, providing services to support diverse urban activities. However, it can lock in unequal outcomes due to its durable nature. This paper studies inequalities in infrastructure distributions to derive insights into the structure and characteristics of unequal outcomes associated with urbanization. We analyzed infrastructure inequalities in two emerging economies in the Global South: India and South Africa. We developed and applied an inequality measure to understand the structure of inequality in infrastructure provisioning (based on census data) and infrastructure availability (based on satellite nighttime lights [NTLs] data). Consistent with differences in economic inequality, results show greater inequalities in South Africa than in India and greater urban inequalities than rural inequalities. Nevertheless, inequalities in urban infrastructure provisioning and infrastructure availability increase from finer to coarser spatial scales. NTL-based inequality measurements additionally show that inequalities are more concentrated at coarse spatial scales in India than in South Africa. Finally, results show that urban inequalities in infrastructure provisioning covary with urbanization levels conceptualized as a multidimensional phenomenon, including demographic, economic, and infrastructural dimensions. Similarly, inequalities in urban infrastructure availability increase monotonically with infrastructure development levels and urban population size. Together, these findings underscore infrastructure inequalities as a feature of urbanization and suggest that understanding urban inequalities requires applying an inequality lens to urbanization.","archive":"2023-11-16","archive_location":"30 </w:instrText>
      </w:r>
      <w:r w:rsidR="00823F21">
        <w:rPr>
          <w:rFonts w:ascii="Segoe UI Emoji" w:hAnsi="Segoe UI Emoji" w:cs="Segoe UI Emoji"/>
          <w:lang w:eastAsia="zh-CN"/>
        </w:rPr>
        <w:instrText>📊</w:instrText>
      </w:r>
      <w:r w:rsidR="00823F21">
        <w:rPr>
          <w:lang w:eastAsia="zh-CN"/>
        </w:rPr>
        <w:instrText xml:space="preserve">","call-number":"1","container-title":"Proceedings of the National Academy of Sciences","DOI":"10.1073/pnas.2119890119","issue":"15","language":"en","page":"e2119890119","source":"11.1 (Q1)","title":"Infrastructure inequality is a characteristic of urbanization","volume":"119","author":[{"family":"Pandey","given":"Bhartendu"},{"family":"Brelsford","given":"Christa"},{"family":"Seto","given":"Karen C."}],"issued":{"date-parts":[["2022",4,12]]}}}],"schema":"https://github.com/citation-style-language/schema/raw/master/csl-citation.json"} </w:instrText>
      </w:r>
      <w:r w:rsidR="00823F21">
        <w:rPr>
          <w:lang w:eastAsia="zh-CN"/>
        </w:rPr>
        <w:fldChar w:fldCharType="separate"/>
      </w:r>
      <w:r w:rsidR="00823F21" w:rsidRPr="004E0B24">
        <w:t>(Pandey et al., 2022)</w:t>
      </w:r>
      <w:r w:rsidR="00823F21">
        <w:rPr>
          <w:lang w:eastAsia="zh-CN"/>
        </w:rPr>
        <w:fldChar w:fldCharType="end"/>
      </w:r>
      <w:r w:rsidR="00823F21">
        <w:rPr>
          <w:lang w:eastAsia="zh-CN"/>
        </w:rPr>
        <w:t>.</w:t>
      </w:r>
      <w:r w:rsidR="00823F21" w:rsidRPr="002E3D16">
        <w:t xml:space="preserve"> </w:t>
      </w:r>
      <w:r w:rsidR="00823F21" w:rsidRPr="002E3D16">
        <w:rPr>
          <w:lang w:eastAsia="zh-CN"/>
        </w:rPr>
        <w:t xml:space="preserve">Given the prevalence of lower values and occasional extreme values in building heights within cities, we mitigated the influence of a few extremely high values by considering the top 95% of building heights for each city. We calculated the </w:t>
      </w:r>
      <w:r w:rsidR="00823F21">
        <w:rPr>
          <w:lang w:eastAsia="zh-CN"/>
        </w:rPr>
        <w:t>mean value</w:t>
      </w:r>
      <w:r w:rsidR="00823F21" w:rsidRPr="002E3D16">
        <w:rPr>
          <w:lang w:eastAsia="zh-CN"/>
        </w:rPr>
        <w:t xml:space="preserve"> and standard deviation of this top 95%, normalized the mean </w:t>
      </w:r>
      <w:r w:rsidR="00823F21">
        <w:rPr>
          <w:lang w:eastAsia="zh-CN"/>
        </w:rPr>
        <w:t xml:space="preserve">value </w:t>
      </w:r>
      <w:r w:rsidR="00823F21" w:rsidRPr="002E3D16">
        <w:rPr>
          <w:lang w:eastAsia="zh-CN"/>
        </w:rPr>
        <w:t xml:space="preserve">to a range between 0 and 1, and employed the normalized mean </w:t>
      </w:r>
      <w:r w:rsidR="00823F21">
        <w:rPr>
          <w:lang w:eastAsia="zh-CN"/>
        </w:rPr>
        <w:t xml:space="preserve">value </w:t>
      </w:r>
      <w:r w:rsidR="00823F21" w:rsidRPr="002E3D16">
        <w:rPr>
          <w:lang w:eastAsia="zh-CN"/>
        </w:rPr>
        <w:t xml:space="preserve">and standard deviation to assess the unevenness of building height distribution in each city (Eq. </w:t>
      </w:r>
      <w:r w:rsidR="00402507">
        <w:rPr>
          <w:lang w:eastAsia="zh-CN"/>
        </w:rPr>
        <w:t>12</w:t>
      </w:r>
      <w:r w:rsidR="00823F21" w:rsidRPr="002E3D16">
        <w:rPr>
          <w:lang w:eastAsia="zh-CN"/>
        </w:rPr>
        <w:t>).</w:t>
      </w:r>
    </w:p>
    <w:p w14:paraId="2B2BA962" w14:textId="245CB9F4" w:rsidR="00F77830" w:rsidRPr="00BA6A3E" w:rsidRDefault="00B65B80" w:rsidP="00F77830">
      <w:pPr>
        <w:rPr>
          <w:lang w:eastAsia="zh-CN"/>
        </w:rPr>
      </w:pPr>
      <m:oMathPara>
        <m:oMath>
          <m:eqArr>
            <m:eqArrPr>
              <m:maxDist m:val="1"/>
              <m:ctrlPr>
                <w:rPr>
                  <w:rFonts w:ascii="Cambria Math" w:hAnsi="Cambria Math"/>
                  <w:i/>
                  <w:lang w:eastAsia="zh-CN"/>
                </w:rPr>
              </m:ctrlPr>
            </m:eqArrPr>
            <m:e>
              <m:r>
                <w:rPr>
                  <w:rFonts w:ascii="Cambria Math" w:hAnsi="Cambria Math"/>
                  <w:lang w:eastAsia="zh-CN"/>
                </w:rPr>
                <m:t>I=</m:t>
              </m:r>
              <m:f>
                <m:fPr>
                  <m:ctrlPr>
                    <w:rPr>
                      <w:rFonts w:ascii="Cambria Math" w:hAnsi="Cambria Math"/>
                      <w:i/>
                      <w:lang w:eastAsia="zh-CN"/>
                    </w:rPr>
                  </m:ctrlPr>
                </m:fPr>
                <m:num>
                  <m:r>
                    <w:rPr>
                      <w:rFonts w:ascii="Cambria Math" w:hAnsi="Cambria Math"/>
                      <w:lang w:eastAsia="zh-CN"/>
                    </w:rPr>
                    <m:t>σ</m:t>
                  </m:r>
                </m:num>
                <m:den>
                  <m:rad>
                    <m:radPr>
                      <m:degHide m:val="1"/>
                      <m:ctrlPr>
                        <w:rPr>
                          <w:rFonts w:ascii="Cambria Math" w:hAnsi="Cambria Math"/>
                          <w:i/>
                          <w:lang w:eastAsia="zh-CN"/>
                        </w:rPr>
                      </m:ctrlPr>
                    </m:radPr>
                    <m:deg/>
                    <m:e>
                      <m:r>
                        <w:rPr>
                          <w:rFonts w:ascii="Cambria Math" w:hAnsi="Cambria Math"/>
                          <w:lang w:eastAsia="zh-CN"/>
                        </w:rPr>
                        <m:t>μ×</m:t>
                      </m:r>
                      <m:d>
                        <m:dPr>
                          <m:ctrlPr>
                            <w:rPr>
                              <w:rFonts w:ascii="Cambria Math" w:hAnsi="Cambria Math"/>
                              <w:i/>
                              <w:lang w:eastAsia="zh-CN"/>
                            </w:rPr>
                          </m:ctrlPr>
                        </m:dPr>
                        <m:e>
                          <m:r>
                            <w:rPr>
                              <w:rFonts w:ascii="Cambria Math" w:hAnsi="Cambria Math"/>
                              <w:lang w:eastAsia="zh-CN"/>
                            </w:rPr>
                            <m:t>1-μ</m:t>
                          </m:r>
                        </m:e>
                      </m:d>
                    </m:e>
                  </m:rad>
                </m:den>
              </m:f>
              <m:r>
                <w:rPr>
                  <w:rFonts w:ascii="Cambria Math" w:hAnsi="Cambria Math"/>
                  <w:lang w:eastAsia="zh-CN"/>
                </w:rPr>
                <m:t>;0&lt;μ&lt;1#</m:t>
              </m:r>
              <m:d>
                <m:dPr>
                  <m:ctrlPr>
                    <w:rPr>
                      <w:rFonts w:ascii="Cambria Math" w:hAnsi="Cambria Math"/>
                      <w:i/>
                      <w:lang w:eastAsia="zh-CN"/>
                    </w:rPr>
                  </m:ctrlPr>
                </m:dPr>
                <m:e>
                  <m:r>
                    <w:rPr>
                      <w:rFonts w:ascii="Cambria Math" w:hAnsi="Cambria Math"/>
                      <w:lang w:eastAsia="zh-CN"/>
                    </w:rPr>
                    <m:t>12</m:t>
                  </m:r>
                </m:e>
              </m:d>
            </m:e>
          </m:eqArr>
        </m:oMath>
      </m:oMathPara>
    </w:p>
    <w:p w14:paraId="34F4FF71" w14:textId="797D2AC2" w:rsidR="00685ADE" w:rsidRPr="00823F21" w:rsidRDefault="00823F21">
      <w:pPr>
        <w:rPr>
          <w:lang w:eastAsia="zh-CN"/>
        </w:rPr>
      </w:pPr>
      <w:r>
        <w:rPr>
          <w:lang w:eastAsia="zh-CN"/>
        </w:rPr>
        <w:t>W</w:t>
      </w:r>
      <w:r w:rsidRPr="00B61125">
        <w:rPr>
          <w:lang w:eastAsia="zh-CN"/>
        </w:rPr>
        <w:t xml:space="preserve">here </w:t>
      </w:r>
      <m:oMath>
        <m:r>
          <w:rPr>
            <w:rFonts w:ascii="Cambria Math" w:hAnsi="Cambria Math"/>
            <w:lang w:eastAsia="zh-CN"/>
          </w:rPr>
          <m:t>I</m:t>
        </m:r>
      </m:oMath>
      <w:r w:rsidRPr="00B61125">
        <w:rPr>
          <w:lang w:eastAsia="zh-CN"/>
        </w:rPr>
        <w:t xml:space="preserve"> </w:t>
      </w:r>
      <w:r>
        <w:rPr>
          <w:lang w:eastAsia="zh-CN"/>
        </w:rPr>
        <w:t>represents</w:t>
      </w:r>
      <w:r w:rsidRPr="00B61125">
        <w:rPr>
          <w:lang w:eastAsia="zh-CN"/>
        </w:rPr>
        <w:t xml:space="preserve"> the inequality index</w:t>
      </w:r>
      <w:r>
        <w:rPr>
          <w:lang w:eastAsia="zh-CN"/>
        </w:rPr>
        <w:t>,</w:t>
      </w:r>
      <w:r w:rsidRPr="00B61125">
        <w:rPr>
          <w:lang w:eastAsia="zh-CN"/>
        </w:rPr>
        <w:t xml:space="preserve"> ranging from 0 (lowest inequality) to 1 (highest inequality), and </w:t>
      </w:r>
      <m:oMath>
        <m:r>
          <w:rPr>
            <w:rFonts w:ascii="Cambria Math" w:hAnsi="Cambria Math"/>
            <w:lang w:eastAsia="zh-CN"/>
          </w:rPr>
          <m:t>μ</m:t>
        </m:r>
      </m:oMath>
      <w:r w:rsidRPr="00B61125">
        <w:rPr>
          <w:lang w:eastAsia="zh-CN"/>
        </w:rPr>
        <w:t xml:space="preserve"> and </w:t>
      </w:r>
      <m:oMath>
        <m:r>
          <w:rPr>
            <w:rFonts w:ascii="Cambria Math" w:hAnsi="Cambria Math"/>
            <w:lang w:eastAsia="zh-CN"/>
          </w:rPr>
          <m:t>σ</m:t>
        </m:r>
      </m:oMath>
      <w:r w:rsidRPr="00B61125">
        <w:rPr>
          <w:lang w:eastAsia="zh-CN"/>
        </w:rPr>
        <w:t xml:space="preserve"> </w:t>
      </w:r>
      <w:r>
        <w:rPr>
          <w:lang w:eastAsia="zh-CN"/>
        </w:rPr>
        <w:t>denote</w:t>
      </w:r>
      <w:r w:rsidRPr="00B61125">
        <w:rPr>
          <w:lang w:eastAsia="zh-CN"/>
        </w:rPr>
        <w:t xml:space="preserve"> the</w:t>
      </w:r>
      <w:r>
        <w:rPr>
          <w:lang w:eastAsia="zh-CN"/>
        </w:rPr>
        <w:t xml:space="preserve"> normalized</w:t>
      </w:r>
      <w:r w:rsidRPr="00B61125">
        <w:rPr>
          <w:lang w:eastAsia="zh-CN"/>
        </w:rPr>
        <w:t xml:space="preserve"> mean</w:t>
      </w:r>
      <w:r>
        <w:rPr>
          <w:lang w:eastAsia="zh-CN"/>
        </w:rPr>
        <w:t xml:space="preserve"> value</w:t>
      </w:r>
      <w:r w:rsidRPr="00B61125">
        <w:rPr>
          <w:lang w:eastAsia="zh-CN"/>
        </w:rPr>
        <w:t xml:space="preserve"> and </w:t>
      </w:r>
      <w:r w:rsidRPr="002E3D16">
        <w:rPr>
          <w:lang w:eastAsia="zh-CN"/>
        </w:rPr>
        <w:t xml:space="preserve">standard </w:t>
      </w:r>
      <w:r w:rsidRPr="002E3D16">
        <w:rPr>
          <w:lang w:eastAsia="zh-CN"/>
        </w:rPr>
        <w:lastRenderedPageBreak/>
        <w:t>deviation</w:t>
      </w:r>
      <w:r w:rsidRPr="00B61125">
        <w:rPr>
          <w:lang w:eastAsia="zh-CN"/>
        </w:rPr>
        <w:t>, respectively, of buil</w:t>
      </w:r>
      <w:r>
        <w:rPr>
          <w:lang w:eastAsia="zh-CN"/>
        </w:rPr>
        <w:t>ding</w:t>
      </w:r>
      <w:r w:rsidRPr="00B61125">
        <w:rPr>
          <w:lang w:eastAsia="zh-CN"/>
        </w:rPr>
        <w:t xml:space="preserve"> </w:t>
      </w:r>
      <w:r>
        <w:rPr>
          <w:lang w:eastAsia="zh-CN"/>
        </w:rPr>
        <w:t xml:space="preserve">height </w:t>
      </w:r>
      <w:r w:rsidRPr="00B61125">
        <w:rPr>
          <w:lang w:eastAsia="zh-CN"/>
        </w:rPr>
        <w:t xml:space="preserve">distributions constrained by an upper bound in each </w:t>
      </w:r>
      <w:r>
        <w:rPr>
          <w:lang w:eastAsia="zh-CN"/>
        </w:rPr>
        <w:t>city</w:t>
      </w:r>
      <w:r w:rsidRPr="00B61125">
        <w:rPr>
          <w:lang w:eastAsia="zh-CN"/>
        </w:rPr>
        <w:t>.</w:t>
      </w:r>
    </w:p>
    <w:p w14:paraId="4B503187" w14:textId="0DE25D48" w:rsidR="006B04ED" w:rsidRDefault="001A45D0" w:rsidP="001A2B73">
      <w:pPr>
        <w:pStyle w:val="1"/>
        <w:rPr>
          <w:lang w:eastAsia="zh-CN"/>
        </w:rPr>
      </w:pPr>
      <w:r w:rsidRPr="001A45D0">
        <w:rPr>
          <w:lang w:eastAsia="zh-CN"/>
        </w:rPr>
        <w:t>Accuracy validation of building height</w:t>
      </w:r>
    </w:p>
    <w:p w14:paraId="0A0B29DA" w14:textId="5B205B45" w:rsidR="00A8517E" w:rsidRDefault="00EB154D" w:rsidP="00A8517E">
      <w:pPr>
        <w:ind w:firstLine="420"/>
      </w:pPr>
      <w:r w:rsidRPr="00EB154D">
        <w:t xml:space="preserve">Supplementary </w:t>
      </w:r>
      <w:r>
        <w:t>f</w:t>
      </w:r>
      <w:r w:rsidRPr="00EB154D">
        <w:t>igure 3 illustrates the relationship between the heights predicted by the RF model and the reference heights for the regions: USA, China, Europe, and the union of these three regions.</w:t>
      </w:r>
      <w:r>
        <w:t xml:space="preserve"> </w:t>
      </w:r>
      <w:r w:rsidR="00A8517E" w:rsidRPr="00654F9E">
        <w:rPr>
          <w:lang w:eastAsia="zh-CN"/>
        </w:rPr>
        <w:t xml:space="preserve">Overall, the </w:t>
      </w:r>
      <w:r w:rsidR="006C485E">
        <w:rPr>
          <w:lang w:eastAsia="zh-CN"/>
        </w:rPr>
        <w:t>Bias</w:t>
      </w:r>
      <w:r w:rsidR="006C485E" w:rsidRPr="006C485E">
        <w:t xml:space="preserve"> </w:t>
      </w:r>
      <w:r w:rsidR="00A8517E" w:rsidRPr="00654F9E">
        <w:rPr>
          <w:lang w:eastAsia="zh-CN"/>
        </w:rPr>
        <w:t xml:space="preserve">for all four </w:t>
      </w:r>
      <w:r w:rsidR="00D64DCC">
        <w:rPr>
          <w:lang w:eastAsia="zh-CN"/>
        </w:rPr>
        <w:t>regions</w:t>
      </w:r>
      <w:r w:rsidR="00A8517E" w:rsidRPr="00654F9E">
        <w:rPr>
          <w:lang w:eastAsia="zh-CN"/>
        </w:rPr>
        <w:t xml:space="preserve"> </w:t>
      </w:r>
      <w:r w:rsidR="00A8517E">
        <w:rPr>
          <w:lang w:eastAsia="zh-CN"/>
        </w:rPr>
        <w:t>is</w:t>
      </w:r>
      <w:r w:rsidR="00A8517E" w:rsidRPr="00654F9E">
        <w:rPr>
          <w:lang w:eastAsia="zh-CN"/>
        </w:rPr>
        <w:t xml:space="preserve"> below </w:t>
      </w:r>
      <w:r w:rsidR="006C485E">
        <w:rPr>
          <w:rFonts w:hint="eastAsia"/>
          <w:lang w:eastAsia="zh-CN"/>
        </w:rPr>
        <w:t>±</w:t>
      </w:r>
      <w:r w:rsidR="006C485E">
        <w:rPr>
          <w:rFonts w:hint="eastAsia"/>
          <w:lang w:eastAsia="zh-CN"/>
        </w:rPr>
        <w:t>2</w:t>
      </w:r>
      <w:r w:rsidR="00A8517E" w:rsidRPr="00654F9E">
        <w:rPr>
          <w:lang w:eastAsia="zh-CN"/>
        </w:rPr>
        <w:t xml:space="preserve"> meters, with </w:t>
      </w:r>
      <w:r w:rsidR="006C485E">
        <w:rPr>
          <w:rFonts w:hint="eastAsia"/>
          <w:lang w:eastAsia="zh-CN"/>
        </w:rPr>
        <w:t>t</w:t>
      </w:r>
      <w:r w:rsidR="00A8517E">
        <w:rPr>
          <w:lang w:eastAsia="zh-CN"/>
        </w:rPr>
        <w:t xml:space="preserve">he </w:t>
      </w:r>
      <w:r w:rsidR="006C485E" w:rsidRPr="00654F9E">
        <w:t>Root Mean Square Error</w:t>
      </w:r>
      <w:r w:rsidR="006C485E" w:rsidRPr="00654F9E">
        <w:rPr>
          <w:lang w:eastAsia="zh-CN"/>
        </w:rPr>
        <w:t xml:space="preserve"> (RMSE) </w:t>
      </w:r>
      <w:r w:rsidR="00A8517E">
        <w:rPr>
          <w:lang w:eastAsia="zh-CN"/>
        </w:rPr>
        <w:t xml:space="preserve">the four cities ranges from </w:t>
      </w:r>
      <w:r w:rsidR="006C485E">
        <w:rPr>
          <w:lang w:eastAsia="zh-CN"/>
        </w:rPr>
        <w:t>3.308</w:t>
      </w:r>
      <w:r w:rsidR="00A8517E">
        <w:rPr>
          <w:lang w:eastAsia="zh-CN"/>
        </w:rPr>
        <w:t xml:space="preserve">m to </w:t>
      </w:r>
      <w:r w:rsidR="006C485E">
        <w:rPr>
          <w:lang w:eastAsia="zh-CN"/>
        </w:rPr>
        <w:t>1</w:t>
      </w:r>
      <w:r w:rsidR="00A8517E">
        <w:rPr>
          <w:lang w:eastAsia="zh-CN"/>
        </w:rPr>
        <w:t>1.</w:t>
      </w:r>
      <w:r w:rsidR="006C485E">
        <w:rPr>
          <w:lang w:eastAsia="zh-CN"/>
        </w:rPr>
        <w:t>770</w:t>
      </w:r>
      <w:r w:rsidR="00A8517E">
        <w:rPr>
          <w:lang w:eastAsia="zh-CN"/>
        </w:rPr>
        <w:t>m</w:t>
      </w:r>
      <w:r w:rsidR="00A8517E" w:rsidRPr="00654F9E">
        <w:rPr>
          <w:lang w:eastAsia="zh-CN"/>
        </w:rPr>
        <w:t>.</w:t>
      </w:r>
      <w:r w:rsidR="00A8517E" w:rsidRPr="00654F9E">
        <w:t xml:space="preserve"> The results show that the proposed model in this study is suitable for </w:t>
      </w:r>
      <w:r w:rsidR="00A8517E">
        <w:t>extracting</w:t>
      </w:r>
      <w:r w:rsidR="00A8517E" w:rsidRPr="00654F9E">
        <w:t xml:space="preserve"> building heights in different continents and geographic contexts. The color of points represents the point density of the pixel area, where the color changes from purple to green to yellow</w:t>
      </w:r>
      <w:r w:rsidR="00A8517E">
        <w:t>,</w:t>
      </w:r>
      <w:r w:rsidR="00A8517E" w:rsidRPr="00654F9E">
        <w:t xml:space="preserve"> representing a gradual increase in dot density. A cross-comparison of the four cities reveals that the yellow dots, representing the maximum density in each </w:t>
      </w:r>
      <w:r w:rsidR="00D64DCC">
        <w:t>region</w:t>
      </w:r>
      <w:r w:rsidR="00A8517E" w:rsidRPr="00654F9E">
        <w:t xml:space="preserve">, cluster around </w:t>
      </w:r>
      <w:r w:rsidR="00F86273">
        <w:t>6</w:t>
      </w:r>
      <w:r w:rsidR="00A8517E" w:rsidRPr="00654F9E">
        <w:t xml:space="preserve"> m (</w:t>
      </w:r>
      <w:r w:rsidR="00F86273">
        <w:t>USA)</w:t>
      </w:r>
      <w:r w:rsidR="00A8517E" w:rsidRPr="00654F9E">
        <w:t>, 1</w:t>
      </w:r>
      <w:r w:rsidR="00F86273">
        <w:t>5</w:t>
      </w:r>
      <w:r w:rsidR="00A8517E" w:rsidRPr="00654F9E">
        <w:t xml:space="preserve"> m (</w:t>
      </w:r>
      <w:r w:rsidR="00F86273">
        <w:t>China</w:t>
      </w:r>
      <w:r w:rsidR="00A8517E" w:rsidRPr="00654F9E">
        <w:t>), 1</w:t>
      </w:r>
      <w:r w:rsidR="00A8517E">
        <w:t>2</w:t>
      </w:r>
      <w:r w:rsidR="00A8517E" w:rsidRPr="00654F9E">
        <w:t xml:space="preserve"> m (</w:t>
      </w:r>
      <w:r w:rsidR="00F86273">
        <w:t>Europe</w:t>
      </w:r>
      <w:r w:rsidR="00A8517E" w:rsidRPr="00654F9E">
        <w:t xml:space="preserve">), and </w:t>
      </w:r>
      <w:r w:rsidR="00F86273">
        <w:t>9</w:t>
      </w:r>
      <w:r w:rsidR="00A8517E" w:rsidRPr="00654F9E">
        <w:t xml:space="preserve"> m (</w:t>
      </w:r>
      <w:r w:rsidR="00F86273">
        <w:t>all</w:t>
      </w:r>
      <w:r w:rsidR="00A8517E" w:rsidRPr="00654F9E">
        <w:t xml:space="preserve">), indicating the predominant building heights within these </w:t>
      </w:r>
      <w:r w:rsidR="00D64DCC">
        <w:t>regions</w:t>
      </w:r>
      <w:r w:rsidR="00A8517E" w:rsidRPr="00654F9E">
        <w:t>.</w:t>
      </w:r>
      <w:r w:rsidR="00A8517E" w:rsidRPr="004914B2">
        <w:t xml:space="preserve"> The area with the highest point density aligns closely with the 1:1 line, indicating that the predicted results for most pixels in each </w:t>
      </w:r>
      <w:r w:rsidR="00D64DCC">
        <w:t>region</w:t>
      </w:r>
      <w:r w:rsidR="00A8517E" w:rsidRPr="004914B2">
        <w:t xml:space="preserve"> are quite accurate.</w:t>
      </w:r>
    </w:p>
    <w:p w14:paraId="4393A2D1" w14:textId="3EAD5D22" w:rsidR="006B04ED" w:rsidRDefault="00F06B48">
      <w:r>
        <w:rPr>
          <w:noProof/>
        </w:rPr>
        <w:lastRenderedPageBreak/>
        <w:drawing>
          <wp:inline distT="0" distB="0" distL="0" distR="0" wp14:anchorId="2025C3AD" wp14:editId="2A2DEB6C">
            <wp:extent cx="5267325" cy="36004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67325" cy="3600450"/>
                    </a:xfrm>
                    <a:prstGeom prst="rect">
                      <a:avLst/>
                    </a:prstGeom>
                    <a:noFill/>
                    <a:ln>
                      <a:noFill/>
                    </a:ln>
                  </pic:spPr>
                </pic:pic>
              </a:graphicData>
            </a:graphic>
          </wp:inline>
        </w:drawing>
      </w:r>
    </w:p>
    <w:p w14:paraId="0D95DE0F" w14:textId="53971DC2" w:rsidR="006E0BA8" w:rsidRPr="00C60136" w:rsidRDefault="006E0BA8" w:rsidP="006E0BA8">
      <w:pPr>
        <w:spacing w:line="240" w:lineRule="auto"/>
        <w:jc w:val="center"/>
        <w:rPr>
          <w:rFonts w:eastAsiaTheme="minorEastAsia" w:cstheme="minorBidi"/>
          <w:sz w:val="20"/>
          <w:szCs w:val="20"/>
          <w:lang w:eastAsia="zh-CN"/>
        </w:rPr>
      </w:pPr>
      <w:r w:rsidRPr="00C60136">
        <w:rPr>
          <w:rFonts w:eastAsiaTheme="minorEastAsia" w:cstheme="minorBidi" w:hint="eastAsia"/>
          <w:sz w:val="20"/>
          <w:szCs w:val="20"/>
          <w:lang w:eastAsia="zh-CN"/>
        </w:rPr>
        <w:t>S</w:t>
      </w:r>
      <w:r w:rsidRPr="00C60136">
        <w:rPr>
          <w:rFonts w:eastAsiaTheme="minorEastAsia" w:cstheme="minorBidi"/>
          <w:sz w:val="20"/>
          <w:szCs w:val="20"/>
          <w:lang w:eastAsia="zh-CN"/>
        </w:rPr>
        <w:t>upplementary figure</w:t>
      </w:r>
      <w:r>
        <w:rPr>
          <w:rFonts w:eastAsiaTheme="minorEastAsia" w:cstheme="minorBidi"/>
          <w:sz w:val="20"/>
          <w:szCs w:val="20"/>
          <w:lang w:eastAsia="zh-CN"/>
        </w:rPr>
        <w:t xml:space="preserve"> 3. </w:t>
      </w:r>
      <w:r w:rsidRPr="00411953">
        <w:rPr>
          <w:rFonts w:eastAsiaTheme="minorEastAsia" w:cstheme="minorBidi"/>
          <w:sz w:val="20"/>
          <w:szCs w:val="20"/>
          <w:lang w:eastAsia="zh-CN"/>
        </w:rPr>
        <w:t xml:space="preserve">Illustration of </w:t>
      </w:r>
      <w:r>
        <w:rPr>
          <w:rFonts w:eastAsiaTheme="minorEastAsia" w:cstheme="minorBidi"/>
          <w:sz w:val="20"/>
          <w:szCs w:val="20"/>
          <w:lang w:eastAsia="zh-CN"/>
        </w:rPr>
        <w:t>s</w:t>
      </w:r>
      <w:r w:rsidRPr="00411953">
        <w:rPr>
          <w:rFonts w:eastAsiaTheme="minorEastAsia" w:cstheme="minorBidi"/>
          <w:sz w:val="20"/>
          <w:szCs w:val="20"/>
          <w:lang w:eastAsia="zh-CN"/>
        </w:rPr>
        <w:t xml:space="preserve">ample </w:t>
      </w:r>
      <w:r>
        <w:rPr>
          <w:rFonts w:eastAsiaTheme="minorEastAsia" w:cstheme="minorBidi"/>
          <w:sz w:val="20"/>
          <w:szCs w:val="20"/>
          <w:lang w:eastAsia="zh-CN"/>
        </w:rPr>
        <w:t>s</w:t>
      </w:r>
      <w:r w:rsidRPr="00411953">
        <w:rPr>
          <w:rFonts w:eastAsiaTheme="minorEastAsia" w:cstheme="minorBidi"/>
          <w:sz w:val="20"/>
          <w:szCs w:val="20"/>
          <w:lang w:eastAsia="zh-CN"/>
        </w:rPr>
        <w:t xml:space="preserve">election </w:t>
      </w:r>
      <w:r>
        <w:rPr>
          <w:rFonts w:eastAsiaTheme="minorEastAsia" w:cstheme="minorBidi"/>
          <w:sz w:val="20"/>
          <w:szCs w:val="20"/>
          <w:lang w:eastAsia="zh-CN"/>
        </w:rPr>
        <w:t>m</w:t>
      </w:r>
      <w:r w:rsidRPr="00411953">
        <w:rPr>
          <w:rFonts w:eastAsiaTheme="minorEastAsia" w:cstheme="minorBidi"/>
          <w:sz w:val="20"/>
          <w:szCs w:val="20"/>
          <w:lang w:eastAsia="zh-CN"/>
        </w:rPr>
        <w:t>ethods</w:t>
      </w:r>
      <w:r w:rsidRPr="00806799">
        <w:rPr>
          <w:rFonts w:eastAsiaTheme="minorEastAsia" w:cstheme="minorBidi"/>
          <w:sz w:val="20"/>
          <w:szCs w:val="20"/>
          <w:lang w:eastAsia="zh-CN"/>
        </w:rPr>
        <w:t>.</w:t>
      </w:r>
    </w:p>
    <w:p w14:paraId="53B92127" w14:textId="0039AA71" w:rsidR="00F77830" w:rsidRPr="006E0BA8" w:rsidRDefault="00F77830"/>
    <w:p w14:paraId="7D7B8620" w14:textId="77777777" w:rsidR="00F77830" w:rsidRDefault="00F77830" w:rsidP="00F77830">
      <w:pPr>
        <w:pStyle w:val="1"/>
        <w:rPr>
          <w:lang w:eastAsia="zh-CN"/>
        </w:rPr>
      </w:pPr>
      <w:r>
        <w:rPr>
          <w:rFonts w:hint="eastAsia"/>
          <w:lang w:eastAsia="zh-CN"/>
        </w:rPr>
        <w:t>R</w:t>
      </w:r>
      <w:r>
        <w:rPr>
          <w:lang w:eastAsia="zh-CN"/>
        </w:rPr>
        <w:t>eferences</w:t>
      </w:r>
    </w:p>
    <w:p w14:paraId="3B5B6B4B" w14:textId="77777777" w:rsidR="002D7804" w:rsidRPr="002D7804" w:rsidRDefault="00F77830" w:rsidP="002D7804">
      <w:pPr>
        <w:pStyle w:val="ae"/>
      </w:pPr>
      <w:r>
        <w:fldChar w:fldCharType="begin"/>
      </w:r>
      <w:r w:rsidR="006E101F">
        <w:instrText xml:space="preserve"> ADDIN ZOTERO_BIBL {"uncited":[],"omitted":[],"custom":[]} CSL_BIBLIOGRAPHY </w:instrText>
      </w:r>
      <w:r>
        <w:fldChar w:fldCharType="separate"/>
      </w:r>
      <w:r w:rsidR="002D7804" w:rsidRPr="002D7804">
        <w:t xml:space="preserve">Arévalo, P., Bullock, E. L., Woodcock, C. E., &amp; Olofsson, P. (2020). A Suite of Tools for Continuous Land Change Monitoring in Google Earth Engine. </w:t>
      </w:r>
      <w:r w:rsidR="002D7804" w:rsidRPr="002D7804">
        <w:rPr>
          <w:i/>
          <w:iCs/>
        </w:rPr>
        <w:t>Frontiers in Climate</w:t>
      </w:r>
      <w:r w:rsidR="002D7804" w:rsidRPr="002D7804">
        <w:t xml:space="preserve">, </w:t>
      </w:r>
      <w:r w:rsidR="002D7804" w:rsidRPr="002D7804">
        <w:rPr>
          <w:i/>
          <w:iCs/>
        </w:rPr>
        <w:t>2</w:t>
      </w:r>
      <w:r w:rsidR="002D7804" w:rsidRPr="002D7804">
        <w:t>. https://doi.org/10.3389/fclim.2020.576740</w:t>
      </w:r>
    </w:p>
    <w:p w14:paraId="3D2FE959" w14:textId="77777777" w:rsidR="002D7804" w:rsidRPr="002D7804" w:rsidRDefault="002D7804" w:rsidP="002D7804">
      <w:pPr>
        <w:pStyle w:val="ae"/>
      </w:pPr>
      <w:r w:rsidRPr="002D7804">
        <w:t xml:space="preserve">Brelsford, C., Lobo, J., Hand, J., &amp; Bettencourt, L. M. A. (2017). Heterogeneity and scale of sustainable development in cities. </w:t>
      </w:r>
      <w:r w:rsidRPr="002D7804">
        <w:rPr>
          <w:i/>
          <w:iCs/>
        </w:rPr>
        <w:t>Proceedings of the National Academy of Sciences</w:t>
      </w:r>
      <w:r w:rsidRPr="002D7804">
        <w:t xml:space="preserve">, </w:t>
      </w:r>
      <w:r w:rsidRPr="002D7804">
        <w:rPr>
          <w:i/>
          <w:iCs/>
        </w:rPr>
        <w:t>114</w:t>
      </w:r>
      <w:r w:rsidRPr="002D7804">
        <w:t>(34), 8963–8968. https://doi.org/10.1073/pnas.1606033114</w:t>
      </w:r>
    </w:p>
    <w:p w14:paraId="7217D1A6" w14:textId="77777777" w:rsidR="002D7804" w:rsidRPr="002D7804" w:rsidRDefault="002D7804" w:rsidP="002D7804">
      <w:pPr>
        <w:pStyle w:val="ae"/>
      </w:pPr>
      <w:r w:rsidRPr="002D7804">
        <w:t xml:space="preserve">Chen, J., Gao, M., Cheng, S., Hou, W., Song, M., Liu, X., &amp; Liu, Y. (2022). Global 1 km × 1 km gridded revised real gross domestic product and electricity </w:t>
      </w:r>
      <w:r w:rsidRPr="002D7804">
        <w:lastRenderedPageBreak/>
        <w:t xml:space="preserve">consumption during 1992–2019 based on calibrated nighttime light data. </w:t>
      </w:r>
      <w:r w:rsidRPr="002D7804">
        <w:rPr>
          <w:i/>
          <w:iCs/>
        </w:rPr>
        <w:t>Scientific Data</w:t>
      </w:r>
      <w:r w:rsidRPr="002D7804">
        <w:t xml:space="preserve">, </w:t>
      </w:r>
      <w:r w:rsidRPr="002D7804">
        <w:rPr>
          <w:i/>
          <w:iCs/>
        </w:rPr>
        <w:t>9</w:t>
      </w:r>
      <w:r w:rsidRPr="002D7804">
        <w:t>(1), Article 1. https://doi.org/10.1038/s41597-022-01322-5</w:t>
      </w:r>
    </w:p>
    <w:p w14:paraId="16D2B0BD" w14:textId="77777777" w:rsidR="002D7804" w:rsidRPr="002D7804" w:rsidRDefault="002D7804" w:rsidP="002D7804">
      <w:pPr>
        <w:pStyle w:val="ae"/>
      </w:pPr>
      <w:r w:rsidRPr="002D7804">
        <w:t xml:space="preserve">Dai, K., Li, Z., Tomás, R., Liu, G., Yu, B., Wang, X., Cheng, H., Chen, J., &amp; Stockamp, J. (2016). Monitoring activity at the Daguangbao mega-landslide (China) using Sentinel-1 TOPS time series interferometry. </w:t>
      </w:r>
      <w:r w:rsidRPr="002D7804">
        <w:rPr>
          <w:i/>
          <w:iCs/>
        </w:rPr>
        <w:t>Remote Sensing of Environment</w:t>
      </w:r>
      <w:r w:rsidRPr="002D7804">
        <w:t xml:space="preserve">, </w:t>
      </w:r>
      <w:r w:rsidRPr="002D7804">
        <w:rPr>
          <w:i/>
          <w:iCs/>
        </w:rPr>
        <w:t>186</w:t>
      </w:r>
      <w:r w:rsidRPr="002D7804">
        <w:t>, 501–513. https://doi.org/10.1016/j.rse.2016.09.009</w:t>
      </w:r>
    </w:p>
    <w:p w14:paraId="2BD2F7A3" w14:textId="77777777" w:rsidR="002D7804" w:rsidRPr="002D7804" w:rsidRDefault="002D7804" w:rsidP="002D7804">
      <w:pPr>
        <w:pStyle w:val="ae"/>
      </w:pPr>
      <w:r w:rsidRPr="002D7804">
        <w:t xml:space="preserve">Deng, C., &amp; Zhu, Z. (2020). Continuous subpixel monitoring of urban impervious surface using Landsat time series. </w:t>
      </w:r>
      <w:r w:rsidRPr="002D7804">
        <w:rPr>
          <w:i/>
          <w:iCs/>
        </w:rPr>
        <w:t>Remote Sensing of Environment</w:t>
      </w:r>
      <w:r w:rsidRPr="002D7804">
        <w:t xml:space="preserve">, </w:t>
      </w:r>
      <w:r w:rsidRPr="002D7804">
        <w:rPr>
          <w:i/>
          <w:iCs/>
        </w:rPr>
        <w:t>238</w:t>
      </w:r>
      <w:r w:rsidRPr="002D7804">
        <w:t>, 110929. https://doi.org/10.1016/j.rse.2018.10.011</w:t>
      </w:r>
    </w:p>
    <w:p w14:paraId="5772EBCD" w14:textId="77777777" w:rsidR="002D7804" w:rsidRPr="002D7804" w:rsidRDefault="002D7804" w:rsidP="002D7804">
      <w:pPr>
        <w:pStyle w:val="ae"/>
      </w:pPr>
      <w:r w:rsidRPr="002D7804">
        <w:t xml:space="preserve">Elvidge, C. D., Zhizhin, M., Ghosh, T., Hsu, F.-C., &amp; Taneja, J. (2021). Annual Time Series of Global VIIRS Nighttime Lights Derived from Monthly Averages: 2012 to 2019. </w:t>
      </w:r>
      <w:r w:rsidRPr="002D7804">
        <w:rPr>
          <w:i/>
          <w:iCs/>
        </w:rPr>
        <w:t>Remote Sensing</w:t>
      </w:r>
      <w:r w:rsidRPr="002D7804">
        <w:t xml:space="preserve">, </w:t>
      </w:r>
      <w:r w:rsidRPr="002D7804">
        <w:rPr>
          <w:i/>
          <w:iCs/>
        </w:rPr>
        <w:t>13</w:t>
      </w:r>
      <w:r w:rsidRPr="002D7804">
        <w:t>(5), Article 5. https://doi.org/10.3390/rs13050922</w:t>
      </w:r>
    </w:p>
    <w:p w14:paraId="6ECCEB2A" w14:textId="77777777" w:rsidR="002D7804" w:rsidRPr="002D7804" w:rsidRDefault="002D7804" w:rsidP="002D7804">
      <w:pPr>
        <w:pStyle w:val="ae"/>
      </w:pPr>
      <w:r w:rsidRPr="002D7804">
        <w:t xml:space="preserve">Frantz, D., Schug, F., Okujeni, A., Navacchi, C., Wagner, W., van der Linden, S., &amp; Hostert, P. (2021). National-scale mapping of building height using Sentinel-1 and Sentinel-2 time series. </w:t>
      </w:r>
      <w:r w:rsidRPr="002D7804">
        <w:rPr>
          <w:i/>
          <w:iCs/>
        </w:rPr>
        <w:t>Remote Sensing of Environment</w:t>
      </w:r>
      <w:r w:rsidRPr="002D7804">
        <w:t xml:space="preserve">, </w:t>
      </w:r>
      <w:r w:rsidRPr="002D7804">
        <w:rPr>
          <w:i/>
          <w:iCs/>
        </w:rPr>
        <w:t>252</w:t>
      </w:r>
      <w:r w:rsidRPr="002D7804">
        <w:t>, 112128. https://doi.org/10.1016/j.rse.2020.112128</w:t>
      </w:r>
    </w:p>
    <w:p w14:paraId="4666A657" w14:textId="77777777" w:rsidR="002D7804" w:rsidRPr="002D7804" w:rsidRDefault="002D7804" w:rsidP="002D7804">
      <w:pPr>
        <w:pStyle w:val="ae"/>
      </w:pPr>
      <w:r w:rsidRPr="002D7804">
        <w:t xml:space="preserve">Gislason, P. O., Benediktsson, J. A., &amp; Sveinsson, J. R. (2006). Random Forests for land cover classification. </w:t>
      </w:r>
      <w:r w:rsidRPr="002D7804">
        <w:rPr>
          <w:i/>
          <w:iCs/>
        </w:rPr>
        <w:t>Pattern Recognition Letters</w:t>
      </w:r>
      <w:r w:rsidRPr="002D7804">
        <w:t xml:space="preserve">, </w:t>
      </w:r>
      <w:r w:rsidRPr="002D7804">
        <w:rPr>
          <w:i/>
          <w:iCs/>
        </w:rPr>
        <w:t>27</w:t>
      </w:r>
      <w:r w:rsidRPr="002D7804">
        <w:t>(4), 294–300. https://doi.org/10.1016/j.patrec.2005.08.011</w:t>
      </w:r>
    </w:p>
    <w:p w14:paraId="6B0829A6" w14:textId="77777777" w:rsidR="002D7804" w:rsidRPr="002D7804" w:rsidRDefault="002D7804" w:rsidP="002D7804">
      <w:pPr>
        <w:pStyle w:val="ae"/>
      </w:pPr>
      <w:r w:rsidRPr="002D7804">
        <w:lastRenderedPageBreak/>
        <w:t xml:space="preserve">Gong, P., Li, X., Wang, J., Bai, Y., Chen, B., Hu, T., Liu, X., Xu, B., Yang, J., Zhang, W., &amp; Zhou, Y. (2020). Annual maps of global artificial impervious area (GAIA) between 1985 and 2018. </w:t>
      </w:r>
      <w:r w:rsidRPr="002D7804">
        <w:rPr>
          <w:i/>
          <w:iCs/>
        </w:rPr>
        <w:t>Remote Sensing of Environment</w:t>
      </w:r>
      <w:r w:rsidRPr="002D7804">
        <w:t xml:space="preserve">, </w:t>
      </w:r>
      <w:r w:rsidRPr="002D7804">
        <w:rPr>
          <w:i/>
          <w:iCs/>
        </w:rPr>
        <w:t>236</w:t>
      </w:r>
      <w:r w:rsidRPr="002D7804">
        <w:t>, 111510. https://doi.org/10.1016/j.rse.2019.111510</w:t>
      </w:r>
    </w:p>
    <w:p w14:paraId="3332C189" w14:textId="77777777" w:rsidR="002D7804" w:rsidRPr="002D7804" w:rsidRDefault="002D7804" w:rsidP="002D7804">
      <w:pPr>
        <w:pStyle w:val="ae"/>
      </w:pPr>
      <w:r w:rsidRPr="002D7804">
        <w:t xml:space="preserve">Gorelick, N., Hancher, M., Dixon, M., Ilyushchenko, S., Thau, D., &amp; Moore, R. (2017). Google Earth Engine: Planetary-scale geospatial analysis for everyone. </w:t>
      </w:r>
      <w:r w:rsidRPr="002D7804">
        <w:rPr>
          <w:i/>
          <w:iCs/>
        </w:rPr>
        <w:t>Remote Sensing of Environment</w:t>
      </w:r>
      <w:r w:rsidRPr="002D7804">
        <w:t xml:space="preserve">, </w:t>
      </w:r>
      <w:r w:rsidRPr="002D7804">
        <w:rPr>
          <w:i/>
          <w:iCs/>
        </w:rPr>
        <w:t>202</w:t>
      </w:r>
      <w:r w:rsidRPr="002D7804">
        <w:t>, 18–27.</w:t>
      </w:r>
    </w:p>
    <w:p w14:paraId="3D3784E7" w14:textId="77777777" w:rsidR="002D7804" w:rsidRPr="002D7804" w:rsidRDefault="002D7804" w:rsidP="002D7804">
      <w:pPr>
        <w:pStyle w:val="ae"/>
      </w:pPr>
      <w:r w:rsidRPr="002D7804">
        <w:t xml:space="preserve">Guan, H., Li, J., Chapman, M., Deng, F., Ji, Z., &amp; Yang, X. (2013). Integration of orthoimagery and lidar data for object-based urban thematic mapping using random forests. </w:t>
      </w:r>
      <w:r w:rsidRPr="002D7804">
        <w:rPr>
          <w:i/>
          <w:iCs/>
        </w:rPr>
        <w:t>International Journal of Remote Sensing</w:t>
      </w:r>
      <w:r w:rsidRPr="002D7804">
        <w:t xml:space="preserve">, </w:t>
      </w:r>
      <w:r w:rsidRPr="002D7804">
        <w:rPr>
          <w:i/>
          <w:iCs/>
        </w:rPr>
        <w:t>34</w:t>
      </w:r>
      <w:r w:rsidRPr="002D7804">
        <w:t>(14), 5166–5186. https://doi.org/10.1080/01431161.2013.788261</w:t>
      </w:r>
    </w:p>
    <w:p w14:paraId="15F26D7C" w14:textId="77777777" w:rsidR="002D7804" w:rsidRPr="002D7804" w:rsidRDefault="002D7804" w:rsidP="002D7804">
      <w:pPr>
        <w:pStyle w:val="ae"/>
      </w:pPr>
      <w:r w:rsidRPr="002D7804">
        <w:t xml:space="preserve">He, T., Wang, K., Xiao, W., Xu, S., Li, M., Yang, R., &amp; Yue, W. (2023). Global 30 meters spatiotemporal 3D urban expansion dataset from 1990 to 2010. </w:t>
      </w:r>
      <w:r w:rsidRPr="002D7804">
        <w:rPr>
          <w:i/>
          <w:iCs/>
        </w:rPr>
        <w:t>Scientific Data</w:t>
      </w:r>
      <w:r w:rsidRPr="002D7804">
        <w:t xml:space="preserve">, </w:t>
      </w:r>
      <w:r w:rsidRPr="002D7804">
        <w:rPr>
          <w:i/>
          <w:iCs/>
        </w:rPr>
        <w:t>10</w:t>
      </w:r>
      <w:r w:rsidRPr="002D7804">
        <w:t>(1), Article 1. https://doi.org/10.1038/s41597-023-02240-w</w:t>
      </w:r>
    </w:p>
    <w:p w14:paraId="105EE02D" w14:textId="77777777" w:rsidR="002D7804" w:rsidRPr="002D7804" w:rsidRDefault="002D7804" w:rsidP="002D7804">
      <w:pPr>
        <w:pStyle w:val="ae"/>
      </w:pPr>
      <w:r w:rsidRPr="002D7804">
        <w:t xml:space="preserve">Huete, A., Didan, K., Miura, T., Rodriguez, E. P., Gao, X., &amp; Ferreira, L. G. (2002). Overview of the radiometric and biophysical performance of the MODIS vegetation indices. </w:t>
      </w:r>
      <w:r w:rsidRPr="002D7804">
        <w:rPr>
          <w:i/>
          <w:iCs/>
        </w:rPr>
        <w:t>Remote Sensing of Environment</w:t>
      </w:r>
      <w:r w:rsidRPr="002D7804">
        <w:t xml:space="preserve">, </w:t>
      </w:r>
      <w:r w:rsidRPr="002D7804">
        <w:rPr>
          <w:i/>
          <w:iCs/>
        </w:rPr>
        <w:t>83</w:t>
      </w:r>
      <w:r w:rsidRPr="002D7804">
        <w:t>(1–2), 195–213. https://doi.org/10.1016/S0034-4257(02)00096-2</w:t>
      </w:r>
    </w:p>
    <w:p w14:paraId="22CAE5AE" w14:textId="77777777" w:rsidR="002D7804" w:rsidRPr="002D7804" w:rsidRDefault="002D7804" w:rsidP="002D7804">
      <w:pPr>
        <w:pStyle w:val="ae"/>
      </w:pPr>
      <w:r w:rsidRPr="002D7804">
        <w:t xml:space="preserve">Lang, N., Jetz, W., Schindler, K., &amp; Wegner, J. D. (2022). </w:t>
      </w:r>
      <w:r w:rsidRPr="002D7804">
        <w:rPr>
          <w:i/>
          <w:iCs/>
        </w:rPr>
        <w:t>A high-resolution canopy height model of the Earth</w:t>
      </w:r>
      <w:r w:rsidRPr="002D7804">
        <w:t xml:space="preserve"> (arXiv:2204.08322). arXiv. https://doi.org/10.48550/arXiv.2204.08322</w:t>
      </w:r>
    </w:p>
    <w:p w14:paraId="5CDA1B0D" w14:textId="77777777" w:rsidR="002D7804" w:rsidRPr="002D7804" w:rsidRDefault="002D7804" w:rsidP="002D7804">
      <w:pPr>
        <w:pStyle w:val="ae"/>
      </w:pPr>
      <w:r w:rsidRPr="002D7804">
        <w:lastRenderedPageBreak/>
        <w:t xml:space="preserve">Lawrence, R. L., Wood, S. D., &amp; Sheley, R. L. (2006). Mapping invasive plants using hyperspectral imagery and Breiman Cutler classifications (randomForest). </w:t>
      </w:r>
      <w:r w:rsidRPr="002D7804">
        <w:rPr>
          <w:i/>
          <w:iCs/>
        </w:rPr>
        <w:t>Remote Sensing of Environment</w:t>
      </w:r>
      <w:r w:rsidRPr="002D7804">
        <w:t xml:space="preserve">, </w:t>
      </w:r>
      <w:r w:rsidRPr="002D7804">
        <w:rPr>
          <w:i/>
          <w:iCs/>
        </w:rPr>
        <w:t>100</w:t>
      </w:r>
      <w:r w:rsidRPr="002D7804">
        <w:t>(3), 356–362. https://doi.org/10.1016/j.rse.2005.10.014</w:t>
      </w:r>
    </w:p>
    <w:p w14:paraId="364CAF92" w14:textId="77777777" w:rsidR="002D7804" w:rsidRPr="002D7804" w:rsidRDefault="002D7804" w:rsidP="002D7804">
      <w:pPr>
        <w:pStyle w:val="ae"/>
      </w:pPr>
      <w:r w:rsidRPr="002D7804">
        <w:t xml:space="preserve">Li, M., Koks, E., Taubenböck, H., &amp; van Vliet, J. (2020). Continental-scale mapping and analysis of 3D building structure. </w:t>
      </w:r>
      <w:r w:rsidRPr="002D7804">
        <w:rPr>
          <w:i/>
          <w:iCs/>
        </w:rPr>
        <w:t>Remote Sensing of Environment</w:t>
      </w:r>
      <w:r w:rsidRPr="002D7804">
        <w:t xml:space="preserve">, </w:t>
      </w:r>
      <w:r w:rsidRPr="002D7804">
        <w:rPr>
          <w:i/>
          <w:iCs/>
        </w:rPr>
        <w:t>245</w:t>
      </w:r>
      <w:r w:rsidRPr="002D7804">
        <w:t>, 111859. https://doi.org/10.1016/j.rse.2020.111859</w:t>
      </w:r>
    </w:p>
    <w:p w14:paraId="36F83275" w14:textId="77777777" w:rsidR="002D7804" w:rsidRPr="002D7804" w:rsidRDefault="002D7804" w:rsidP="002D7804">
      <w:pPr>
        <w:pStyle w:val="ae"/>
      </w:pPr>
      <w:r w:rsidRPr="002D7804">
        <w:t xml:space="preserve">Li, M., Wang, Y., Rosier, J. F., Verburg, P. H., &amp; van Vliet, J. (2022). Global maps of 3D built-up patterns for urban morphological analysis. </w:t>
      </w:r>
      <w:r w:rsidRPr="002D7804">
        <w:rPr>
          <w:i/>
          <w:iCs/>
        </w:rPr>
        <w:t>International Journal of Applied Earth Observation and Geoinformation</w:t>
      </w:r>
      <w:r w:rsidRPr="002D7804">
        <w:t xml:space="preserve">, </w:t>
      </w:r>
      <w:r w:rsidRPr="002D7804">
        <w:rPr>
          <w:i/>
          <w:iCs/>
        </w:rPr>
        <w:t>114</w:t>
      </w:r>
      <w:r w:rsidRPr="002D7804">
        <w:t>, 103048. https://doi.org/10.1016/j.jag.2022.103048</w:t>
      </w:r>
    </w:p>
    <w:p w14:paraId="6AB471BE" w14:textId="77777777" w:rsidR="002D7804" w:rsidRPr="002D7804" w:rsidRDefault="002D7804" w:rsidP="002D7804">
      <w:pPr>
        <w:pStyle w:val="ae"/>
      </w:pPr>
      <w:r w:rsidRPr="002D7804">
        <w:t xml:space="preserve">Li, X., Gong, P., Zhou, Y., Wang, J., Bai, Y., Chen, B., Hu, T., Xiao, Y., Xu, B., Yang, J., Liu, X., Cai, W., Huang, H., Wu, T., Wang, X., Lin, P., Li, X., Chen, J., He, C., … Zhu, Z. (2020). Mapping global urban boundaries from the global artificial impervious area (GAIA) data. </w:t>
      </w:r>
      <w:r w:rsidRPr="002D7804">
        <w:rPr>
          <w:i/>
          <w:iCs/>
        </w:rPr>
        <w:t>Environmental Research Letters</w:t>
      </w:r>
      <w:r w:rsidRPr="002D7804">
        <w:t xml:space="preserve">, </w:t>
      </w:r>
      <w:r w:rsidRPr="002D7804">
        <w:rPr>
          <w:i/>
          <w:iCs/>
        </w:rPr>
        <w:t>15</w:t>
      </w:r>
      <w:r w:rsidRPr="002D7804">
        <w:t>(9), 094044. https://doi.org/10.1088/1748-9326/ab9be3</w:t>
      </w:r>
    </w:p>
    <w:p w14:paraId="277C6B8E" w14:textId="77777777" w:rsidR="002D7804" w:rsidRPr="002D7804" w:rsidRDefault="002D7804" w:rsidP="002D7804">
      <w:pPr>
        <w:pStyle w:val="ae"/>
      </w:pPr>
      <w:r w:rsidRPr="002D7804">
        <w:t xml:space="preserve">Li, X., Zhou, Y., Gong, P., Seto, K. C., &amp; Clinton, N. (2020). Developing a method to estimate building height from Sentinel-1 data. </w:t>
      </w:r>
      <w:r w:rsidRPr="002D7804">
        <w:rPr>
          <w:i/>
          <w:iCs/>
        </w:rPr>
        <w:t>Remote Sensing of Environment</w:t>
      </w:r>
      <w:r w:rsidRPr="002D7804">
        <w:t xml:space="preserve">, </w:t>
      </w:r>
      <w:r w:rsidRPr="002D7804">
        <w:rPr>
          <w:i/>
          <w:iCs/>
        </w:rPr>
        <w:t>240</w:t>
      </w:r>
      <w:r w:rsidRPr="002D7804">
        <w:t>, 111705. https://doi.org/10.1016/j.rse.2020.111705</w:t>
      </w:r>
    </w:p>
    <w:p w14:paraId="6B36DEC8" w14:textId="77777777" w:rsidR="002D7804" w:rsidRPr="002D7804" w:rsidRDefault="002D7804" w:rsidP="002D7804">
      <w:pPr>
        <w:pStyle w:val="ae"/>
      </w:pPr>
      <w:r w:rsidRPr="002D7804">
        <w:t xml:space="preserve">Liaw, A., &amp; Wiener, M. (2002). </w:t>
      </w:r>
      <w:r w:rsidRPr="002D7804">
        <w:rPr>
          <w:i/>
          <w:iCs/>
        </w:rPr>
        <w:t>Classiﬁcation and Regression by randomForest</w:t>
      </w:r>
      <w:r w:rsidRPr="002D7804">
        <w:t xml:space="preserve">. </w:t>
      </w:r>
      <w:r w:rsidRPr="002D7804">
        <w:rPr>
          <w:i/>
          <w:iCs/>
        </w:rPr>
        <w:t>2</w:t>
      </w:r>
      <w:r w:rsidRPr="002D7804">
        <w:t>.</w:t>
      </w:r>
    </w:p>
    <w:p w14:paraId="330D8157" w14:textId="77777777" w:rsidR="002D7804" w:rsidRPr="002D7804" w:rsidRDefault="002D7804" w:rsidP="002D7804">
      <w:pPr>
        <w:pStyle w:val="ae"/>
      </w:pPr>
      <w:r w:rsidRPr="002D7804">
        <w:lastRenderedPageBreak/>
        <w:t xml:space="preserve">Lin, L., Homma, R., &amp; Iki, K. (2018). Preferences for a lake landscape: Effects of building height and lake width. </w:t>
      </w:r>
      <w:r w:rsidRPr="002D7804">
        <w:rPr>
          <w:i/>
          <w:iCs/>
        </w:rPr>
        <w:t>Environmental Impact Assessment Review</w:t>
      </w:r>
      <w:r w:rsidRPr="002D7804">
        <w:t xml:space="preserve">, </w:t>
      </w:r>
      <w:r w:rsidRPr="002D7804">
        <w:rPr>
          <w:i/>
          <w:iCs/>
        </w:rPr>
        <w:t>70</w:t>
      </w:r>
      <w:r w:rsidRPr="002D7804">
        <w:t>, 22–33. https://doi.org/10.1016/j.eiar.2018.03.001</w:t>
      </w:r>
    </w:p>
    <w:p w14:paraId="2827A2A0" w14:textId="77777777" w:rsidR="002D7804" w:rsidRPr="002D7804" w:rsidRDefault="002D7804" w:rsidP="002D7804">
      <w:pPr>
        <w:pStyle w:val="ae"/>
      </w:pPr>
      <w:r w:rsidRPr="002D7804">
        <w:t xml:space="preserve">Liu, Z., Tang, H., Feng, L., &amp; Lyu, S. (2023). China Building Rooftop Area: The first multi-annual (2016–2021) and high-resolution (2.5 m) building rooftop area dataset in China derived with super-resolution segmentation from Sentinel-2 imagery. </w:t>
      </w:r>
      <w:r w:rsidRPr="002D7804">
        <w:rPr>
          <w:i/>
          <w:iCs/>
        </w:rPr>
        <w:t>Earth System Science Data</w:t>
      </w:r>
      <w:r w:rsidRPr="002D7804">
        <w:t xml:space="preserve">, </w:t>
      </w:r>
      <w:r w:rsidRPr="002D7804">
        <w:rPr>
          <w:i/>
          <w:iCs/>
        </w:rPr>
        <w:t>15</w:t>
      </w:r>
      <w:r w:rsidRPr="002D7804">
        <w:t>(8), 3547–3572. https://doi.org/10.5194/essd-15-3547-2023</w:t>
      </w:r>
    </w:p>
    <w:p w14:paraId="13969A90" w14:textId="77777777" w:rsidR="002D7804" w:rsidRPr="002D7804" w:rsidRDefault="002D7804" w:rsidP="002D7804">
      <w:pPr>
        <w:pStyle w:val="ae"/>
      </w:pPr>
      <w:r w:rsidRPr="002D7804">
        <w:t xml:space="preserve">Ma, X., Zheng, G., Chi, X., Yang, L., Geng, Q., Li, J., &amp; Qiao, Y. (2023). Mapping fine-scale building heights in urban agglomeration with spaceborne lidar. </w:t>
      </w:r>
      <w:r w:rsidRPr="002D7804">
        <w:rPr>
          <w:i/>
          <w:iCs/>
        </w:rPr>
        <w:t>Remote Sensing of Environment</w:t>
      </w:r>
      <w:r w:rsidRPr="002D7804">
        <w:t xml:space="preserve">, </w:t>
      </w:r>
      <w:r w:rsidRPr="002D7804">
        <w:rPr>
          <w:i/>
          <w:iCs/>
        </w:rPr>
        <w:t>285</w:t>
      </w:r>
      <w:r w:rsidRPr="002D7804">
        <w:t>, 113392. https://doi.org/10.1016/j.rse.2022.113392</w:t>
      </w:r>
    </w:p>
    <w:p w14:paraId="13B42FE7" w14:textId="77777777" w:rsidR="002D7804" w:rsidRPr="002D7804" w:rsidRDefault="002D7804" w:rsidP="002D7804">
      <w:pPr>
        <w:pStyle w:val="ae"/>
      </w:pPr>
      <w:r w:rsidRPr="002D7804">
        <w:t xml:space="preserve">Marconcini, M., Metz- Marconcini, A., Esch, T., &amp; Gorelick, N. (2021). Understanding Current Trends in Global Urbanisation—The World Settlement Footprint Suite. </w:t>
      </w:r>
      <w:r w:rsidRPr="002D7804">
        <w:rPr>
          <w:i/>
          <w:iCs/>
        </w:rPr>
        <w:t>GI_Forum</w:t>
      </w:r>
      <w:r w:rsidRPr="002D7804">
        <w:t xml:space="preserve">, </w:t>
      </w:r>
      <w:r w:rsidRPr="002D7804">
        <w:rPr>
          <w:i/>
          <w:iCs/>
        </w:rPr>
        <w:t>1</w:t>
      </w:r>
      <w:r w:rsidRPr="002D7804">
        <w:t>, 33–38. https://doi.org/10.1553/giscience2021_01_s33</w:t>
      </w:r>
    </w:p>
    <w:p w14:paraId="029E5D21" w14:textId="77777777" w:rsidR="002D7804" w:rsidRPr="002D7804" w:rsidRDefault="002D7804" w:rsidP="002D7804">
      <w:pPr>
        <w:pStyle w:val="ae"/>
      </w:pPr>
      <w:r w:rsidRPr="002D7804">
        <w:t xml:space="preserve">Microsoft. (2018, July). </w:t>
      </w:r>
      <w:r w:rsidRPr="002D7804">
        <w:rPr>
          <w:i/>
          <w:iCs/>
        </w:rPr>
        <w:t>Microsoft/USBuildingFootprints</w:t>
      </w:r>
      <w:r w:rsidRPr="002D7804">
        <w:t>. https://github.com/microsoft/USBuildingFootprints (Original work published 2018)</w:t>
      </w:r>
    </w:p>
    <w:p w14:paraId="106774E9" w14:textId="77777777" w:rsidR="002D7804" w:rsidRPr="002D7804" w:rsidRDefault="002D7804" w:rsidP="002D7804">
      <w:pPr>
        <w:pStyle w:val="ae"/>
      </w:pPr>
      <w:r w:rsidRPr="002D7804">
        <w:t xml:space="preserve">Milojevic-Dupont, N., Wagner, F., Nachtigall, F., Hu, J., Brüser, G. B., Zumwald, M., Biljecki, F., Heeren, N., Kaack, L. H., Pichler, P.-P., &amp; Creutzig, F. (2023). EUBUCCO v0.1: European building stock characteristics in a common and </w:t>
      </w:r>
      <w:r w:rsidRPr="002D7804">
        <w:lastRenderedPageBreak/>
        <w:t xml:space="preserve">open database for 200+ million individual buildings. </w:t>
      </w:r>
      <w:r w:rsidRPr="002D7804">
        <w:rPr>
          <w:i/>
          <w:iCs/>
        </w:rPr>
        <w:t>Scientific Data</w:t>
      </w:r>
      <w:r w:rsidRPr="002D7804">
        <w:t xml:space="preserve">, </w:t>
      </w:r>
      <w:r w:rsidRPr="002D7804">
        <w:rPr>
          <w:i/>
          <w:iCs/>
        </w:rPr>
        <w:t>10</w:t>
      </w:r>
      <w:r w:rsidRPr="002D7804">
        <w:t>(1). Scopus. https://doi.org/10.1038/s41597-023-02040-2</w:t>
      </w:r>
    </w:p>
    <w:p w14:paraId="6BFCD1C8" w14:textId="77777777" w:rsidR="002D7804" w:rsidRPr="002D7804" w:rsidRDefault="002D7804" w:rsidP="002D7804">
      <w:pPr>
        <w:pStyle w:val="ae"/>
      </w:pPr>
      <w:r w:rsidRPr="002D7804">
        <w:t xml:space="preserve">Pandey, B., Brelsford, C., &amp; Seto, K. C. (2022). Infrastructure inequality is a characteristic of urbanization. </w:t>
      </w:r>
      <w:r w:rsidRPr="002D7804">
        <w:rPr>
          <w:i/>
          <w:iCs/>
        </w:rPr>
        <w:t>Proceedings of the National Academy of Sciences</w:t>
      </w:r>
      <w:r w:rsidRPr="002D7804">
        <w:t xml:space="preserve">, </w:t>
      </w:r>
      <w:r w:rsidRPr="002D7804">
        <w:rPr>
          <w:i/>
          <w:iCs/>
        </w:rPr>
        <w:t>119</w:t>
      </w:r>
      <w:r w:rsidRPr="002D7804">
        <w:t>(15), e2119890119. 2023-11-16. https://doi.org/10.1073/pnas.2119890119</w:t>
      </w:r>
    </w:p>
    <w:p w14:paraId="5D08CCE8" w14:textId="77777777" w:rsidR="002D7804" w:rsidRPr="002D7804" w:rsidRDefault="002D7804" w:rsidP="002D7804">
      <w:pPr>
        <w:pStyle w:val="ae"/>
      </w:pPr>
      <w:r w:rsidRPr="002D7804">
        <w:t xml:space="preserve">Potapov, P., Li, X., Hernandez-Serna, A., Tyukavina, A., Hansen, M. C., Kommareddy, A., Pickens, A., Turubanova, S., Tang, H., Silva, C. E., Armston, J., Dubayah, R., Blair, J. B., &amp; Hofton, M. (2021). Mapping global forest canopy height through integration of GEDI and Landsat data. </w:t>
      </w:r>
      <w:r w:rsidRPr="002D7804">
        <w:rPr>
          <w:i/>
          <w:iCs/>
        </w:rPr>
        <w:t>Remote Sensing of Environment</w:t>
      </w:r>
      <w:r w:rsidRPr="002D7804">
        <w:t xml:space="preserve">, </w:t>
      </w:r>
      <w:r w:rsidRPr="002D7804">
        <w:rPr>
          <w:i/>
          <w:iCs/>
        </w:rPr>
        <w:t>253</w:t>
      </w:r>
      <w:r w:rsidRPr="002D7804">
        <w:t>, 112165. https://doi.org/10.1016/j.rse.2020.112165</w:t>
      </w:r>
    </w:p>
    <w:p w14:paraId="35A9C5CF" w14:textId="77777777" w:rsidR="002D7804" w:rsidRPr="002D7804" w:rsidRDefault="002D7804" w:rsidP="002D7804">
      <w:pPr>
        <w:pStyle w:val="ae"/>
      </w:pPr>
      <w:r w:rsidRPr="002D7804">
        <w:t xml:space="preserve">Sorichetta, A., Hornby, G. M., Stevens, F. R., Gaughan, A. E., Linard, C., &amp; Tatem, A. J. (2015). High-resolution gridded population datasets for Latin America and the Caribbean in 2010, 2015, and 2020. </w:t>
      </w:r>
      <w:r w:rsidRPr="002D7804">
        <w:rPr>
          <w:i/>
          <w:iCs/>
        </w:rPr>
        <w:t>Scientific Data</w:t>
      </w:r>
      <w:r w:rsidRPr="002D7804">
        <w:t xml:space="preserve">, </w:t>
      </w:r>
      <w:r w:rsidRPr="002D7804">
        <w:rPr>
          <w:i/>
          <w:iCs/>
        </w:rPr>
        <w:t>2</w:t>
      </w:r>
      <w:r w:rsidRPr="002D7804">
        <w:t>(1), Article 1. https://doi.org/10.1038/sdata.2015.45</w:t>
      </w:r>
    </w:p>
    <w:p w14:paraId="4D1674C2" w14:textId="77777777" w:rsidR="002D7804" w:rsidRPr="002D7804" w:rsidRDefault="002D7804" w:rsidP="002D7804">
      <w:pPr>
        <w:pStyle w:val="ae"/>
      </w:pPr>
      <w:r w:rsidRPr="002D7804">
        <w:t xml:space="preserve">Sun, G., Huang, H., Weng, Q., Zhang, A., Jia, X., Ren, J., Sun, L., &amp; Chen, X. (2019). Combinational shadow index for building shadow extraction in urban areas from Sentinel-2A MSI imagery. </w:t>
      </w:r>
      <w:r w:rsidRPr="002D7804">
        <w:rPr>
          <w:i/>
          <w:iCs/>
        </w:rPr>
        <w:t>International Journal of Applied Earth Observation and Geoinformation</w:t>
      </w:r>
      <w:r w:rsidRPr="002D7804">
        <w:t xml:space="preserve">, </w:t>
      </w:r>
      <w:r w:rsidRPr="002D7804">
        <w:rPr>
          <w:i/>
          <w:iCs/>
        </w:rPr>
        <w:t>78</w:t>
      </w:r>
      <w:r w:rsidRPr="002D7804">
        <w:t>, 53–65. https://doi.org/10.1016/j.jag.2019.01.012</w:t>
      </w:r>
    </w:p>
    <w:p w14:paraId="718A1928" w14:textId="77777777" w:rsidR="002D7804" w:rsidRPr="002D7804" w:rsidRDefault="002D7804" w:rsidP="002D7804">
      <w:pPr>
        <w:pStyle w:val="ae"/>
      </w:pPr>
      <w:r w:rsidRPr="002D7804">
        <w:lastRenderedPageBreak/>
        <w:t xml:space="preserve">Tucker, C. J. (1979). Red and photographic infrared linear combinations for monitoring vegetation. </w:t>
      </w:r>
      <w:r w:rsidRPr="002D7804">
        <w:rPr>
          <w:i/>
          <w:iCs/>
        </w:rPr>
        <w:t>Remote Sensing of Environment</w:t>
      </w:r>
      <w:r w:rsidRPr="002D7804">
        <w:t xml:space="preserve">, </w:t>
      </w:r>
      <w:r w:rsidRPr="002D7804">
        <w:rPr>
          <w:i/>
          <w:iCs/>
        </w:rPr>
        <w:t>8</w:t>
      </w:r>
      <w:r w:rsidRPr="002D7804">
        <w:t>(2), 127–150. https://doi.org/10.1016/0034-4257(79)90013-0</w:t>
      </w:r>
    </w:p>
    <w:p w14:paraId="59F3F5D6" w14:textId="77777777" w:rsidR="002D7804" w:rsidRPr="002D7804" w:rsidRDefault="002D7804" w:rsidP="002D7804">
      <w:pPr>
        <w:pStyle w:val="ae"/>
      </w:pPr>
      <w:r w:rsidRPr="002D7804">
        <w:t xml:space="preserve">Veci, L., Prats-Iraola, P., Scheiber, R., Collard, F., Fomferra, N., &amp; Engdahl, M. (2014). The Sentinel-1 Toolbox. </w:t>
      </w:r>
      <w:r w:rsidRPr="002D7804">
        <w:rPr>
          <w:i/>
          <w:iCs/>
        </w:rPr>
        <w:t>Proceedings of the IEEE International Geoscience and Remote Sensing Symposium (IGARSS)</w:t>
      </w:r>
      <w:r w:rsidRPr="002D7804">
        <w:t>, 1–3. http://www.igarss2014.org/</w:t>
      </w:r>
    </w:p>
    <w:p w14:paraId="7F2AF891" w14:textId="77777777" w:rsidR="002D7804" w:rsidRPr="002D7804" w:rsidRDefault="002D7804" w:rsidP="002D7804">
      <w:pPr>
        <w:pStyle w:val="ae"/>
      </w:pPr>
      <w:r w:rsidRPr="002D7804">
        <w:t xml:space="preserve">Wu, W.-B., Ma, J., Banzhaf, E., Meadows, M. E., Yu, Z.-W., Guo, F.-X., Sengupta, D., Cai, X.-X., &amp; Zhao, B. (2023). A first Chinese building height estimate at 10 m resolution (CNBH-10 m) using multi-source earth observations and machine learning. </w:t>
      </w:r>
      <w:r w:rsidRPr="002D7804">
        <w:rPr>
          <w:i/>
          <w:iCs/>
        </w:rPr>
        <w:t>Remote Sensing of Environment</w:t>
      </w:r>
      <w:r w:rsidRPr="002D7804">
        <w:t xml:space="preserve">, </w:t>
      </w:r>
      <w:r w:rsidRPr="002D7804">
        <w:rPr>
          <w:i/>
          <w:iCs/>
        </w:rPr>
        <w:t>291</w:t>
      </w:r>
      <w:r w:rsidRPr="002D7804">
        <w:t>, 113578. https://doi.org/10.1016/j.rse.2023.113578</w:t>
      </w:r>
    </w:p>
    <w:p w14:paraId="2E8ECD1C" w14:textId="77777777" w:rsidR="002D7804" w:rsidRPr="002D7804" w:rsidRDefault="002D7804" w:rsidP="002D7804">
      <w:pPr>
        <w:pStyle w:val="ae"/>
      </w:pPr>
      <w:r w:rsidRPr="002D7804">
        <w:t xml:space="preserve">Xiao, X., Hollinger, D., Aber, J., Goltz, M., Davidson, E. A., Zhang, Q., &amp; Moore, B. (2004). Satellite-based modeling of gross primary production in an evergreen needleleaf forest. </w:t>
      </w:r>
      <w:r w:rsidRPr="002D7804">
        <w:rPr>
          <w:i/>
          <w:iCs/>
        </w:rPr>
        <w:t>Remote Sensing of Environment</w:t>
      </w:r>
      <w:r w:rsidRPr="002D7804">
        <w:t xml:space="preserve">, </w:t>
      </w:r>
      <w:r w:rsidRPr="002D7804">
        <w:rPr>
          <w:i/>
          <w:iCs/>
        </w:rPr>
        <w:t>89</w:t>
      </w:r>
      <w:r w:rsidRPr="002D7804">
        <w:t>(4), 519–534. https://doi.org/10.1016/j.rse.2003.11.008</w:t>
      </w:r>
    </w:p>
    <w:p w14:paraId="375F7D85" w14:textId="77777777" w:rsidR="002D7804" w:rsidRPr="002D7804" w:rsidRDefault="002D7804" w:rsidP="002D7804">
      <w:pPr>
        <w:pStyle w:val="ae"/>
      </w:pPr>
      <w:r w:rsidRPr="002D7804">
        <w:t xml:space="preserve">Xu, H. (2006). Modification of normalised difference water index (NDWI) to enhance open water features in remotely sensed imagery. </w:t>
      </w:r>
      <w:r w:rsidRPr="002D7804">
        <w:rPr>
          <w:i/>
          <w:iCs/>
        </w:rPr>
        <w:t>International Journal of Remote Sensing</w:t>
      </w:r>
      <w:r w:rsidRPr="002D7804">
        <w:t xml:space="preserve">, </w:t>
      </w:r>
      <w:r w:rsidRPr="002D7804">
        <w:rPr>
          <w:i/>
          <w:iCs/>
        </w:rPr>
        <w:t>27</w:t>
      </w:r>
      <w:r w:rsidRPr="002D7804">
        <w:t>(14), 3025–3033. https://doi.org/10.1080/01431160600589179</w:t>
      </w:r>
    </w:p>
    <w:p w14:paraId="655F22B1" w14:textId="77777777" w:rsidR="002D7804" w:rsidRPr="002D7804" w:rsidRDefault="002D7804" w:rsidP="002D7804">
      <w:pPr>
        <w:pStyle w:val="ae"/>
      </w:pPr>
      <w:r w:rsidRPr="002D7804">
        <w:t xml:space="preserve">Zha, Y., Gao, J., &amp; Ni, S. (2003). Use of normalized difference built-up index in automatically mapping urban areas from TM imagery. </w:t>
      </w:r>
      <w:r w:rsidRPr="002D7804">
        <w:rPr>
          <w:i/>
          <w:iCs/>
        </w:rPr>
        <w:t xml:space="preserve">International Journal of </w:t>
      </w:r>
      <w:r w:rsidRPr="002D7804">
        <w:rPr>
          <w:i/>
          <w:iCs/>
        </w:rPr>
        <w:lastRenderedPageBreak/>
        <w:t>Remote Sensing</w:t>
      </w:r>
      <w:r w:rsidRPr="002D7804">
        <w:t xml:space="preserve">, </w:t>
      </w:r>
      <w:r w:rsidRPr="002D7804">
        <w:rPr>
          <w:i/>
          <w:iCs/>
        </w:rPr>
        <w:t>24</w:t>
      </w:r>
      <w:r w:rsidRPr="002D7804">
        <w:t>(3), 583–594. Scopus. https://doi.org/10.1080/01431160304987</w:t>
      </w:r>
    </w:p>
    <w:p w14:paraId="757E28A7" w14:textId="16DFFA40" w:rsidR="00F77830" w:rsidRDefault="00F77830">
      <w:r>
        <w:fldChar w:fldCharType="end"/>
      </w:r>
    </w:p>
    <w:sectPr w:rsidR="00F77830" w:rsidSect="00F87C66">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056C39" w14:textId="77777777" w:rsidR="00B65B80" w:rsidRDefault="00B65B80" w:rsidP="0053631D">
      <w:pPr>
        <w:spacing w:line="240" w:lineRule="auto"/>
      </w:pPr>
      <w:r>
        <w:separator/>
      </w:r>
    </w:p>
  </w:endnote>
  <w:endnote w:type="continuationSeparator" w:id="0">
    <w:p w14:paraId="50FE047F" w14:textId="77777777" w:rsidR="00B65B80" w:rsidRDefault="00B65B80" w:rsidP="005363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53686" w14:textId="77777777" w:rsidR="00B65B80" w:rsidRDefault="00B65B80" w:rsidP="0053631D">
      <w:pPr>
        <w:spacing w:line="240" w:lineRule="auto"/>
      </w:pPr>
      <w:r>
        <w:separator/>
      </w:r>
    </w:p>
  </w:footnote>
  <w:footnote w:type="continuationSeparator" w:id="0">
    <w:p w14:paraId="54EB0DE9" w14:textId="77777777" w:rsidR="00B65B80" w:rsidRDefault="00B65B80" w:rsidP="0053631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84A"/>
    <w:rsid w:val="00046320"/>
    <w:rsid w:val="00062230"/>
    <w:rsid w:val="00062EC3"/>
    <w:rsid w:val="000705CC"/>
    <w:rsid w:val="001433DA"/>
    <w:rsid w:val="00176BDA"/>
    <w:rsid w:val="001A2B73"/>
    <w:rsid w:val="001A43B0"/>
    <w:rsid w:val="001A45D0"/>
    <w:rsid w:val="0023584A"/>
    <w:rsid w:val="002426E9"/>
    <w:rsid w:val="002562D1"/>
    <w:rsid w:val="002623B5"/>
    <w:rsid w:val="002D7804"/>
    <w:rsid w:val="003F3839"/>
    <w:rsid w:val="00402507"/>
    <w:rsid w:val="0041086D"/>
    <w:rsid w:val="00416B03"/>
    <w:rsid w:val="00417FAD"/>
    <w:rsid w:val="00423C23"/>
    <w:rsid w:val="004D293B"/>
    <w:rsid w:val="004E51F7"/>
    <w:rsid w:val="00521A6B"/>
    <w:rsid w:val="0053631D"/>
    <w:rsid w:val="005437EA"/>
    <w:rsid w:val="00632EEC"/>
    <w:rsid w:val="00685ADE"/>
    <w:rsid w:val="006946C1"/>
    <w:rsid w:val="006A3DDA"/>
    <w:rsid w:val="006B04ED"/>
    <w:rsid w:val="006C485E"/>
    <w:rsid w:val="006E0BA8"/>
    <w:rsid w:val="006E101F"/>
    <w:rsid w:val="007542C6"/>
    <w:rsid w:val="00792D51"/>
    <w:rsid w:val="0079608A"/>
    <w:rsid w:val="007A6AF7"/>
    <w:rsid w:val="007C3724"/>
    <w:rsid w:val="00823F21"/>
    <w:rsid w:val="00827B16"/>
    <w:rsid w:val="0083355B"/>
    <w:rsid w:val="00833A8F"/>
    <w:rsid w:val="00932ABC"/>
    <w:rsid w:val="00970092"/>
    <w:rsid w:val="00A222B1"/>
    <w:rsid w:val="00A44A15"/>
    <w:rsid w:val="00A8517E"/>
    <w:rsid w:val="00B65B80"/>
    <w:rsid w:val="00B80125"/>
    <w:rsid w:val="00B92328"/>
    <w:rsid w:val="00BC7F5E"/>
    <w:rsid w:val="00C0775D"/>
    <w:rsid w:val="00C45FE9"/>
    <w:rsid w:val="00C60136"/>
    <w:rsid w:val="00CF3E1F"/>
    <w:rsid w:val="00D26196"/>
    <w:rsid w:val="00D64DCC"/>
    <w:rsid w:val="00D6551A"/>
    <w:rsid w:val="00D87DCE"/>
    <w:rsid w:val="00DE402A"/>
    <w:rsid w:val="00E04758"/>
    <w:rsid w:val="00EA1FFE"/>
    <w:rsid w:val="00EB0C17"/>
    <w:rsid w:val="00EB154D"/>
    <w:rsid w:val="00EB30B5"/>
    <w:rsid w:val="00F06B48"/>
    <w:rsid w:val="00F24521"/>
    <w:rsid w:val="00F515F5"/>
    <w:rsid w:val="00F77830"/>
    <w:rsid w:val="00F86273"/>
    <w:rsid w:val="00F87C6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29C9FB"/>
  <w15:chartTrackingRefBased/>
  <w15:docId w15:val="{960A4A8A-0009-445F-90FA-670823708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0BA8"/>
    <w:pPr>
      <w:spacing w:line="480" w:lineRule="auto"/>
      <w:jc w:val="both"/>
    </w:pPr>
    <w:rPr>
      <w:rFonts w:ascii="Times New Roman" w:hAnsi="Times New Roman"/>
      <w:sz w:val="24"/>
      <w:szCs w:val="24"/>
      <w:lang w:eastAsia="de-DE"/>
    </w:rPr>
  </w:style>
  <w:style w:type="paragraph" w:styleId="1">
    <w:name w:val="heading 1"/>
    <w:basedOn w:val="a"/>
    <w:next w:val="a"/>
    <w:link w:val="10"/>
    <w:uiPriority w:val="9"/>
    <w:qFormat/>
    <w:rsid w:val="000705CC"/>
    <w:pPr>
      <w:keepNext/>
      <w:spacing w:before="480" w:after="240" w:line="240" w:lineRule="auto"/>
      <w:outlineLvl w:val="0"/>
    </w:pPr>
    <w:rPr>
      <w:rFonts w:eastAsia="Times New Roman" w:cs="Arial"/>
      <w:b/>
      <w:bCs/>
      <w:color w:val="000000"/>
      <w:kern w:val="32"/>
      <w:szCs w:val="32"/>
    </w:rPr>
  </w:style>
  <w:style w:type="paragraph" w:styleId="2">
    <w:name w:val="heading 2"/>
    <w:basedOn w:val="a"/>
    <w:next w:val="a"/>
    <w:link w:val="20"/>
    <w:uiPriority w:val="9"/>
    <w:qFormat/>
    <w:rsid w:val="000705CC"/>
    <w:pPr>
      <w:keepNext/>
      <w:spacing w:before="240" w:after="240" w:line="240" w:lineRule="auto"/>
      <w:outlineLvl w:val="1"/>
    </w:pPr>
    <w:rPr>
      <w:rFonts w:eastAsia="Times New Roman" w:cs="Arial"/>
      <w:b/>
      <w:bCs/>
      <w:iCs/>
      <w:szCs w:val="28"/>
    </w:rPr>
  </w:style>
  <w:style w:type="paragraph" w:styleId="3">
    <w:name w:val="heading 3"/>
    <w:basedOn w:val="a"/>
    <w:next w:val="a"/>
    <w:link w:val="30"/>
    <w:uiPriority w:val="9"/>
    <w:qFormat/>
    <w:rsid w:val="000705CC"/>
    <w:pPr>
      <w:keepNext/>
      <w:spacing w:before="240" w:after="240" w:line="240" w:lineRule="auto"/>
      <w:outlineLvl w:val="2"/>
    </w:pPr>
    <w:rPr>
      <w:rFonts w:eastAsia="Times New Roman" w:cs="Arial"/>
      <w:b/>
      <w:bCs/>
      <w:szCs w:val="26"/>
    </w:rPr>
  </w:style>
  <w:style w:type="paragraph" w:styleId="4">
    <w:name w:val="heading 4"/>
    <w:basedOn w:val="a"/>
    <w:next w:val="a"/>
    <w:link w:val="40"/>
    <w:uiPriority w:val="9"/>
    <w:qFormat/>
    <w:rsid w:val="000705CC"/>
    <w:pPr>
      <w:keepNext/>
      <w:outlineLvl w:val="3"/>
    </w:pPr>
    <w:rPr>
      <w:rFonts w:eastAsia="Times New Roman"/>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title">
    <w:name w:val="MS title"/>
    <w:basedOn w:val="a"/>
    <w:link w:val="MStitleChar"/>
    <w:qFormat/>
    <w:rsid w:val="000705CC"/>
    <w:pPr>
      <w:spacing w:before="360" w:line="440" w:lineRule="exact"/>
      <w:contextualSpacing/>
    </w:pPr>
    <w:rPr>
      <w:rFonts w:eastAsia="Times New Roman"/>
      <w:b/>
      <w:sz w:val="34"/>
    </w:rPr>
  </w:style>
  <w:style w:type="character" w:customStyle="1" w:styleId="MStitleChar">
    <w:name w:val="MS title Char"/>
    <w:basedOn w:val="a0"/>
    <w:link w:val="MStitle"/>
    <w:rsid w:val="000705CC"/>
    <w:rPr>
      <w:rFonts w:ascii="Times New Roman" w:eastAsia="Times New Roman" w:hAnsi="Times New Roman"/>
      <w:b/>
      <w:sz w:val="34"/>
      <w:szCs w:val="24"/>
      <w:lang w:eastAsia="de-DE"/>
    </w:rPr>
  </w:style>
  <w:style w:type="paragraph" w:customStyle="1" w:styleId="Affiliation">
    <w:name w:val="Affiliation"/>
    <w:basedOn w:val="a"/>
    <w:link w:val="AffiliationChar"/>
    <w:qFormat/>
    <w:rsid w:val="000705CC"/>
    <w:pPr>
      <w:spacing w:before="120" w:line="240" w:lineRule="auto"/>
      <w:contextualSpacing/>
    </w:pPr>
    <w:rPr>
      <w:rFonts w:eastAsia="Times New Roman"/>
    </w:rPr>
  </w:style>
  <w:style w:type="character" w:customStyle="1" w:styleId="AffiliationChar">
    <w:name w:val="Affiliation Char"/>
    <w:basedOn w:val="a0"/>
    <w:link w:val="Affiliation"/>
    <w:rsid w:val="000705CC"/>
    <w:rPr>
      <w:rFonts w:ascii="Times New Roman" w:eastAsia="Times New Roman" w:hAnsi="Times New Roman"/>
      <w:sz w:val="24"/>
      <w:szCs w:val="24"/>
      <w:lang w:eastAsia="de-DE"/>
    </w:rPr>
  </w:style>
  <w:style w:type="paragraph" w:customStyle="1" w:styleId="Correspondence">
    <w:name w:val="Correspondence"/>
    <w:basedOn w:val="a"/>
    <w:link w:val="CorrespondenceChar"/>
    <w:qFormat/>
    <w:rsid w:val="000705CC"/>
    <w:pPr>
      <w:spacing w:before="120" w:after="360" w:line="240" w:lineRule="auto"/>
    </w:pPr>
    <w:rPr>
      <w:rFonts w:eastAsia="Times New Roman"/>
    </w:rPr>
  </w:style>
  <w:style w:type="character" w:customStyle="1" w:styleId="CorrespondenceChar">
    <w:name w:val="Correspondence Char"/>
    <w:basedOn w:val="a0"/>
    <w:link w:val="Correspondence"/>
    <w:rsid w:val="000705CC"/>
    <w:rPr>
      <w:rFonts w:ascii="Times New Roman" w:eastAsia="Times New Roman" w:hAnsi="Times New Roman"/>
      <w:sz w:val="24"/>
      <w:szCs w:val="24"/>
      <w:lang w:eastAsia="de-DE"/>
    </w:rPr>
  </w:style>
  <w:style w:type="paragraph" w:customStyle="1" w:styleId="Authors">
    <w:name w:val="Authors"/>
    <w:basedOn w:val="a"/>
    <w:link w:val="AuthorsChar"/>
    <w:qFormat/>
    <w:rsid w:val="000705CC"/>
    <w:pPr>
      <w:spacing w:before="180" w:line="240" w:lineRule="auto"/>
      <w:contextualSpacing/>
    </w:pPr>
    <w:rPr>
      <w:rFonts w:eastAsia="Times New Roman"/>
    </w:rPr>
  </w:style>
  <w:style w:type="character" w:customStyle="1" w:styleId="AuthorsChar">
    <w:name w:val="Authors Char"/>
    <w:basedOn w:val="a0"/>
    <w:link w:val="Authors"/>
    <w:rsid w:val="000705CC"/>
    <w:rPr>
      <w:rFonts w:ascii="Times New Roman" w:eastAsia="Times New Roman" w:hAnsi="Times New Roman"/>
      <w:sz w:val="24"/>
      <w:szCs w:val="24"/>
      <w:lang w:eastAsia="de-DE"/>
    </w:rPr>
  </w:style>
  <w:style w:type="character" w:customStyle="1" w:styleId="10">
    <w:name w:val="标题 1 字符"/>
    <w:link w:val="1"/>
    <w:uiPriority w:val="9"/>
    <w:rsid w:val="000705CC"/>
    <w:rPr>
      <w:rFonts w:ascii="Times New Roman" w:eastAsia="Times New Roman" w:hAnsi="Times New Roman" w:cs="Arial"/>
      <w:b/>
      <w:bCs/>
      <w:color w:val="000000"/>
      <w:kern w:val="32"/>
      <w:sz w:val="24"/>
      <w:szCs w:val="32"/>
      <w:lang w:eastAsia="de-DE"/>
    </w:rPr>
  </w:style>
  <w:style w:type="character" w:customStyle="1" w:styleId="20">
    <w:name w:val="标题 2 字符"/>
    <w:link w:val="2"/>
    <w:uiPriority w:val="9"/>
    <w:rsid w:val="000705CC"/>
    <w:rPr>
      <w:rFonts w:ascii="Times New Roman" w:eastAsia="Times New Roman" w:hAnsi="Times New Roman" w:cs="Arial"/>
      <w:b/>
      <w:bCs/>
      <w:iCs/>
      <w:sz w:val="24"/>
      <w:szCs w:val="28"/>
      <w:lang w:eastAsia="de-DE"/>
    </w:rPr>
  </w:style>
  <w:style w:type="character" w:customStyle="1" w:styleId="30">
    <w:name w:val="标题 3 字符"/>
    <w:link w:val="3"/>
    <w:uiPriority w:val="9"/>
    <w:rsid w:val="000705CC"/>
    <w:rPr>
      <w:rFonts w:ascii="Times New Roman" w:eastAsia="Times New Roman" w:hAnsi="Times New Roman" w:cs="Arial"/>
      <w:b/>
      <w:bCs/>
      <w:sz w:val="24"/>
      <w:szCs w:val="26"/>
      <w:lang w:eastAsia="de-DE"/>
    </w:rPr>
  </w:style>
  <w:style w:type="character" w:customStyle="1" w:styleId="40">
    <w:name w:val="标题 4 字符"/>
    <w:link w:val="4"/>
    <w:uiPriority w:val="9"/>
    <w:rsid w:val="000705CC"/>
    <w:rPr>
      <w:rFonts w:ascii="Times New Roman" w:eastAsia="Times New Roman" w:hAnsi="Times New Roman"/>
      <w:b/>
      <w:bCs/>
      <w:sz w:val="24"/>
      <w:szCs w:val="28"/>
      <w:lang w:eastAsia="de-DE"/>
    </w:rPr>
  </w:style>
  <w:style w:type="paragraph" w:styleId="a3">
    <w:name w:val="caption"/>
    <w:basedOn w:val="a"/>
    <w:next w:val="a"/>
    <w:uiPriority w:val="35"/>
    <w:unhideWhenUsed/>
    <w:qFormat/>
    <w:rsid w:val="000705CC"/>
    <w:pPr>
      <w:spacing w:after="200" w:line="240" w:lineRule="auto"/>
    </w:pPr>
    <w:rPr>
      <w:rFonts w:eastAsia="Times New Roman"/>
      <w:b/>
      <w:bCs/>
      <w:sz w:val="18"/>
      <w:szCs w:val="18"/>
    </w:rPr>
  </w:style>
  <w:style w:type="paragraph" w:customStyle="1" w:styleId="a4">
    <w:name w:val="段"/>
    <w:qFormat/>
    <w:rsid w:val="000705CC"/>
    <w:pPr>
      <w:autoSpaceDE w:val="0"/>
      <w:autoSpaceDN w:val="0"/>
      <w:spacing w:line="360" w:lineRule="auto"/>
      <w:ind w:firstLineChars="200" w:firstLine="200"/>
      <w:jc w:val="both"/>
    </w:pPr>
    <w:rPr>
      <w:rFonts w:ascii="宋体" w:hAnsi="Times New Roman"/>
      <w:sz w:val="21"/>
    </w:rPr>
  </w:style>
  <w:style w:type="paragraph" w:styleId="a5">
    <w:name w:val="header"/>
    <w:basedOn w:val="a"/>
    <w:link w:val="a6"/>
    <w:uiPriority w:val="99"/>
    <w:unhideWhenUsed/>
    <w:rsid w:val="0053631D"/>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53631D"/>
    <w:rPr>
      <w:rFonts w:ascii="Times New Roman" w:hAnsi="Times New Roman"/>
      <w:sz w:val="18"/>
      <w:szCs w:val="18"/>
      <w:lang w:eastAsia="de-DE"/>
    </w:rPr>
  </w:style>
  <w:style w:type="paragraph" w:styleId="a7">
    <w:name w:val="footer"/>
    <w:basedOn w:val="a"/>
    <w:link w:val="a8"/>
    <w:uiPriority w:val="99"/>
    <w:unhideWhenUsed/>
    <w:rsid w:val="0053631D"/>
    <w:pPr>
      <w:tabs>
        <w:tab w:val="center" w:pos="4153"/>
        <w:tab w:val="right" w:pos="8306"/>
      </w:tabs>
      <w:snapToGrid w:val="0"/>
      <w:spacing w:line="240" w:lineRule="auto"/>
      <w:jc w:val="left"/>
    </w:pPr>
    <w:rPr>
      <w:sz w:val="18"/>
      <w:szCs w:val="18"/>
    </w:rPr>
  </w:style>
  <w:style w:type="character" w:customStyle="1" w:styleId="a8">
    <w:name w:val="页脚 字符"/>
    <w:basedOn w:val="a0"/>
    <w:link w:val="a7"/>
    <w:uiPriority w:val="99"/>
    <w:rsid w:val="0053631D"/>
    <w:rPr>
      <w:rFonts w:ascii="Times New Roman" w:hAnsi="Times New Roman"/>
      <w:sz w:val="18"/>
      <w:szCs w:val="18"/>
      <w:lang w:eastAsia="de-DE"/>
    </w:rPr>
  </w:style>
  <w:style w:type="table" w:styleId="a9">
    <w:name w:val="Table Grid"/>
    <w:basedOn w:val="a1"/>
    <w:uiPriority w:val="39"/>
    <w:rsid w:val="00685ADE"/>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685ADE"/>
    <w:rPr>
      <w:color w:val="0000FF" w:themeColor="hyperlink"/>
      <w:u w:val="single"/>
    </w:rPr>
  </w:style>
  <w:style w:type="character" w:styleId="ab">
    <w:name w:val="annotation reference"/>
    <w:basedOn w:val="a0"/>
    <w:uiPriority w:val="99"/>
    <w:semiHidden/>
    <w:unhideWhenUsed/>
    <w:rsid w:val="00685ADE"/>
    <w:rPr>
      <w:sz w:val="21"/>
      <w:szCs w:val="21"/>
    </w:rPr>
  </w:style>
  <w:style w:type="paragraph" w:styleId="ac">
    <w:name w:val="annotation text"/>
    <w:basedOn w:val="a"/>
    <w:link w:val="ad"/>
    <w:uiPriority w:val="99"/>
    <w:semiHidden/>
    <w:unhideWhenUsed/>
    <w:rsid w:val="00685ADE"/>
    <w:pPr>
      <w:spacing w:line="360" w:lineRule="auto"/>
      <w:jc w:val="left"/>
    </w:pPr>
  </w:style>
  <w:style w:type="character" w:customStyle="1" w:styleId="ad">
    <w:name w:val="批注文字 字符"/>
    <w:basedOn w:val="a0"/>
    <w:link w:val="ac"/>
    <w:uiPriority w:val="99"/>
    <w:semiHidden/>
    <w:rsid w:val="00685ADE"/>
    <w:rPr>
      <w:rFonts w:ascii="Times New Roman" w:hAnsi="Times New Roman"/>
      <w:sz w:val="24"/>
      <w:szCs w:val="24"/>
      <w:lang w:eastAsia="de-DE"/>
    </w:rPr>
  </w:style>
  <w:style w:type="paragraph" w:styleId="ae">
    <w:name w:val="Bibliography"/>
    <w:basedOn w:val="a"/>
    <w:next w:val="a"/>
    <w:uiPriority w:val="37"/>
    <w:unhideWhenUsed/>
    <w:rsid w:val="00F77830"/>
    <w:pPr>
      <w:ind w:left="720" w:hanging="720"/>
    </w:pPr>
  </w:style>
  <w:style w:type="character" w:styleId="af">
    <w:name w:val="Unresolved Mention"/>
    <w:basedOn w:val="a0"/>
    <w:uiPriority w:val="99"/>
    <w:semiHidden/>
    <w:unhideWhenUsed/>
    <w:rsid w:val="00C60136"/>
    <w:rPr>
      <w:color w:val="605E5C"/>
      <w:shd w:val="clear" w:color="auto" w:fill="E1DFDD"/>
    </w:rPr>
  </w:style>
  <w:style w:type="character" w:styleId="af0">
    <w:name w:val="line number"/>
    <w:basedOn w:val="a0"/>
    <w:uiPriority w:val="99"/>
    <w:semiHidden/>
    <w:unhideWhenUsed/>
    <w:rsid w:val="00F87C66"/>
  </w:style>
  <w:style w:type="paragraph" w:styleId="af1">
    <w:name w:val="annotation subject"/>
    <w:basedOn w:val="ac"/>
    <w:next w:val="ac"/>
    <w:link w:val="af2"/>
    <w:uiPriority w:val="99"/>
    <w:semiHidden/>
    <w:unhideWhenUsed/>
    <w:rsid w:val="00423C23"/>
    <w:pPr>
      <w:spacing w:line="480" w:lineRule="auto"/>
    </w:pPr>
    <w:rPr>
      <w:b/>
      <w:bCs/>
    </w:rPr>
  </w:style>
  <w:style w:type="character" w:customStyle="1" w:styleId="af2">
    <w:name w:val="批注主题 字符"/>
    <w:basedOn w:val="ad"/>
    <w:link w:val="af1"/>
    <w:uiPriority w:val="99"/>
    <w:semiHidden/>
    <w:rsid w:val="00423C23"/>
    <w:rPr>
      <w:rFonts w:ascii="Times New Roman" w:hAnsi="Times New Roman"/>
      <w:b/>
      <w:bCs/>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196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orldpop.org" TargetMode="External"/><Relationship Id="rId18" Type="http://schemas.openxmlformats.org/officeDocument/2006/relationships/hyperlink" Target="http://hub.arcgis.com/datasets/7e577a14c83f4d83a6b58657c48027da_0/data?geometry=-105.502%2C40.489%2C-104.343%2C40.671" TargetMode="External"/><Relationship Id="rId26" Type="http://schemas.openxmlformats.org/officeDocument/2006/relationships/hyperlink" Target="http://hub.arcgis.com/datasets/ee83a3518a7249fda22866117463de3f_0?page=10" TargetMode="External"/><Relationship Id="rId39" Type="http://schemas.openxmlformats.org/officeDocument/2006/relationships/image" Target="media/image2.jpeg"/><Relationship Id="rId21" Type="http://schemas.openxmlformats.org/officeDocument/2006/relationships/hyperlink" Target="http://datacabq.opendata.arcgis.com/datasets/e65e375b680345e0b21fa7585d83ce9c_0?uiTab=table" TargetMode="External"/><Relationship Id="rId34" Type="http://schemas.openxmlformats.org/officeDocument/2006/relationships/hyperlink" Target="https://hub.arcgis.com/datasets/e65e375b680345e0b21fa7585d83ce9c_0" TargetMode="External"/><Relationship Id="rId42" Type="http://schemas.openxmlformats.org/officeDocument/2006/relationships/theme" Target="theme/theme1.xml"/><Relationship Id="rId7" Type="http://schemas.openxmlformats.org/officeDocument/2006/relationships/hyperlink" Target="https://github.com/microsoft/GlobalMLBuildingFootprints" TargetMode="External"/><Relationship Id="rId2" Type="http://schemas.openxmlformats.org/officeDocument/2006/relationships/settings" Target="settings.xml"/><Relationship Id="rId16" Type="http://schemas.openxmlformats.org/officeDocument/2006/relationships/hyperlink" Target="https://egis3.lacounty.gov/dataportal/2016/11/03/countywide-building-outlines-2014-update-public-domain-release/" TargetMode="External"/><Relationship Id="rId20" Type="http://schemas.openxmlformats.org/officeDocument/2006/relationships/hyperlink" Target="https://data.austintexas.gov/browse?q=footprint&amp;sortBy=relevance" TargetMode="External"/><Relationship Id="rId29" Type="http://schemas.openxmlformats.org/officeDocument/2006/relationships/hyperlink" Target="http://hub.arcgis.com/datasets/beefad4ecf334b43b883123a72bf86b7_0"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geoservice.dlr.de/web/maps/eoc:wsf2019" TargetMode="External"/><Relationship Id="rId11" Type="http://schemas.openxmlformats.org/officeDocument/2006/relationships/hyperlink" Target="https://srtm.csi.cgiar.org" TargetMode="External"/><Relationship Id="rId24" Type="http://schemas.openxmlformats.org/officeDocument/2006/relationships/hyperlink" Target="http://hub.arcgis.com/datasets/6c679d2949544274aee3bee8182c5611_0?geometry=-84.608%2C29.432%2C-78.802%2C30.265&amp;page=9" TargetMode="External"/><Relationship Id="rId32" Type="http://schemas.openxmlformats.org/officeDocument/2006/relationships/hyperlink" Target="http://hub.arcgis.com/datasets/d00d7cffefd6466086dcfc7202f185f4_0/data?orderBy=MEDIAN_HGT&amp;page=109" TargetMode="External"/><Relationship Id="rId37" Type="http://schemas.openxmlformats.org/officeDocument/2006/relationships/hyperlink" Target="https://www.cambridgema.gov/GIS/gisdatadictionary/Basemap/BASEMAP_Buildings.aspx" TargetMode="External"/><Relationship Id="rId40"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hyperlink" Target="https://data.cityofchicago.org/Buildings/Building-Footprints-current-/hz9b-7nh8" TargetMode="External"/><Relationship Id="rId23" Type="http://schemas.openxmlformats.org/officeDocument/2006/relationships/hyperlink" Target="https://mdc.maps.arcgis.com/home/item.html?id=ab4d3a61e60c441bbfc1098d701fc991" TargetMode="External"/><Relationship Id="rId28" Type="http://schemas.openxmlformats.org/officeDocument/2006/relationships/hyperlink" Target="http://hub.arcgis.com/datasets/b5bbaf4fef6e4b59b8214ccaa17b8331_0" TargetMode="External"/><Relationship Id="rId36" Type="http://schemas.openxmlformats.org/officeDocument/2006/relationships/hyperlink" Target="http://opendata.dc.gov/datasets?q=3d&amp;sort_by=relevance" TargetMode="External"/><Relationship Id="rId10" Type="http://schemas.openxmlformats.org/officeDocument/2006/relationships/hyperlink" Target="http://data.ess.tsinghua.edu.cn/" TargetMode="External"/><Relationship Id="rId19" Type="http://schemas.openxmlformats.org/officeDocument/2006/relationships/hyperlink" Target="http://hub.arcgis.com/datasets/d68b0defa057465db7167d9260c90ad9_0" TargetMode="External"/><Relationship Id="rId31" Type="http://schemas.openxmlformats.org/officeDocument/2006/relationships/hyperlink" Target="http://hub.arcgis.com/datasets/1b6a5a2ef1b34c28950c4e720e8d7a3d_0" TargetMode="External"/><Relationship Id="rId4" Type="http://schemas.openxmlformats.org/officeDocument/2006/relationships/footnotes" Target="footnotes.xml"/><Relationship Id="rId9" Type="http://schemas.openxmlformats.org/officeDocument/2006/relationships/hyperlink" Target="https://eubucco.com/data/" TargetMode="External"/><Relationship Id="rId14" Type="http://schemas.openxmlformats.org/officeDocument/2006/relationships/hyperlink" Target="https://maps.semcog.org/BuildingFootprints" TargetMode="External"/><Relationship Id="rId22" Type="http://schemas.openxmlformats.org/officeDocument/2006/relationships/hyperlink" Target="https://data.cityofnewyork.us/Housing-Development/Building-Footprints/nqwf-w8eh" TargetMode="External"/><Relationship Id="rId27" Type="http://schemas.openxmlformats.org/officeDocument/2006/relationships/hyperlink" Target="http://hub.arcgis.com/datasets/dbe64a71897e4982934dbd7637d576d5_0?geometry=-91.204%2C43.336%2C-87.378%2C44.031" TargetMode="External"/><Relationship Id="rId30" Type="http://schemas.openxmlformats.org/officeDocument/2006/relationships/hyperlink" Target="http://hub.arcgis.com/datasets/23e5f3506f034c3d99b84e54fce51584_11" TargetMode="External"/><Relationship Id="rId35" Type="http://schemas.openxmlformats.org/officeDocument/2006/relationships/hyperlink" Target="https://hub.arcgis.com/datasets/bac045c94c144838a7e65fbcf7aa939c_0?page=1532" TargetMode="External"/><Relationship Id="rId8" Type="http://schemas.openxmlformats.org/officeDocument/2006/relationships/hyperlink" Target="https://zenodo.org/record/7500612" TargetMode="External"/><Relationship Id="rId3" Type="http://schemas.openxmlformats.org/officeDocument/2006/relationships/webSettings" Target="webSettings.xml"/><Relationship Id="rId12" Type="http://schemas.openxmlformats.org/officeDocument/2006/relationships/hyperlink" Target="https://github.com/XinYijie/GlobalBuildingHeight" TargetMode="External"/><Relationship Id="rId17" Type="http://schemas.openxmlformats.org/officeDocument/2006/relationships/hyperlink" Target="https://hub.arcgis.com/datasets/0d43652d038a4a0dbca68f0501151bb0_0" TargetMode="External"/><Relationship Id="rId25" Type="http://schemas.openxmlformats.org/officeDocument/2006/relationships/hyperlink" Target="http://boston.maps.arcgis.com/home/item.html?id=c423eda7a64b49c98a9ebdf5a6b7e135" TargetMode="External"/><Relationship Id="rId33" Type="http://schemas.openxmlformats.org/officeDocument/2006/relationships/hyperlink" Target="https://hub.arcgis.com/datasets/065e40f79b784848b403130234d95a1e_5?geometry=-97.326%2C43.445%2C-96.019%2C43.619&amp;page=8145" TargetMode="External"/><Relationship Id="rId3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pernicus_Word_template">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23603</TotalTime>
  <Pages>24</Pages>
  <Words>21741</Words>
  <Characters>128495</Characters>
  <Application>Microsoft Office Word</Application>
  <DocSecurity>0</DocSecurity>
  <Lines>1946</Lines>
  <Paragraphs>311</Paragraphs>
  <ScaleCrop>false</ScaleCrop>
  <Company/>
  <LinksUpToDate>false</LinksUpToDate>
  <CharactersWithSpaces>149925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可超</dc:creator>
  <cp:keywords/>
  <dc:description/>
  <cp:lastModifiedBy>王 可超</cp:lastModifiedBy>
  <cp:revision>58</cp:revision>
  <dcterms:created xsi:type="dcterms:W3CDTF">2024-01-26T08:22:00Z</dcterms:created>
  <dcterms:modified xsi:type="dcterms:W3CDTF">2024-05-09T11:38:00Z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id="X6soPRQW"/&gt;&lt;style id="http://www.zotero.org/styles/apa" locale="en-US" hasBibliography="1" bibliographyStyleHasBeenSet="1"/&gt;&lt;prefs&gt;&lt;pref name="fieldType" value="Field"/&gt;&lt;/prefs&gt;&lt;/data&gt;</vt:lpwstr>
  </property>
</Properties>
</file>