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499995" cy="1681480"/>
            <wp:effectExtent l="0" t="0" r="508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34285" cy="1707515"/>
            <wp:effectExtent l="0" t="0" r="889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4285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p>
      <w:r>
        <w:drawing>
          <wp:inline distT="0" distB="0" distL="114300" distR="114300">
            <wp:extent cx="2412365" cy="161925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82850" cy="1659255"/>
            <wp:effectExtent l="0" t="0" r="317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textWrapping"/>
      </w:r>
      <w:r>
        <w:drawing>
          <wp:inline distT="0" distB="0" distL="114300" distR="114300">
            <wp:extent cx="2589530" cy="173355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ure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1.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Association of predicted LpPLA2 levels with incident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MACE in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285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CSF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on data following multiple imputation with 5 replications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through 4-knotted RCS curve adjusted for covariates in model 3.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Hazard ratio is indicated by solid line and 95% CI by shaded area. Reference point was set at tenth percentiles while knots corresponded to 5th, 35th, 65th, and 95th percentiles. Standard deviation for LpPLA2 levels was 38.83 ng/ml.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3A067A2"/>
    <w:rsid w:val="44193849"/>
    <w:rsid w:val="487F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374</Characters>
  <Lines>0</Lines>
  <Paragraphs>0</Paragraphs>
  <TotalTime>0</TotalTime>
  <ScaleCrop>false</ScaleCrop>
  <LinksUpToDate>false</LinksUpToDate>
  <CharactersWithSpaces>443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2024-06-27T06:11:00Z</dcterms:created>
  <dc:creator>xianj</dc:creator>
  <cp:lastModifiedBy>老懒</cp:lastModifiedBy>
  <dcterms:modified xsi:type="dcterms:W3CDTF">2024-06-27T15:46:53Z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DED7B37FB6A4486CABBF8D6B5569E57F_12</vt:lpwstr>
  </property>
</Properties>
</file>