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F66D36" w14:textId="77777777" w:rsidR="00271150" w:rsidRDefault="00000000">
      <w:pPr>
        <w:jc w:val="both"/>
        <w:rPr>
          <w:rFonts w:ascii="Times New Roman" w:hAnsi="Times New Roman" w:cs="Times New Roman"/>
          <w:sz w:val="32"/>
          <w:szCs w:val="32"/>
          <w:lang w:eastAsia="zh-CN"/>
        </w:rPr>
      </w:pPr>
      <w:r>
        <w:rPr>
          <w:rFonts w:ascii="Times New Roman" w:eastAsia="微软雅黑" w:hAnsi="Times New Roman" w:cs="Times New Roman"/>
          <w:b/>
          <w:bCs/>
          <w:spacing w:val="2"/>
          <w:sz w:val="32"/>
          <w:szCs w:val="32"/>
          <w:lang w:eastAsia="zh-CN"/>
        </w:rPr>
        <w:t>Club cell secretory protein 16 up-regulat</w:t>
      </w:r>
      <w:r>
        <w:rPr>
          <w:rFonts w:ascii="Times New Roman" w:eastAsia="微软雅黑" w:hAnsi="Times New Roman" w:cs="Times New Roman" w:hint="eastAsia"/>
          <w:b/>
          <w:bCs/>
          <w:spacing w:val="2"/>
          <w:sz w:val="32"/>
          <w:szCs w:val="32"/>
          <w:lang w:eastAsia="zh-CN"/>
        </w:rPr>
        <w:t>es</w:t>
      </w:r>
      <w:r>
        <w:rPr>
          <w:rFonts w:ascii="Times New Roman" w:eastAsia="微软雅黑" w:hAnsi="Times New Roman" w:cs="Times New Roman"/>
          <w:b/>
          <w:bCs/>
          <w:spacing w:val="2"/>
          <w:sz w:val="32"/>
          <w:szCs w:val="32"/>
          <w:lang w:eastAsia="zh-CN"/>
        </w:rPr>
        <w:t xml:space="preserve"> </w:t>
      </w:r>
      <w:r>
        <w:rPr>
          <w:rFonts w:ascii="Times New Roman" w:eastAsia="微软雅黑" w:hAnsi="Times New Roman" w:cs="Times New Roman" w:hint="eastAsia"/>
          <w:b/>
          <w:bCs/>
          <w:spacing w:val="2"/>
          <w:sz w:val="32"/>
          <w:szCs w:val="32"/>
          <w:lang w:eastAsia="zh-CN"/>
        </w:rPr>
        <w:t xml:space="preserve">cell </w:t>
      </w:r>
      <w:r>
        <w:rPr>
          <w:rFonts w:ascii="Times New Roman" w:eastAsia="微软雅黑" w:hAnsi="Times New Roman" w:cs="Times New Roman"/>
          <w:b/>
          <w:bCs/>
          <w:spacing w:val="2"/>
          <w:sz w:val="32"/>
          <w:szCs w:val="32"/>
          <w:lang w:eastAsia="zh-CN"/>
        </w:rPr>
        <w:t>proliferation</w:t>
      </w:r>
      <w:r>
        <w:rPr>
          <w:rFonts w:ascii="Times New Roman" w:eastAsia="微软雅黑" w:hAnsi="Times New Roman" w:cs="Times New Roman" w:hint="eastAsia"/>
          <w:b/>
          <w:bCs/>
          <w:spacing w:val="2"/>
          <w:sz w:val="32"/>
          <w:szCs w:val="32"/>
          <w:lang w:eastAsia="zh-CN"/>
        </w:rPr>
        <w:t xml:space="preserve">, </w:t>
      </w:r>
      <w:r>
        <w:rPr>
          <w:rFonts w:ascii="Times New Roman" w:eastAsia="微软雅黑" w:hAnsi="Times New Roman" w:cs="Times New Roman"/>
          <w:b/>
          <w:bCs/>
          <w:spacing w:val="2"/>
          <w:sz w:val="32"/>
          <w:szCs w:val="32"/>
          <w:lang w:eastAsia="zh-CN"/>
        </w:rPr>
        <w:t>inhibits inflammation and</w:t>
      </w:r>
      <w:r>
        <w:rPr>
          <w:rFonts w:ascii="Times New Roman" w:eastAsia="微软雅黑" w:hAnsi="Times New Roman" w:cs="Times New Roman" w:hint="eastAsia"/>
          <w:b/>
          <w:bCs/>
          <w:spacing w:val="2"/>
          <w:sz w:val="32"/>
          <w:szCs w:val="32"/>
          <w:lang w:eastAsia="zh-CN"/>
        </w:rPr>
        <w:t xml:space="preserve"> </w:t>
      </w:r>
      <w:r>
        <w:rPr>
          <w:rFonts w:ascii="Times New Roman" w:eastAsia="微软雅黑" w:hAnsi="Times New Roman" w:cs="Times New Roman"/>
          <w:b/>
          <w:bCs/>
          <w:spacing w:val="2"/>
          <w:sz w:val="32"/>
          <w:szCs w:val="32"/>
          <w:lang w:eastAsia="zh-CN"/>
        </w:rPr>
        <w:t>pyroptosis against particular matter 2.5 -induced</w:t>
      </w:r>
      <w:r>
        <w:rPr>
          <w:rFonts w:ascii="Times New Roman" w:eastAsia="微软雅黑" w:hAnsi="Times New Roman" w:cs="Times New Roman" w:hint="eastAsia"/>
          <w:b/>
          <w:bCs/>
          <w:spacing w:val="2"/>
          <w:sz w:val="32"/>
          <w:szCs w:val="32"/>
          <w:lang w:eastAsia="zh-CN"/>
        </w:rPr>
        <w:t xml:space="preserve"> </w:t>
      </w:r>
      <w:r>
        <w:rPr>
          <w:rFonts w:ascii="Times New Roman" w:eastAsia="微软雅黑" w:hAnsi="Times New Roman" w:cs="Times New Roman"/>
          <w:b/>
          <w:bCs/>
          <w:spacing w:val="2"/>
          <w:sz w:val="32"/>
          <w:szCs w:val="32"/>
          <w:lang w:eastAsia="zh-CN"/>
        </w:rPr>
        <w:t>epithelium damage in asthmatic mice</w:t>
      </w:r>
    </w:p>
    <w:p w14:paraId="663FA87D" w14:textId="70FFA59C" w:rsidR="005F6EDF" w:rsidRDefault="005F6EDF" w:rsidP="005F6EDF">
      <w:pPr>
        <w:pStyle w:val="Normal1"/>
        <w:spacing w:line="360" w:lineRule="auto"/>
        <w:jc w:val="left"/>
        <w:rPr>
          <w:rFonts w:eastAsia="微软雅黑" w:cs="Times New Roman"/>
          <w:color w:val="auto"/>
          <w:sz w:val="24"/>
          <w:szCs w:val="24"/>
          <w:vertAlign w:val="baseline"/>
        </w:rPr>
      </w:pPr>
      <w:r>
        <w:rPr>
          <w:rFonts w:eastAsia="微软雅黑" w:cs="Times New Roman"/>
          <w:color w:val="auto"/>
          <w:sz w:val="24"/>
          <w:szCs w:val="24"/>
          <w:vertAlign w:val="baseline"/>
        </w:rPr>
        <w:t>Jinle Lin</w:t>
      </w:r>
      <w:r>
        <w:rPr>
          <w:rFonts w:eastAsia="微软雅黑" w:cs="Times New Roman"/>
          <w:color w:val="auto"/>
          <w:sz w:val="24"/>
          <w:szCs w:val="24"/>
        </w:rPr>
        <w:t>2,1,3,4,6†</w:t>
      </w:r>
      <w:r>
        <w:rPr>
          <w:rFonts w:eastAsia="微软雅黑" w:cs="Times New Roman"/>
          <w:color w:val="auto"/>
          <w:sz w:val="24"/>
          <w:szCs w:val="24"/>
          <w:vertAlign w:val="baseline"/>
        </w:rPr>
        <w:t xml:space="preserve"> Xiaowen Chen</w:t>
      </w:r>
      <w:r>
        <w:rPr>
          <w:rFonts w:eastAsia="微软雅黑" w:cs="Times New Roman"/>
          <w:color w:val="auto"/>
          <w:sz w:val="24"/>
          <w:szCs w:val="24"/>
        </w:rPr>
        <w:t>1,5†</w:t>
      </w:r>
      <w:r>
        <w:rPr>
          <w:rFonts w:eastAsia="微软雅黑" w:cs="Times New Roman"/>
          <w:color w:val="auto"/>
          <w:sz w:val="24"/>
          <w:szCs w:val="24"/>
          <w:vertAlign w:val="baseline"/>
        </w:rPr>
        <w:t xml:space="preserve"> </w:t>
      </w:r>
      <w:r>
        <w:rPr>
          <w:rFonts w:eastAsia="微软雅黑" w:cs="Times New Roman" w:hint="eastAsia"/>
          <w:color w:val="auto"/>
          <w:sz w:val="24"/>
          <w:szCs w:val="24"/>
          <w:vertAlign w:val="baseline"/>
        </w:rPr>
        <w:t>Yuehua Chen</w:t>
      </w:r>
      <w:r>
        <w:rPr>
          <w:rFonts w:eastAsia="微软雅黑" w:cs="Times New Roman"/>
          <w:color w:val="auto"/>
          <w:sz w:val="24"/>
          <w:szCs w:val="24"/>
        </w:rPr>
        <w:t>1,</w:t>
      </w:r>
      <w:r w:rsidR="00E5145F">
        <w:rPr>
          <w:rFonts w:eastAsia="微软雅黑" w:cs="Times New Roman" w:hint="eastAsia"/>
          <w:color w:val="auto"/>
          <w:sz w:val="24"/>
          <w:szCs w:val="24"/>
        </w:rPr>
        <w:t>6</w:t>
      </w:r>
      <w:r>
        <w:rPr>
          <w:rFonts w:eastAsia="微软雅黑" w:cs="Times New Roman"/>
          <w:color w:val="auto"/>
          <w:sz w:val="24"/>
          <w:szCs w:val="24"/>
        </w:rPr>
        <w:t>†</w:t>
      </w:r>
      <w:r>
        <w:rPr>
          <w:rFonts w:eastAsia="微软雅黑" w:cs="Times New Roman" w:hint="eastAsia"/>
          <w:color w:val="auto"/>
          <w:sz w:val="24"/>
          <w:szCs w:val="24"/>
          <w:vertAlign w:val="baseline"/>
        </w:rPr>
        <w:t xml:space="preserve"> </w:t>
      </w:r>
      <w:r>
        <w:rPr>
          <w:rFonts w:eastAsia="微软雅黑" w:cs="Times New Roman"/>
          <w:color w:val="auto"/>
          <w:sz w:val="24"/>
          <w:szCs w:val="24"/>
          <w:vertAlign w:val="baseline"/>
        </w:rPr>
        <w:t>Xiaobing Zeng</w:t>
      </w:r>
      <w:r>
        <w:rPr>
          <w:rFonts w:eastAsia="微软雅黑" w:cs="Times New Roman"/>
          <w:color w:val="auto"/>
          <w:sz w:val="24"/>
          <w:szCs w:val="24"/>
        </w:rPr>
        <w:t>4†</w:t>
      </w:r>
      <w:r>
        <w:rPr>
          <w:rFonts w:eastAsia="微软雅黑" w:cs="Times New Roman"/>
          <w:color w:val="auto"/>
          <w:sz w:val="24"/>
          <w:szCs w:val="24"/>
          <w:vertAlign w:val="baseline"/>
        </w:rPr>
        <w:t xml:space="preserve"> Jie Yao</w:t>
      </w:r>
      <w:r>
        <w:rPr>
          <w:rFonts w:eastAsia="微软雅黑" w:cs="Times New Roman"/>
          <w:color w:val="auto"/>
          <w:sz w:val="24"/>
          <w:szCs w:val="24"/>
        </w:rPr>
        <w:t>4</w:t>
      </w:r>
      <w:r>
        <w:rPr>
          <w:rFonts w:eastAsia="微软雅黑" w:cs="Times New Roman"/>
          <w:color w:val="auto"/>
          <w:sz w:val="24"/>
          <w:szCs w:val="24"/>
          <w:vertAlign w:val="baseline"/>
        </w:rPr>
        <w:t xml:space="preserve"> Yuyang Miao</w:t>
      </w:r>
      <w:r>
        <w:rPr>
          <w:rFonts w:eastAsia="微软雅黑" w:cs="Times New Roman"/>
          <w:color w:val="auto"/>
          <w:sz w:val="24"/>
          <w:szCs w:val="24"/>
        </w:rPr>
        <w:t>4</w:t>
      </w:r>
      <w:r>
        <w:rPr>
          <w:rFonts w:eastAsia="微软雅黑" w:cs="Times New Roman"/>
          <w:color w:val="auto"/>
          <w:sz w:val="24"/>
          <w:szCs w:val="24"/>
          <w:vertAlign w:val="baseline"/>
        </w:rPr>
        <w:t xml:space="preserve"> Fang Wang</w:t>
      </w:r>
      <w:r>
        <w:rPr>
          <w:rFonts w:eastAsia="微软雅黑" w:cs="Times New Roman"/>
          <w:color w:val="auto"/>
          <w:sz w:val="24"/>
          <w:szCs w:val="24"/>
        </w:rPr>
        <w:t>1,</w:t>
      </w:r>
      <w:r w:rsidRPr="005E32CE">
        <w:rPr>
          <w:rFonts w:eastAsia="微软雅黑" w:cs="Times New Roman"/>
          <w:color w:val="auto"/>
          <w:sz w:val="24"/>
          <w:szCs w:val="24"/>
        </w:rPr>
        <w:t>5</w:t>
      </w:r>
      <w:r>
        <w:rPr>
          <w:rFonts w:eastAsia="微软雅黑" w:cs="Times New Roman"/>
          <w:color w:val="auto"/>
          <w:sz w:val="24"/>
          <w:szCs w:val="24"/>
          <w:vertAlign w:val="baseline"/>
        </w:rPr>
        <w:t xml:space="preserve"> Shaohua Luo</w:t>
      </w:r>
      <w:r>
        <w:rPr>
          <w:rFonts w:eastAsia="微软雅黑" w:cs="Times New Roman"/>
          <w:color w:val="auto"/>
          <w:sz w:val="24"/>
          <w:szCs w:val="24"/>
        </w:rPr>
        <w:t>1,6</w:t>
      </w:r>
      <w:r>
        <w:rPr>
          <w:rFonts w:eastAsia="微软雅黑" w:cs="Times New Roman"/>
          <w:color w:val="auto"/>
          <w:sz w:val="24"/>
          <w:szCs w:val="24"/>
          <w:vertAlign w:val="baseline"/>
        </w:rPr>
        <w:t xml:space="preserve"> Lei Jiang</w:t>
      </w:r>
      <w:r>
        <w:rPr>
          <w:rFonts w:eastAsia="微软雅黑" w:cs="Times New Roman"/>
          <w:color w:val="auto"/>
          <w:sz w:val="24"/>
          <w:szCs w:val="24"/>
        </w:rPr>
        <w:t>1</w:t>
      </w:r>
      <w:r>
        <w:rPr>
          <w:rFonts w:eastAsia="微软雅黑" w:cs="Times New Roman"/>
          <w:color w:val="auto"/>
          <w:sz w:val="24"/>
          <w:szCs w:val="24"/>
          <w:vertAlign w:val="baseline"/>
        </w:rPr>
        <w:t xml:space="preserve"> Wenxue Hu</w:t>
      </w:r>
      <w:r>
        <w:rPr>
          <w:rFonts w:eastAsia="微软雅黑" w:cs="Times New Roman"/>
          <w:color w:val="auto"/>
          <w:sz w:val="24"/>
          <w:szCs w:val="24"/>
        </w:rPr>
        <w:t>1</w:t>
      </w:r>
      <w:r>
        <w:rPr>
          <w:rFonts w:eastAsia="微软雅黑" w:cs="Times New Roman"/>
          <w:color w:val="auto"/>
          <w:sz w:val="24"/>
          <w:szCs w:val="24"/>
          <w:vertAlign w:val="baseline"/>
        </w:rPr>
        <w:t xml:space="preserve"> Xiaolong Liu</w:t>
      </w:r>
      <w:r>
        <w:rPr>
          <w:rFonts w:eastAsia="微软雅黑" w:cs="Times New Roman"/>
          <w:color w:val="auto"/>
          <w:sz w:val="24"/>
          <w:szCs w:val="24"/>
        </w:rPr>
        <w:t>1,6</w:t>
      </w:r>
      <w:r>
        <w:rPr>
          <w:rFonts w:eastAsia="微软雅黑" w:cs="Times New Roman" w:hint="eastAsia"/>
          <w:color w:val="auto"/>
          <w:sz w:val="24"/>
          <w:szCs w:val="24"/>
          <w:vertAlign w:val="baseline"/>
        </w:rPr>
        <w:t xml:space="preserve"> J</w:t>
      </w:r>
      <w:r>
        <w:rPr>
          <w:rFonts w:eastAsia="微软雅黑" w:cs="Times New Roman"/>
          <w:color w:val="auto"/>
          <w:sz w:val="24"/>
          <w:szCs w:val="24"/>
          <w:vertAlign w:val="baseline"/>
        </w:rPr>
        <w:t>ing Zhang</w:t>
      </w:r>
      <w:r>
        <w:rPr>
          <w:rFonts w:eastAsia="微软雅黑" w:cs="Times New Roman"/>
          <w:color w:val="auto"/>
          <w:sz w:val="24"/>
          <w:szCs w:val="24"/>
        </w:rPr>
        <w:t>1</w:t>
      </w:r>
      <w:r>
        <w:rPr>
          <w:rFonts w:eastAsia="微软雅黑" w:cs="Times New Roman"/>
          <w:color w:val="auto"/>
          <w:sz w:val="24"/>
          <w:szCs w:val="24"/>
          <w:vertAlign w:val="baseline"/>
        </w:rPr>
        <w:t xml:space="preserve"> Wenwu Zhang</w:t>
      </w:r>
      <w:r>
        <w:rPr>
          <w:rFonts w:eastAsia="微软雅黑" w:cs="Times New Roman"/>
          <w:color w:val="auto"/>
          <w:sz w:val="24"/>
          <w:szCs w:val="24"/>
        </w:rPr>
        <w:t>2</w:t>
      </w:r>
      <w:r>
        <w:rPr>
          <w:rFonts w:eastAsia="微软雅黑" w:cs="Times New Roman"/>
          <w:color w:val="auto"/>
          <w:sz w:val="24"/>
          <w:szCs w:val="24"/>
          <w:vertAlign w:val="baseline"/>
        </w:rPr>
        <w:t xml:space="preserve"> Qingli Dou</w:t>
      </w:r>
      <w:r>
        <w:rPr>
          <w:rFonts w:eastAsia="微软雅黑" w:cs="Times New Roman"/>
          <w:color w:val="auto"/>
          <w:sz w:val="24"/>
          <w:szCs w:val="24"/>
        </w:rPr>
        <w:t>2</w:t>
      </w:r>
      <w:r>
        <w:rPr>
          <w:rFonts w:eastAsia="微软雅黑" w:cs="Times New Roman"/>
          <w:color w:val="auto"/>
          <w:sz w:val="24"/>
          <w:szCs w:val="24"/>
          <w:vertAlign w:val="baseline"/>
        </w:rPr>
        <w:t xml:space="preserve"> Zhongping</w:t>
      </w:r>
      <w:r w:rsidRPr="005E32CE">
        <w:rPr>
          <w:rFonts w:eastAsia="微软雅黑" w:cs="Times New Roman"/>
          <w:color w:val="auto"/>
          <w:sz w:val="24"/>
          <w:szCs w:val="24"/>
          <w:vertAlign w:val="baseline"/>
        </w:rPr>
        <w:t xml:space="preserve"> Li</w:t>
      </w:r>
      <w:r>
        <w:rPr>
          <w:rFonts w:eastAsia="微软雅黑" w:cs="Times New Roman"/>
          <w:color w:val="auto"/>
          <w:sz w:val="24"/>
          <w:szCs w:val="24"/>
        </w:rPr>
        <w:t>1,6</w:t>
      </w:r>
      <w:r>
        <w:rPr>
          <w:rFonts w:eastAsia="微软雅黑" w:cs="Times New Roman"/>
          <w:color w:val="auto"/>
          <w:sz w:val="24"/>
          <w:szCs w:val="24"/>
          <w:vertAlign w:val="baseline"/>
        </w:rPr>
        <w:t xml:space="preserve"> Siping</w:t>
      </w:r>
      <w:r w:rsidRPr="005E32CE">
        <w:rPr>
          <w:rFonts w:eastAsia="微软雅黑" w:cs="Times New Roman"/>
          <w:color w:val="auto"/>
          <w:sz w:val="24"/>
          <w:szCs w:val="24"/>
          <w:vertAlign w:val="baseline"/>
        </w:rPr>
        <w:t xml:space="preserve"> Zhou</w:t>
      </w:r>
      <w:r>
        <w:rPr>
          <w:rFonts w:eastAsia="微软雅黑" w:cs="Times New Roman"/>
          <w:color w:val="auto"/>
          <w:sz w:val="24"/>
          <w:szCs w:val="24"/>
        </w:rPr>
        <w:t>1,6</w:t>
      </w:r>
      <w:r>
        <w:rPr>
          <w:rFonts w:eastAsia="微软雅黑" w:cs="Times New Roman" w:hint="eastAsia"/>
          <w:color w:val="auto"/>
          <w:sz w:val="24"/>
          <w:szCs w:val="24"/>
          <w:vertAlign w:val="baseline"/>
        </w:rPr>
        <w:t xml:space="preserve">  </w:t>
      </w:r>
    </w:p>
    <w:p w14:paraId="332FB0A8" w14:textId="77777777" w:rsidR="005F6EDF" w:rsidRDefault="005F6EDF" w:rsidP="005F6EDF">
      <w:pPr>
        <w:pStyle w:val="Normal1"/>
        <w:spacing w:line="360" w:lineRule="auto"/>
        <w:jc w:val="left"/>
        <w:rPr>
          <w:rFonts w:eastAsia="微软雅黑" w:cs="Times New Roman"/>
          <w:color w:val="auto"/>
          <w:sz w:val="24"/>
          <w:szCs w:val="24"/>
          <w:vertAlign w:val="baseline"/>
        </w:rPr>
      </w:pPr>
      <w:r>
        <w:rPr>
          <w:rFonts w:eastAsia="微软雅黑" w:cs="Times New Roman"/>
          <w:color w:val="auto"/>
          <w:sz w:val="24"/>
          <w:szCs w:val="24"/>
          <w:vertAlign w:val="baseline"/>
        </w:rPr>
        <w:t>Jian Wu</w:t>
      </w:r>
      <w:r>
        <w:rPr>
          <w:rFonts w:eastAsia="微软雅黑" w:cs="Times New Roman"/>
          <w:color w:val="auto"/>
          <w:sz w:val="24"/>
          <w:szCs w:val="24"/>
        </w:rPr>
        <w:t>1,6,5</w:t>
      </w:r>
    </w:p>
    <w:p w14:paraId="52356A66" w14:textId="77777777" w:rsidR="005F6EDF" w:rsidRDefault="005F6EDF">
      <w:pPr>
        <w:pStyle w:val="Normal1"/>
        <w:spacing w:line="360" w:lineRule="auto"/>
        <w:jc w:val="left"/>
        <w:rPr>
          <w:rFonts w:eastAsia="微软雅黑" w:cs="Times New Roman"/>
          <w:color w:val="auto"/>
          <w:sz w:val="24"/>
          <w:szCs w:val="24"/>
          <w:vertAlign w:val="baseline"/>
        </w:rPr>
      </w:pPr>
    </w:p>
    <w:p w14:paraId="13818B3F" w14:textId="1F9AEB61" w:rsidR="005F6EDF" w:rsidRDefault="005F6EDF">
      <w:pPr>
        <w:spacing w:line="360" w:lineRule="auto"/>
        <w:jc w:val="both"/>
        <w:rPr>
          <w:rFonts w:ascii="Times New Roman" w:eastAsia="微软雅黑" w:hAnsi="Times New Roman" w:cs="Times New Roman"/>
          <w:b/>
          <w:bCs/>
          <w:sz w:val="24"/>
          <w:szCs w:val="24"/>
        </w:rPr>
      </w:pPr>
      <w:r>
        <w:rPr>
          <w:rFonts w:ascii="Times New Roman" w:eastAsia="宋体" w:hAnsi="Times New Roman" w:cs="Times New Roman"/>
          <w:color w:val="000000"/>
          <w:sz w:val="24"/>
          <w:szCs w:val="24"/>
          <w:lang w:eastAsia="zh-CN" w:bidi="ar"/>
        </w:rPr>
        <w:t>JL</w:t>
      </w:r>
      <w:r>
        <w:rPr>
          <w:rFonts w:ascii="Times New Roman" w:eastAsia="宋体" w:hAnsi="Times New Roman" w:cs="Times New Roman" w:hint="eastAsia"/>
          <w:color w:val="000000"/>
          <w:sz w:val="24"/>
          <w:szCs w:val="24"/>
          <w:lang w:eastAsia="zh-CN" w:bidi="ar"/>
        </w:rPr>
        <w:t xml:space="preserve">, </w:t>
      </w:r>
      <w:r>
        <w:rPr>
          <w:rFonts w:ascii="Times New Roman" w:eastAsia="宋体" w:hAnsi="Times New Roman" w:cs="Times New Roman"/>
          <w:color w:val="000000"/>
          <w:sz w:val="24"/>
          <w:szCs w:val="24"/>
          <w:lang w:eastAsia="zh-CN" w:bidi="ar"/>
        </w:rPr>
        <w:t>XC, YC and XZ</w:t>
      </w:r>
      <w:r>
        <w:rPr>
          <w:rFonts w:ascii="Times New Roman" w:eastAsia="微软雅黑" w:hAnsi="Times New Roman" w:cs="Times New Roman" w:hint="eastAsia"/>
          <w:sz w:val="24"/>
          <w:szCs w:val="24"/>
          <w:lang w:eastAsia="zh-CN"/>
        </w:rPr>
        <w:t xml:space="preserve"> equal </w:t>
      </w:r>
      <w:r>
        <w:rPr>
          <w:rFonts w:ascii="Times New Roman" w:eastAsia="微软雅黑" w:hAnsi="Times New Roman" w:cs="Times New Roman"/>
          <w:sz w:val="24"/>
          <w:szCs w:val="24"/>
        </w:rPr>
        <w:t>Contribution</w:t>
      </w:r>
      <w:r>
        <w:rPr>
          <w:rFonts w:ascii="Times New Roman" w:eastAsia="微软雅黑" w:hAnsi="Times New Roman" w:cs="Times New Roman" w:hint="eastAsia"/>
          <w:sz w:val="24"/>
          <w:szCs w:val="24"/>
          <w:lang w:eastAsia="zh-CN"/>
        </w:rPr>
        <w:t>.</w:t>
      </w:r>
    </w:p>
    <w:p w14:paraId="11CCF225" w14:textId="18E13A2D" w:rsidR="00271150" w:rsidRDefault="00000000">
      <w:pPr>
        <w:spacing w:line="360" w:lineRule="auto"/>
        <w:jc w:val="both"/>
        <w:rPr>
          <w:rFonts w:ascii="Times New Roman" w:eastAsia="微软雅黑" w:hAnsi="Times New Roman" w:cs="Times New Roman"/>
          <w:b/>
          <w:bCs/>
          <w:sz w:val="24"/>
          <w:szCs w:val="24"/>
          <w:lang w:eastAsia="zh-CN"/>
        </w:rPr>
      </w:pPr>
      <w:r>
        <w:rPr>
          <w:rFonts w:ascii="Times New Roman" w:eastAsia="微软雅黑" w:hAnsi="Times New Roman" w:cs="Times New Roman"/>
          <w:b/>
          <w:bCs/>
          <w:sz w:val="24"/>
          <w:szCs w:val="24"/>
        </w:rPr>
        <w:t>Correspondence:</w:t>
      </w:r>
      <w:r>
        <w:rPr>
          <w:rFonts w:ascii="Times New Roman" w:eastAsia="微软雅黑" w:hAnsi="Times New Roman" w:cs="Times New Roman"/>
          <w:b/>
          <w:bCs/>
          <w:sz w:val="24"/>
          <w:szCs w:val="24"/>
          <w:lang w:eastAsia="zh-CN"/>
        </w:rPr>
        <w:t xml:space="preserve"> </w:t>
      </w:r>
    </w:p>
    <w:p w14:paraId="7E7222EB" w14:textId="77777777" w:rsidR="00271150" w:rsidRDefault="00000000">
      <w:pPr>
        <w:pStyle w:val="Normal1"/>
        <w:spacing w:line="360" w:lineRule="auto"/>
        <w:rPr>
          <w:rFonts w:eastAsia="微软雅黑" w:cs="Times New Roman"/>
          <w:color w:val="auto"/>
          <w:sz w:val="24"/>
          <w:szCs w:val="24"/>
          <w:vertAlign w:val="baseline"/>
        </w:rPr>
      </w:pPr>
      <w:r>
        <w:rPr>
          <w:rFonts w:eastAsia="微软雅黑" w:cs="Times New Roman"/>
          <w:color w:val="auto"/>
          <w:sz w:val="24"/>
          <w:szCs w:val="24"/>
          <w:vertAlign w:val="baseline"/>
        </w:rPr>
        <w:t>Jian Wu</w:t>
      </w:r>
      <w:r>
        <w:rPr>
          <w:rFonts w:eastAsia="微软雅黑" w:cs="Times New Roman" w:hint="eastAsia"/>
          <w:color w:val="auto"/>
          <w:sz w:val="24"/>
          <w:szCs w:val="24"/>
          <w:vertAlign w:val="baseline"/>
        </w:rPr>
        <w:t xml:space="preserve">, </w:t>
      </w:r>
      <w:r>
        <w:rPr>
          <w:rFonts w:eastAsia="微软雅黑" w:cs="Times New Roman"/>
          <w:color w:val="auto"/>
          <w:sz w:val="24"/>
          <w:szCs w:val="24"/>
          <w:vertAlign w:val="baseline"/>
        </w:rPr>
        <w:t>Second Department of Elderly Respiratory, Guangdong Provincial People’s Hospital, Guangdong Academy of Medical Sciences, Guangdong Provincial Geriatrics Institute, No106. Zhongshan er road, Yuexiu District, Guangzhou, Guangdong, China.</w:t>
      </w:r>
      <w:r>
        <w:rPr>
          <w:rFonts w:eastAsia="微软雅黑" w:cs="Times New Roman" w:hint="eastAsia"/>
          <w:color w:val="auto"/>
          <w:sz w:val="24"/>
          <w:szCs w:val="24"/>
          <w:vertAlign w:val="baseline"/>
        </w:rPr>
        <w:t xml:space="preserve"> Email: </w:t>
      </w:r>
      <w:hyperlink r:id="rId6" w:history="1">
        <w:r>
          <w:rPr>
            <w:rFonts w:eastAsia="微软雅黑" w:cs="Times New Roman"/>
            <w:color w:val="auto"/>
            <w:sz w:val="24"/>
            <w:szCs w:val="24"/>
            <w:vertAlign w:val="baseline"/>
          </w:rPr>
          <w:t>sywujian@scut.edu.cn</w:t>
        </w:r>
      </w:hyperlink>
    </w:p>
    <w:p w14:paraId="7BB29B63" w14:textId="77777777" w:rsidR="00271150" w:rsidRDefault="00000000">
      <w:pPr>
        <w:rPr>
          <w:rFonts w:ascii="Times New Roman" w:eastAsia="微软雅黑" w:hAnsi="Times New Roman" w:cs="Times New Roman"/>
          <w:sz w:val="24"/>
          <w:szCs w:val="24"/>
        </w:rPr>
      </w:pPr>
      <w:r>
        <w:rPr>
          <w:rFonts w:ascii="Times New Roman" w:eastAsia="微软雅黑" w:hAnsi="Times New Roman" w:cs="Times New Roman"/>
          <w:sz w:val="24"/>
          <w:szCs w:val="24"/>
        </w:rPr>
        <w:br w:type="page"/>
      </w:r>
    </w:p>
    <w:p w14:paraId="0E001549" w14:textId="77777777" w:rsidR="00271150" w:rsidRDefault="00000000">
      <w:pPr>
        <w:shd w:val="clear" w:color="auto" w:fill="FFFFFF" w:themeFill="background1"/>
        <w:spacing w:after="100" w:afterAutospacing="1" w:line="480" w:lineRule="auto"/>
        <w:jc w:val="center"/>
        <w:rPr>
          <w:rFonts w:ascii="Times New Roman" w:eastAsia="Times New Roman" w:hAnsi="Times New Roman" w:cs="Times New Roman"/>
          <w:b/>
          <w:bCs/>
          <w:color w:val="212529"/>
          <w:sz w:val="24"/>
          <w:szCs w:val="24"/>
        </w:rPr>
      </w:pPr>
      <w:r>
        <w:rPr>
          <w:rFonts w:ascii="Times New Roman" w:eastAsia="Times New Roman" w:hAnsi="Times New Roman" w:cs="Times New Roman"/>
          <w:b/>
          <w:bCs/>
          <w:color w:val="212529"/>
          <w:sz w:val="24"/>
          <w:szCs w:val="24"/>
        </w:rPr>
        <w:lastRenderedPageBreak/>
        <w:t>Online Data Supplement</w:t>
      </w:r>
    </w:p>
    <w:p w14:paraId="343D4FC9" w14:textId="77777777" w:rsidR="00271150" w:rsidRDefault="00000000">
      <w:pPr>
        <w:shd w:val="clear" w:color="auto" w:fill="FFFFFF" w:themeFill="background1"/>
        <w:spacing w:after="100" w:afterAutospacing="1" w:line="480" w:lineRule="auto"/>
        <w:rPr>
          <w:rFonts w:ascii="Times New Roman" w:eastAsia="Times New Roman" w:hAnsi="Times New Roman" w:cs="Times New Roman"/>
          <w:b/>
          <w:bCs/>
          <w:color w:val="212529"/>
          <w:sz w:val="24"/>
          <w:szCs w:val="24"/>
        </w:rPr>
      </w:pPr>
      <w:r>
        <w:rPr>
          <w:rFonts w:ascii="Times New Roman" w:eastAsia="Times New Roman" w:hAnsi="Times New Roman" w:cs="Times New Roman"/>
          <w:b/>
          <w:bCs/>
          <w:color w:val="212529"/>
          <w:sz w:val="24"/>
          <w:szCs w:val="24"/>
        </w:rPr>
        <w:t>Contents</w:t>
      </w:r>
    </w:p>
    <w:p w14:paraId="2F2AA9B0" w14:textId="77777777" w:rsidR="00271150" w:rsidRDefault="00000000">
      <w:pPr>
        <w:spacing w:after="0" w:line="480"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color w:val="212529"/>
          <w:sz w:val="24"/>
          <w:szCs w:val="24"/>
        </w:rPr>
        <w:t xml:space="preserve">Online Supplementary </w:t>
      </w:r>
      <w:r>
        <w:rPr>
          <w:rFonts w:ascii="Times New Roman" w:eastAsia="Times New Roman" w:hAnsi="Times New Roman" w:cs="Times New Roman"/>
          <w:sz w:val="24"/>
          <w:szCs w:val="24"/>
        </w:rPr>
        <w:t>Methods</w:t>
      </w:r>
    </w:p>
    <w:p w14:paraId="12BC8C59" w14:textId="77777777" w:rsidR="00271150" w:rsidRDefault="00000000">
      <w:pPr>
        <w:shd w:val="clear" w:color="auto" w:fill="FFFFFF" w:themeFill="background1"/>
        <w:spacing w:after="0" w:line="480" w:lineRule="auto"/>
        <w:jc w:val="both"/>
        <w:rPr>
          <w:rFonts w:ascii="Times New Roman" w:eastAsia="Times New Roman" w:hAnsi="Times New Roman" w:cs="Times New Roman"/>
          <w:color w:val="212529"/>
          <w:sz w:val="24"/>
          <w:szCs w:val="24"/>
        </w:rPr>
      </w:pPr>
      <w:r>
        <w:rPr>
          <w:rFonts w:ascii="Times New Roman" w:eastAsia="Times New Roman" w:hAnsi="Times New Roman" w:cs="Times New Roman"/>
          <w:color w:val="212529"/>
          <w:sz w:val="24"/>
          <w:szCs w:val="24"/>
        </w:rPr>
        <w:t>Online Supplementary Tables</w:t>
      </w:r>
    </w:p>
    <w:p w14:paraId="6660E9C7" w14:textId="77777777" w:rsidR="00271150" w:rsidRDefault="00000000">
      <w:pPr>
        <w:rPr>
          <w:rFonts w:ascii="Times New Roman" w:eastAsia="微软雅黑" w:hAnsi="Times New Roman" w:cs="Times New Roman"/>
          <w:sz w:val="24"/>
          <w:szCs w:val="24"/>
        </w:rPr>
      </w:pPr>
      <w:r>
        <w:rPr>
          <w:rFonts w:ascii="Times New Roman" w:eastAsia="微软雅黑" w:hAnsi="Times New Roman" w:cs="Times New Roman"/>
          <w:sz w:val="24"/>
          <w:szCs w:val="24"/>
        </w:rPr>
        <w:br w:type="page"/>
      </w:r>
    </w:p>
    <w:p w14:paraId="2EF56105" w14:textId="77777777" w:rsidR="00271150" w:rsidRDefault="00000000">
      <w:pPr>
        <w:spacing w:after="0" w:line="480" w:lineRule="auto"/>
        <w:jc w:val="center"/>
        <w:textAlignment w:val="baseline"/>
        <w:rPr>
          <w:rFonts w:ascii="Times New Roman" w:eastAsia="Times New Roman" w:hAnsi="Times New Roman" w:cs="Times New Roman"/>
          <w:b/>
          <w:bCs/>
          <w:sz w:val="24"/>
          <w:szCs w:val="24"/>
        </w:rPr>
      </w:pPr>
      <w:r>
        <w:rPr>
          <w:rFonts w:ascii="Times New Roman" w:eastAsia="Times New Roman" w:hAnsi="Times New Roman" w:cs="Times New Roman"/>
          <w:b/>
          <w:bCs/>
          <w:color w:val="212529"/>
          <w:sz w:val="24"/>
          <w:szCs w:val="24"/>
        </w:rPr>
        <w:lastRenderedPageBreak/>
        <w:t>Online Supplementary</w:t>
      </w:r>
      <w:r>
        <w:rPr>
          <w:rFonts w:ascii="Times New Roman" w:eastAsia="Times New Roman" w:hAnsi="Times New Roman" w:cs="Times New Roman"/>
          <w:b/>
          <w:bCs/>
          <w:sz w:val="24"/>
          <w:szCs w:val="24"/>
        </w:rPr>
        <w:t xml:space="preserve"> Methods</w:t>
      </w:r>
    </w:p>
    <w:p w14:paraId="1697BB9C" w14:textId="77777777" w:rsidR="00271150" w:rsidRDefault="00000000">
      <w:pPr>
        <w:spacing w:line="360" w:lineRule="auto"/>
        <w:jc w:val="both"/>
        <w:rPr>
          <w:rFonts w:ascii="Times New Roman" w:eastAsia="微软雅黑" w:hAnsi="Times New Roman" w:cs="Times New Roman"/>
          <w:i/>
          <w:iCs/>
          <w:sz w:val="24"/>
          <w:szCs w:val="24"/>
          <w:lang w:eastAsia="zh-CN"/>
        </w:rPr>
      </w:pPr>
      <w:r>
        <w:rPr>
          <w:rFonts w:ascii="Times New Roman" w:eastAsia="微软雅黑" w:hAnsi="Times New Roman" w:cs="Times New Roman"/>
          <w:b/>
          <w:bCs/>
          <w:sz w:val="24"/>
          <w:szCs w:val="24"/>
          <w:lang w:eastAsia="zh-CN"/>
        </w:rPr>
        <w:t>Methods</w:t>
      </w:r>
    </w:p>
    <w:p w14:paraId="56050B64" w14:textId="77777777" w:rsidR="00271150" w:rsidRDefault="00000000">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Collection of PM</w:t>
      </w:r>
      <w:r>
        <w:rPr>
          <w:rFonts w:ascii="Times New Roman" w:hAnsi="Times New Roman" w:cs="Times New Roman"/>
          <w:b/>
          <w:bCs/>
          <w:sz w:val="24"/>
          <w:szCs w:val="24"/>
          <w:vertAlign w:val="subscript"/>
        </w:rPr>
        <w:t>2.5</w:t>
      </w:r>
      <w:r>
        <w:rPr>
          <w:rFonts w:ascii="Times New Roman" w:hAnsi="Times New Roman" w:cs="Times New Roman"/>
          <w:b/>
          <w:bCs/>
          <w:sz w:val="24"/>
          <w:szCs w:val="24"/>
        </w:rPr>
        <w:t xml:space="preserve"> and sample preparation </w:t>
      </w:r>
    </w:p>
    <w:p w14:paraId="1A92CC41" w14:textId="77777777" w:rsidR="00271150" w:rsidRDefault="00000000">
      <w:pPr>
        <w:spacing w:after="0" w:line="360" w:lineRule="auto"/>
        <w:jc w:val="both"/>
        <w:rPr>
          <w:rFonts w:ascii="Times New Roman" w:eastAsia="宋体" w:hAnsi="Times New Roman" w:cs="Times New Roman"/>
          <w:sz w:val="24"/>
          <w:szCs w:val="24"/>
          <w:lang w:eastAsia="zh-CN"/>
        </w:rPr>
      </w:pPr>
      <w:r>
        <w:rPr>
          <w:rFonts w:ascii="Times New Roman" w:hAnsi="Times New Roman" w:cs="Times New Roman"/>
          <w:sz w:val="24"/>
          <w:szCs w:val="24"/>
        </w:rPr>
        <w:t>PM</w:t>
      </w:r>
      <w:r>
        <w:rPr>
          <w:rFonts w:ascii="Times New Roman" w:hAnsi="Times New Roman" w:cs="Times New Roman"/>
          <w:sz w:val="24"/>
          <w:szCs w:val="24"/>
          <w:vertAlign w:val="subscript"/>
        </w:rPr>
        <w:t>2.5</w:t>
      </w:r>
      <w:r>
        <w:rPr>
          <w:rFonts w:ascii="Times New Roman" w:hAnsi="Times New Roman" w:cs="Times New Roman"/>
          <w:sz w:val="24"/>
          <w:szCs w:val="24"/>
        </w:rPr>
        <w:t xml:space="preserve"> samples were obtained from the rooftops of the platform at the Guangzhou Institute of Geochemistry</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Chinese Academy of Sciences (100 m near the motorway). The sample was collected in a Tissuquartz (PALL</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California</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USA) using high-volume air samplers (Thermo Fischer Scientific</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Waltham</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USA) at the flow rate of 1.05 m</w:t>
      </w:r>
      <w:r>
        <w:rPr>
          <w:rFonts w:ascii="Times New Roman" w:hAnsi="Times New Roman" w:cs="Times New Roman"/>
          <w:sz w:val="24"/>
          <w:szCs w:val="24"/>
          <w:vertAlign w:val="superscript"/>
        </w:rPr>
        <w:t>3</w:t>
      </w:r>
      <w:r>
        <w:rPr>
          <w:rFonts w:ascii="Times New Roman" w:hAnsi="Times New Roman" w:cs="Times New Roman"/>
          <w:sz w:val="24"/>
          <w:szCs w:val="24"/>
        </w:rPr>
        <w:t>/min daily in August 2020. We placed small pieces of quartz fib</w:t>
      </w:r>
      <w:r>
        <w:rPr>
          <w:rFonts w:ascii="Times New Roman" w:eastAsia="宋体" w:hAnsi="Times New Roman" w:cs="Times New Roman"/>
          <w:sz w:val="24"/>
          <w:szCs w:val="24"/>
          <w:lang w:eastAsia="zh-CN"/>
        </w:rPr>
        <w:t>re</w:t>
      </w:r>
      <w:r>
        <w:rPr>
          <w:rFonts w:ascii="Times New Roman" w:hAnsi="Times New Roman" w:cs="Times New Roman"/>
          <w:sz w:val="24"/>
          <w:szCs w:val="24"/>
        </w:rPr>
        <w:t xml:space="preserve"> filter membrane (20</w:t>
      </w:r>
      <w:r>
        <w:rPr>
          <w:rFonts w:ascii="Times New Roman" w:hAnsi="Times New Roman" w:cs="Times New Roman"/>
          <w:sz w:val="24"/>
          <w:szCs w:val="24"/>
        </w:rPr>
        <w:sym w:font="Symbol" w:char="F0B4"/>
      </w:r>
      <w:r>
        <w:rPr>
          <w:rFonts w:ascii="Times New Roman" w:hAnsi="Times New Roman" w:cs="Times New Roman"/>
          <w:sz w:val="24"/>
          <w:szCs w:val="24"/>
        </w:rPr>
        <w:t>25-cm</w:t>
      </w:r>
      <w:r>
        <w:rPr>
          <w:rFonts w:ascii="Times New Roman" w:hAnsi="Times New Roman" w:cs="Times New Roman"/>
          <w:sz w:val="24"/>
          <w:szCs w:val="24"/>
          <w:vertAlign w:val="superscript"/>
        </w:rPr>
        <w:t>2</w:t>
      </w:r>
      <w:r>
        <w:rPr>
          <w:rFonts w:ascii="Times New Roman" w:hAnsi="Times New Roman" w:cs="Times New Roman"/>
          <w:sz w:val="24"/>
          <w:szCs w:val="24"/>
        </w:rPr>
        <w:t>) loaded with PM</w:t>
      </w:r>
      <w:r>
        <w:rPr>
          <w:rFonts w:ascii="Times New Roman" w:hAnsi="Times New Roman" w:cs="Times New Roman"/>
          <w:sz w:val="24"/>
          <w:szCs w:val="24"/>
          <w:vertAlign w:val="subscript"/>
        </w:rPr>
        <w:t>2.5</w:t>
      </w:r>
      <w:r>
        <w:rPr>
          <w:rFonts w:ascii="Times New Roman" w:hAnsi="Times New Roman" w:cs="Times New Roman"/>
          <w:sz w:val="24"/>
          <w:szCs w:val="24"/>
        </w:rPr>
        <w:t xml:space="preserve"> in 300 mL of ultrapure water. The particles were eluted from the quartz fib</w:t>
      </w:r>
      <w:r>
        <w:rPr>
          <w:rFonts w:ascii="Times New Roman" w:eastAsia="宋体" w:hAnsi="Times New Roman" w:cs="Times New Roman"/>
          <w:sz w:val="24"/>
          <w:szCs w:val="24"/>
          <w:lang w:eastAsia="zh-CN"/>
        </w:rPr>
        <w:t>re</w:t>
      </w:r>
      <w:r>
        <w:rPr>
          <w:rFonts w:ascii="Times New Roman" w:hAnsi="Times New Roman" w:cs="Times New Roman"/>
          <w:sz w:val="24"/>
          <w:szCs w:val="24"/>
        </w:rPr>
        <w:t xml:space="preserve"> filter membranes during a 30</w:t>
      </w:r>
      <w:r>
        <w:rPr>
          <w:rFonts w:ascii="Times New Roman" w:eastAsia="宋体" w:hAnsi="Times New Roman" w:cs="Times New Roman"/>
          <w:sz w:val="24"/>
          <w:szCs w:val="24"/>
          <w:lang w:eastAsia="zh-CN"/>
        </w:rPr>
        <w:t xml:space="preserve"> </w:t>
      </w:r>
      <w:r>
        <w:rPr>
          <w:rFonts w:ascii="Times New Roman" w:hAnsi="Times New Roman" w:cs="Times New Roman"/>
          <w:sz w:val="24"/>
          <w:szCs w:val="24"/>
        </w:rPr>
        <w:t>min ultrasonic vibration process. After dehydrating the membrane</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it oscillated for 30 min in an ultrasonic oscillator. After </w:t>
      </w:r>
      <w:r>
        <w:rPr>
          <w:rFonts w:ascii="Times New Roman" w:eastAsia="宋体" w:hAnsi="Times New Roman" w:cs="Times New Roman"/>
          <w:sz w:val="24"/>
          <w:szCs w:val="24"/>
          <w:lang w:eastAsia="zh-CN"/>
        </w:rPr>
        <w:t>r</w:t>
      </w:r>
      <w:r>
        <w:rPr>
          <w:rFonts w:ascii="Times New Roman" w:hAnsi="Times New Roman" w:cs="Times New Roman"/>
          <w:sz w:val="24"/>
          <w:szCs w:val="24"/>
        </w:rPr>
        <w:t>epeat</w:t>
      </w:r>
      <w:r>
        <w:rPr>
          <w:rFonts w:ascii="Times New Roman" w:eastAsia="宋体" w:hAnsi="Times New Roman" w:cs="Times New Roman"/>
          <w:sz w:val="24"/>
          <w:szCs w:val="24"/>
          <w:lang w:eastAsia="zh-CN"/>
        </w:rPr>
        <w:t>ing</w:t>
      </w:r>
      <w:r>
        <w:rPr>
          <w:rFonts w:ascii="Times New Roman" w:hAnsi="Times New Roman" w:cs="Times New Roman"/>
          <w:sz w:val="24"/>
          <w:szCs w:val="24"/>
        </w:rPr>
        <w:t xml:space="preserve"> the elution 3 times</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all eluates were collected in a large vessel. The entire PM</w:t>
      </w:r>
      <w:r>
        <w:rPr>
          <w:rFonts w:ascii="Times New Roman" w:hAnsi="Times New Roman" w:cs="Times New Roman"/>
          <w:sz w:val="24"/>
          <w:szCs w:val="24"/>
          <w:vertAlign w:val="subscript"/>
        </w:rPr>
        <w:t>2.5</w:t>
      </w:r>
      <w:r>
        <w:rPr>
          <w:rFonts w:ascii="Times New Roman" w:hAnsi="Times New Roman" w:cs="Times New Roman"/>
          <w:sz w:val="24"/>
          <w:szCs w:val="24"/>
        </w:rPr>
        <w:t xml:space="preserve"> solution was filtered through a sterile gauze</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distributed into 50-mL tubes</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and centrifuged for 60 min at 4℃ (12000 rpm). We cryopreserved the bottom layer solution of the eluate containing PM</w:t>
      </w:r>
      <w:r>
        <w:rPr>
          <w:rFonts w:ascii="Times New Roman" w:hAnsi="Times New Roman" w:cs="Times New Roman"/>
          <w:sz w:val="24"/>
          <w:szCs w:val="24"/>
          <w:vertAlign w:val="subscript"/>
        </w:rPr>
        <w:t>2.5</w:t>
      </w:r>
      <w:r>
        <w:rPr>
          <w:rFonts w:ascii="Times New Roman" w:hAnsi="Times New Roman" w:cs="Times New Roman"/>
          <w:sz w:val="24"/>
          <w:szCs w:val="24"/>
        </w:rPr>
        <w:t xml:space="preserve"> at -80℃. Freeze-dried powder of PM</w:t>
      </w:r>
      <w:r>
        <w:rPr>
          <w:rFonts w:ascii="Times New Roman" w:hAnsi="Times New Roman" w:cs="Times New Roman"/>
          <w:sz w:val="24"/>
          <w:szCs w:val="24"/>
          <w:vertAlign w:val="subscript"/>
        </w:rPr>
        <w:t>2.5</w:t>
      </w:r>
      <w:r>
        <w:rPr>
          <w:rFonts w:ascii="Times New Roman" w:hAnsi="Times New Roman" w:cs="Times New Roman"/>
          <w:sz w:val="24"/>
          <w:szCs w:val="24"/>
        </w:rPr>
        <w:t xml:space="preserve"> was prepared by using a vacuum freeze dryer for 4 h. For the cell experiment</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the lyophilized PM</w:t>
      </w:r>
      <w:r>
        <w:rPr>
          <w:rFonts w:ascii="Times New Roman" w:hAnsi="Times New Roman" w:cs="Times New Roman"/>
          <w:sz w:val="24"/>
          <w:szCs w:val="24"/>
          <w:vertAlign w:val="subscript"/>
        </w:rPr>
        <w:t>2.5</w:t>
      </w:r>
      <w:r>
        <w:rPr>
          <w:rFonts w:ascii="Times New Roman" w:hAnsi="Times New Roman" w:cs="Times New Roman"/>
          <w:sz w:val="24"/>
          <w:szCs w:val="24"/>
        </w:rPr>
        <w:t xml:space="preserve"> powder was accurately weighed</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mixed into ultrapure water and autoclaved for 20 min</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and then thawed in phosphate-buffered saline (PBS) before use. Ion chromatography</w:t>
      </w:r>
      <w:r>
        <w:rPr>
          <w:rFonts w:ascii="Times New Roman" w:eastAsia="宋体" w:hAnsi="Times New Roman" w:cs="Times New Roman"/>
          <w:sz w:val="24"/>
          <w:szCs w:val="24"/>
          <w:lang w:eastAsia="zh-CN"/>
        </w:rPr>
        <w:t xml:space="preserve">,water-soluble total organic carbon </w:t>
      </w:r>
      <w:r>
        <w:rPr>
          <w:rFonts w:ascii="Times New Roman" w:hAnsi="Times New Roman" w:cs="Times New Roman"/>
          <w:sz w:val="24"/>
          <w:szCs w:val="24"/>
        </w:rPr>
        <w:t xml:space="preserve">were </w:t>
      </w:r>
      <w:r>
        <w:rPr>
          <w:rFonts w:ascii="Times New Roman" w:eastAsia="宋体" w:hAnsi="Times New Roman" w:cs="Times New Roman"/>
          <w:sz w:val="24"/>
          <w:szCs w:val="24"/>
          <w:lang w:eastAsia="zh-CN"/>
        </w:rPr>
        <w:t xml:space="preserve">respetively </w:t>
      </w:r>
      <w:r>
        <w:rPr>
          <w:rFonts w:ascii="Times New Roman" w:hAnsi="Times New Roman" w:cs="Times New Roman"/>
          <w:sz w:val="24"/>
          <w:szCs w:val="24"/>
        </w:rPr>
        <w:t xml:space="preserve">analyses by </w:t>
      </w:r>
      <w:r>
        <w:rPr>
          <w:rFonts w:ascii="Times New Roman" w:eastAsia="宋体" w:hAnsi="Times New Roman" w:cs="Times New Roman"/>
          <w:sz w:val="24"/>
          <w:szCs w:val="24"/>
          <w:lang w:eastAsia="zh-CN"/>
        </w:rPr>
        <w:t xml:space="preserve">using </w:t>
      </w:r>
      <w:r>
        <w:rPr>
          <w:rFonts w:ascii="Times New Roman" w:hAnsi="Times New Roman" w:cs="Times New Roman"/>
          <w:sz w:val="24"/>
          <w:szCs w:val="24"/>
        </w:rPr>
        <w:t>inductively coupled plasma mass spectrometry (Thermo Finnegan</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San Jose</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USA)</w:t>
      </w:r>
      <w:r>
        <w:rPr>
          <w:rFonts w:ascii="Times New Roman" w:eastAsia="宋体" w:hAnsi="Times New Roman" w:cs="Times New Roman"/>
          <w:sz w:val="24"/>
          <w:szCs w:val="24"/>
          <w:lang w:eastAsia="zh-CN"/>
        </w:rPr>
        <w:t xml:space="preserve">, Organic carbon/elemental carbon analyzer(Desert research institute, nevada, USA)(Date in Supplementary Table 1). </w:t>
      </w:r>
    </w:p>
    <w:p w14:paraId="0CB293B0" w14:textId="77777777" w:rsidR="00271150" w:rsidRDefault="00000000">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Mice model study </w:t>
      </w:r>
    </w:p>
    <w:p w14:paraId="39D871A6" w14:textId="77777777" w:rsidR="00271150" w:rsidRDefault="00000000">
      <w:pPr>
        <w:spacing w:line="360" w:lineRule="auto"/>
        <w:jc w:val="both"/>
        <w:rPr>
          <w:rFonts w:ascii="Times New Roman" w:hAnsi="Times New Roman" w:cs="Times New Roman"/>
          <w:bCs/>
          <w:iCs/>
          <w:sz w:val="24"/>
          <w:szCs w:val="24"/>
        </w:rPr>
      </w:pPr>
      <w:r>
        <w:rPr>
          <w:rFonts w:ascii="Times New Roman" w:hAnsi="Times New Roman" w:cs="Times New Roman"/>
          <w:sz w:val="24"/>
          <w:szCs w:val="24"/>
        </w:rPr>
        <w:t>All animal experiments were conducted in accordance with the requirements of the Committee for the Use and Care of Laboratory Animals of Southern Medical University and performed under standard guidel</w:t>
      </w:r>
      <w:r>
        <w:rPr>
          <w:rFonts w:ascii="Times New Roman" w:hAnsi="Times New Roman" w:cs="Times New Roman"/>
          <w:bCs/>
          <w:iCs/>
          <w:sz w:val="24"/>
          <w:szCs w:val="24"/>
        </w:rPr>
        <w:t>ines for the Care and Use of Laboratory Animals. A total of 120 specific pathogen-free</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6-week-old male C57BL/6J mice (weight: 20–22 g) were purchased from SIPEIFU Animal </w:t>
      </w:r>
      <w:r>
        <w:rPr>
          <w:rFonts w:ascii="Times New Roman" w:eastAsia="宋体" w:hAnsi="Times New Roman" w:cs="Times New Roman"/>
          <w:bCs/>
          <w:iCs/>
          <w:sz w:val="24"/>
          <w:szCs w:val="24"/>
          <w:lang w:eastAsia="zh-CN"/>
        </w:rPr>
        <w:t xml:space="preserve">Laboratory </w:t>
      </w:r>
      <w:r>
        <w:rPr>
          <w:rFonts w:ascii="Times New Roman" w:hAnsi="Times New Roman" w:cs="Times New Roman"/>
          <w:bCs/>
          <w:iCs/>
          <w:sz w:val="24"/>
          <w:szCs w:val="24"/>
        </w:rPr>
        <w:t>(Beijing SIPEIFU Animal Science and Technology Co.</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Ltd.</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B</w:t>
      </w:r>
      <w:r>
        <w:rPr>
          <w:rFonts w:ascii="Times New Roman" w:eastAsia="宋体" w:hAnsi="Times New Roman" w:cs="Times New Roman"/>
          <w:bCs/>
          <w:iCs/>
          <w:sz w:val="24"/>
          <w:szCs w:val="24"/>
          <w:lang w:eastAsia="zh-CN"/>
        </w:rPr>
        <w:t>eijin,</w:t>
      </w:r>
      <w:r>
        <w:rPr>
          <w:rFonts w:ascii="Times New Roman" w:hAnsi="Times New Roman" w:cs="Times New Roman"/>
          <w:bCs/>
          <w:iCs/>
          <w:sz w:val="24"/>
          <w:szCs w:val="24"/>
        </w:rPr>
        <w:t xml:space="preserve"> C</w:t>
      </w:r>
      <w:r>
        <w:rPr>
          <w:rFonts w:ascii="Times New Roman" w:eastAsia="宋体" w:hAnsi="Times New Roman" w:cs="Times New Roman"/>
          <w:bCs/>
          <w:iCs/>
          <w:sz w:val="24"/>
          <w:szCs w:val="24"/>
          <w:lang w:eastAsia="zh-CN"/>
        </w:rPr>
        <w:t>hina</w:t>
      </w:r>
      <w:r>
        <w:rPr>
          <w:rFonts w:ascii="Times New Roman" w:hAnsi="Times New Roman" w:cs="Times New Roman"/>
          <w:bCs/>
          <w:iCs/>
          <w:sz w:val="24"/>
          <w:szCs w:val="24"/>
        </w:rPr>
        <w:t xml:space="preserve">) and fed </w:t>
      </w:r>
      <w:r>
        <w:rPr>
          <w:rFonts w:ascii="Times New Roman" w:hAnsi="Times New Roman" w:cs="Times New Roman"/>
          <w:bCs/>
          <w:iCs/>
          <w:sz w:val="24"/>
          <w:szCs w:val="24"/>
        </w:rPr>
        <w:lastRenderedPageBreak/>
        <w:t>under standard conditions of 18–22°C under 40–60% humidity in an animal laboratory. The Research Animal Care Committee of Southern Medical University approved the study protocols. All experiments involving animals complied with the ARRIVE guidelines [</w:t>
      </w:r>
      <w:r>
        <w:rPr>
          <w:rFonts w:ascii="Times New Roman" w:eastAsia="宋体" w:hAnsi="Times New Roman" w:cs="Times New Roman" w:hint="eastAsia"/>
          <w:bCs/>
          <w:iCs/>
          <w:color w:val="4472C4" w:themeColor="accent5"/>
          <w:sz w:val="24"/>
          <w:szCs w:val="24"/>
          <w:lang w:eastAsia="zh-CN"/>
        </w:rPr>
        <w:t>49</w:t>
      </w:r>
      <w:r>
        <w:rPr>
          <w:rFonts w:ascii="Times New Roman" w:hAnsi="Times New Roman" w:cs="Times New Roman"/>
          <w:bCs/>
          <w:iCs/>
          <w:sz w:val="24"/>
          <w:szCs w:val="24"/>
        </w:rPr>
        <w:t>].</w:t>
      </w:r>
    </w:p>
    <w:p w14:paraId="3F8CB550" w14:textId="77777777" w:rsidR="00271150" w:rsidRDefault="00000000">
      <w:pPr>
        <w:spacing w:after="0" w:line="360" w:lineRule="auto"/>
        <w:jc w:val="both"/>
        <w:rPr>
          <w:rFonts w:ascii="Times New Roman" w:hAnsi="Times New Roman" w:cs="Times New Roman"/>
          <w:bCs/>
          <w:iCs/>
          <w:sz w:val="24"/>
          <w:szCs w:val="24"/>
        </w:rPr>
      </w:pPr>
      <w:r>
        <w:rPr>
          <w:rFonts w:ascii="Times New Roman" w:hAnsi="Times New Roman" w:cs="Times New Roman"/>
          <w:bCs/>
          <w:iCs/>
          <w:sz w:val="24"/>
          <w:szCs w:val="24"/>
        </w:rPr>
        <w:t xml:space="preserve">The mice were randomly assigned to the following </w:t>
      </w:r>
      <w:r>
        <w:rPr>
          <w:rFonts w:ascii="Times New Roman" w:eastAsia="宋体" w:hAnsi="Times New Roman" w:cs="Times New Roman"/>
          <w:bCs/>
          <w:iCs/>
          <w:sz w:val="24"/>
          <w:szCs w:val="24"/>
          <w:lang w:eastAsia="zh-CN"/>
        </w:rPr>
        <w:t>6</w:t>
      </w:r>
      <w:r>
        <w:rPr>
          <w:rFonts w:ascii="Times New Roman" w:hAnsi="Times New Roman" w:cs="Times New Roman"/>
          <w:bCs/>
          <w:iCs/>
          <w:sz w:val="24"/>
          <w:szCs w:val="24"/>
        </w:rPr>
        <w:t xml:space="preserve"> groups of 20 each: </w:t>
      </w:r>
    </w:p>
    <w:p w14:paraId="141486E5" w14:textId="77777777" w:rsidR="00271150" w:rsidRDefault="00000000">
      <w:pPr>
        <w:spacing w:after="0" w:line="360" w:lineRule="auto"/>
        <w:jc w:val="both"/>
        <w:rPr>
          <w:rFonts w:ascii="Times New Roman" w:hAnsi="Times New Roman" w:cs="Times New Roman"/>
          <w:bCs/>
          <w:iCs/>
          <w:sz w:val="24"/>
          <w:szCs w:val="24"/>
        </w:rPr>
      </w:pPr>
      <w:r>
        <w:rPr>
          <w:rFonts w:ascii="Times New Roman" w:hAnsi="Times New Roman" w:cs="Times New Roman"/>
          <w:bCs/>
          <w:iCs/>
          <w:sz w:val="24"/>
          <w:szCs w:val="24"/>
        </w:rPr>
        <w:t>1) Control group: The mice were sensitized to be injected with neutral saline via the intraperitoneal route on days 1</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7</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and 14. During days 21–30</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the mice were exposed to neutral saline via compression atomizers (402AI</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JS</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CN).</w:t>
      </w:r>
    </w:p>
    <w:p w14:paraId="7287C7F2" w14:textId="77777777" w:rsidR="00271150" w:rsidRDefault="00000000">
      <w:pPr>
        <w:spacing w:after="0" w:line="360" w:lineRule="auto"/>
        <w:jc w:val="both"/>
        <w:rPr>
          <w:rFonts w:ascii="Times New Roman" w:hAnsi="Times New Roman" w:cs="Times New Roman"/>
          <w:bCs/>
          <w:iCs/>
          <w:sz w:val="24"/>
          <w:szCs w:val="24"/>
        </w:rPr>
      </w:pPr>
      <w:r>
        <w:rPr>
          <w:rFonts w:ascii="Times New Roman" w:hAnsi="Times New Roman" w:cs="Times New Roman"/>
          <w:bCs/>
          <w:iCs/>
          <w:sz w:val="24"/>
          <w:szCs w:val="24"/>
        </w:rPr>
        <w:t>2) Asthma group: The mice were sensitized to be injected with 1 mg OVA (Sigma</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St. Louis</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USA) mixed with 100 mg alum (Sigma) intraperitoneally on days 1</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7</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and 14. During days 21–27</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the mice were exposed to 1% OVA aerosol with 8-mL saline solution through compression atomizers for 30-min daily.</w:t>
      </w:r>
    </w:p>
    <w:p w14:paraId="5E0E7710" w14:textId="77777777" w:rsidR="00271150" w:rsidRDefault="00000000">
      <w:pPr>
        <w:spacing w:after="0" w:line="360" w:lineRule="auto"/>
        <w:jc w:val="both"/>
        <w:rPr>
          <w:rFonts w:ascii="Times New Roman" w:hAnsi="Times New Roman" w:cs="Times New Roman"/>
          <w:bCs/>
          <w:iCs/>
          <w:sz w:val="24"/>
          <w:szCs w:val="24"/>
        </w:rPr>
      </w:pPr>
      <w:r>
        <w:rPr>
          <w:rFonts w:ascii="Times New Roman" w:hAnsi="Times New Roman" w:cs="Times New Roman"/>
          <w:bCs/>
          <w:iCs/>
          <w:sz w:val="24"/>
          <w:szCs w:val="24"/>
        </w:rPr>
        <w:t>3) PM</w:t>
      </w:r>
      <w:r>
        <w:rPr>
          <w:rFonts w:ascii="Times New Roman" w:hAnsi="Times New Roman" w:cs="Times New Roman"/>
          <w:bCs/>
          <w:iCs/>
          <w:sz w:val="24"/>
          <w:szCs w:val="24"/>
          <w:vertAlign w:val="subscript"/>
        </w:rPr>
        <w:t>2.5</w:t>
      </w:r>
      <w:r>
        <w:rPr>
          <w:rFonts w:ascii="Times New Roman" w:hAnsi="Times New Roman" w:cs="Times New Roman"/>
          <w:bCs/>
          <w:iCs/>
          <w:sz w:val="24"/>
          <w:szCs w:val="24"/>
        </w:rPr>
        <w:t xml:space="preserve"> (24 h) group: The OVA-induced mice were exposed to PM</w:t>
      </w:r>
      <w:r>
        <w:rPr>
          <w:rFonts w:ascii="Times New Roman" w:hAnsi="Times New Roman" w:cs="Times New Roman"/>
          <w:bCs/>
          <w:iCs/>
          <w:sz w:val="24"/>
          <w:szCs w:val="24"/>
          <w:vertAlign w:val="subscript"/>
        </w:rPr>
        <w:t>2.5</w:t>
      </w:r>
      <w:r>
        <w:rPr>
          <w:rFonts w:ascii="Times New Roman" w:hAnsi="Times New Roman" w:cs="Times New Roman"/>
          <w:bCs/>
          <w:iCs/>
          <w:sz w:val="24"/>
          <w:szCs w:val="24"/>
        </w:rPr>
        <w:t xml:space="preserve"> (2 mg/kg) with 8-mL saline solution aerosol through compression atomizers for a 2-h-course on day 28.</w:t>
      </w:r>
    </w:p>
    <w:p w14:paraId="6BFA8D3B" w14:textId="77777777" w:rsidR="00271150" w:rsidRDefault="00000000">
      <w:pPr>
        <w:spacing w:after="0" w:line="360" w:lineRule="auto"/>
        <w:jc w:val="both"/>
        <w:rPr>
          <w:rFonts w:ascii="Times New Roman" w:hAnsi="Times New Roman" w:cs="Times New Roman"/>
          <w:bCs/>
          <w:iCs/>
          <w:sz w:val="24"/>
          <w:szCs w:val="24"/>
        </w:rPr>
      </w:pPr>
      <w:r>
        <w:rPr>
          <w:rFonts w:ascii="Times New Roman" w:hAnsi="Times New Roman" w:cs="Times New Roman"/>
          <w:bCs/>
          <w:iCs/>
          <w:sz w:val="24"/>
          <w:szCs w:val="24"/>
        </w:rPr>
        <w:t>4) PM</w:t>
      </w:r>
      <w:r>
        <w:rPr>
          <w:rFonts w:ascii="Times New Roman" w:hAnsi="Times New Roman" w:cs="Times New Roman"/>
          <w:bCs/>
          <w:iCs/>
          <w:sz w:val="24"/>
          <w:szCs w:val="24"/>
          <w:vertAlign w:val="subscript"/>
        </w:rPr>
        <w:t>2.5</w:t>
      </w:r>
      <w:r>
        <w:rPr>
          <w:rFonts w:ascii="Times New Roman" w:hAnsi="Times New Roman" w:cs="Times New Roman"/>
          <w:bCs/>
          <w:iCs/>
          <w:sz w:val="24"/>
          <w:szCs w:val="24"/>
        </w:rPr>
        <w:t xml:space="preserve"> (48 h) group: The OVA-induced mice were exposed to PM</w:t>
      </w:r>
      <w:r>
        <w:rPr>
          <w:rFonts w:ascii="Times New Roman" w:hAnsi="Times New Roman" w:cs="Times New Roman"/>
          <w:bCs/>
          <w:iCs/>
          <w:sz w:val="24"/>
          <w:szCs w:val="24"/>
          <w:vertAlign w:val="subscript"/>
        </w:rPr>
        <w:t>2.5</w:t>
      </w:r>
      <w:r>
        <w:rPr>
          <w:rFonts w:ascii="Times New Roman" w:hAnsi="Times New Roman" w:cs="Times New Roman"/>
          <w:bCs/>
          <w:iCs/>
          <w:sz w:val="24"/>
          <w:szCs w:val="24"/>
        </w:rPr>
        <w:t xml:space="preserve"> (2 mg/kg) with 8-mL saline solution aerosol through compression atomizers for a 2-h-course on day 28 and then exposed to neutral saline on day 29.</w:t>
      </w:r>
    </w:p>
    <w:p w14:paraId="06090A45" w14:textId="77777777" w:rsidR="00271150" w:rsidRDefault="00000000">
      <w:pPr>
        <w:spacing w:after="0" w:line="360" w:lineRule="auto"/>
        <w:jc w:val="both"/>
        <w:rPr>
          <w:rFonts w:ascii="Times New Roman" w:hAnsi="Times New Roman" w:cs="Times New Roman"/>
          <w:bCs/>
          <w:iCs/>
          <w:sz w:val="24"/>
          <w:szCs w:val="24"/>
        </w:rPr>
      </w:pPr>
      <w:r>
        <w:rPr>
          <w:rFonts w:ascii="Times New Roman" w:hAnsi="Times New Roman" w:cs="Times New Roman"/>
          <w:bCs/>
          <w:iCs/>
          <w:sz w:val="24"/>
          <w:szCs w:val="24"/>
        </w:rPr>
        <w:t>5) PM</w:t>
      </w:r>
      <w:r>
        <w:rPr>
          <w:rFonts w:ascii="Times New Roman" w:hAnsi="Times New Roman" w:cs="Times New Roman"/>
          <w:bCs/>
          <w:iCs/>
          <w:sz w:val="24"/>
          <w:szCs w:val="24"/>
          <w:vertAlign w:val="subscript"/>
        </w:rPr>
        <w:t>2.5</w:t>
      </w:r>
      <w:r>
        <w:rPr>
          <w:rFonts w:ascii="Times New Roman" w:hAnsi="Times New Roman" w:cs="Times New Roman"/>
          <w:bCs/>
          <w:iCs/>
          <w:sz w:val="24"/>
          <w:szCs w:val="24"/>
        </w:rPr>
        <w:t>+CC16 (24 h) group: The OVA-induced mice were exposed to PM</w:t>
      </w:r>
      <w:r>
        <w:rPr>
          <w:rFonts w:ascii="Times New Roman" w:hAnsi="Times New Roman" w:cs="Times New Roman"/>
          <w:bCs/>
          <w:iCs/>
          <w:sz w:val="24"/>
          <w:szCs w:val="24"/>
          <w:vertAlign w:val="subscript"/>
        </w:rPr>
        <w:t>2.5</w:t>
      </w:r>
      <w:r>
        <w:rPr>
          <w:rFonts w:ascii="Times New Roman" w:hAnsi="Times New Roman" w:cs="Times New Roman"/>
          <w:bCs/>
          <w:iCs/>
          <w:sz w:val="24"/>
          <w:szCs w:val="24"/>
        </w:rPr>
        <w:t xml:space="preserve"> (2 mg/kg) aerosol through compression atomizers for a 2-h-course on day 28 and then exposed to 2 mg/kg CC16 (USCN Sciences Co.</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Wuhan</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CN) with 8 mL saline solution aerosol through compression atomizers for a 2-h-course</w:t>
      </w:r>
      <w:r>
        <w:rPr>
          <w:rFonts w:ascii="Times New Roman" w:eastAsia="宋体" w:hAnsi="Times New Roman" w:cs="Times New Roman" w:hint="eastAsia"/>
          <w:bCs/>
          <w:iCs/>
          <w:sz w:val="24"/>
          <w:szCs w:val="24"/>
          <w:lang w:eastAsia="zh-CN"/>
        </w:rPr>
        <w:t xml:space="preserve"> </w:t>
      </w:r>
      <w:r>
        <w:rPr>
          <w:rFonts w:ascii="Times New Roman" w:hAnsi="Times New Roman" w:cs="Times New Roman"/>
          <w:bCs/>
          <w:iCs/>
          <w:sz w:val="24"/>
          <w:szCs w:val="24"/>
        </w:rPr>
        <w:t xml:space="preserve">on day 29. </w:t>
      </w:r>
    </w:p>
    <w:p w14:paraId="23DBBA08" w14:textId="77777777" w:rsidR="00271150" w:rsidRDefault="00000000">
      <w:pPr>
        <w:spacing w:after="0" w:line="360" w:lineRule="auto"/>
        <w:jc w:val="both"/>
        <w:rPr>
          <w:rFonts w:ascii="Times New Roman" w:hAnsi="Times New Roman" w:cs="Times New Roman"/>
          <w:bCs/>
          <w:iCs/>
          <w:sz w:val="24"/>
          <w:szCs w:val="24"/>
        </w:rPr>
      </w:pPr>
      <w:r>
        <w:rPr>
          <w:rFonts w:ascii="Times New Roman" w:hAnsi="Times New Roman" w:cs="Times New Roman"/>
          <w:bCs/>
          <w:iCs/>
          <w:sz w:val="24"/>
          <w:szCs w:val="24"/>
        </w:rPr>
        <w:t>6) PM</w:t>
      </w:r>
      <w:r>
        <w:rPr>
          <w:rFonts w:ascii="Times New Roman" w:hAnsi="Times New Roman" w:cs="Times New Roman"/>
          <w:bCs/>
          <w:iCs/>
          <w:sz w:val="24"/>
          <w:szCs w:val="24"/>
          <w:vertAlign w:val="subscript"/>
        </w:rPr>
        <w:t>2.5</w:t>
      </w:r>
      <w:r>
        <w:rPr>
          <w:rFonts w:ascii="Times New Roman" w:hAnsi="Times New Roman" w:cs="Times New Roman"/>
          <w:bCs/>
          <w:iCs/>
          <w:sz w:val="24"/>
          <w:szCs w:val="24"/>
        </w:rPr>
        <w:t>+CC16 (48 h) group: The OVA-induced mice were exposed to PM</w:t>
      </w:r>
      <w:r>
        <w:rPr>
          <w:rFonts w:ascii="Times New Roman" w:hAnsi="Times New Roman" w:cs="Times New Roman"/>
          <w:bCs/>
          <w:iCs/>
          <w:sz w:val="24"/>
          <w:szCs w:val="24"/>
          <w:vertAlign w:val="subscript"/>
        </w:rPr>
        <w:t>2.5</w:t>
      </w:r>
      <w:r>
        <w:rPr>
          <w:rFonts w:ascii="Times New Roman" w:hAnsi="Times New Roman" w:cs="Times New Roman"/>
          <w:bCs/>
          <w:iCs/>
          <w:sz w:val="24"/>
          <w:szCs w:val="24"/>
        </w:rPr>
        <w:t xml:space="preserve"> (2 mg/kg) aerosol through compression atomizers for a 2-h-course on day 28 and then exposed to 2 mg/kg CC16 with 8 mL saline solution aerosol through compression atomizers for a 2-h-course</w:t>
      </w:r>
      <w:r>
        <w:rPr>
          <w:rFonts w:ascii="Times New Roman" w:eastAsia="宋体" w:hAnsi="Times New Roman" w:cs="Times New Roman" w:hint="eastAsia"/>
          <w:bCs/>
          <w:iCs/>
          <w:sz w:val="24"/>
          <w:szCs w:val="24"/>
          <w:lang w:eastAsia="zh-CN"/>
        </w:rPr>
        <w:t xml:space="preserve"> </w:t>
      </w:r>
      <w:r>
        <w:rPr>
          <w:rFonts w:ascii="Times New Roman" w:hAnsi="Times New Roman" w:cs="Times New Roman"/>
          <w:bCs/>
          <w:iCs/>
          <w:sz w:val="24"/>
          <w:szCs w:val="24"/>
        </w:rPr>
        <w:t xml:space="preserve">on days 29 and 30. </w:t>
      </w:r>
    </w:p>
    <w:p w14:paraId="3F7C8AE4" w14:textId="77777777" w:rsidR="00271150" w:rsidRDefault="00000000">
      <w:pPr>
        <w:spacing w:after="0" w:line="360" w:lineRule="auto"/>
        <w:jc w:val="both"/>
        <w:rPr>
          <w:rFonts w:ascii="Times New Roman" w:hAnsi="Times New Roman" w:cs="Times New Roman"/>
          <w:bCs/>
          <w:iCs/>
          <w:sz w:val="24"/>
          <w:szCs w:val="24"/>
          <w:lang w:eastAsia="zh-CN"/>
        </w:rPr>
      </w:pPr>
      <w:r>
        <w:rPr>
          <w:rFonts w:ascii="Times New Roman" w:hAnsi="Times New Roman" w:cs="Times New Roman"/>
          <w:bCs/>
          <w:iCs/>
          <w:sz w:val="24"/>
          <w:szCs w:val="24"/>
        </w:rPr>
        <w:t xml:space="preserve">Normal mice have a minute ventilation volume of 300ml, with a settling rate of PM2.5 in the lungs at 6.67%. The nebulizer efficiency requires an oxygen flow rate of 3ml/minute. PM2.5 is dissolved in physiological saline at a concentration of 2mg in </w:t>
      </w:r>
      <w:r>
        <w:rPr>
          <w:rFonts w:ascii="Times New Roman" w:hAnsi="Times New Roman" w:cs="Times New Roman"/>
          <w:bCs/>
          <w:iCs/>
          <w:sz w:val="24"/>
          <w:szCs w:val="24"/>
        </w:rPr>
        <w:lastRenderedPageBreak/>
        <w:t>8ml, and continuously atomized for 2 hours. The exposure level of PM2.5 in this animal experiment is 62 μg per cubic meter, equivalent to 200 μg per milliliter in cell experiments. The intervention concentration of CC16 in animal experiments is 0.3225 μg per cubic meter, approximately equal to 1 milliliter.</w:t>
      </w:r>
      <w:r>
        <w:rPr>
          <w:rFonts w:ascii="Times New Roman" w:eastAsia="宋体" w:hAnsi="Times New Roman" w:cs="Times New Roman"/>
          <w:bCs/>
          <w:iCs/>
          <w:sz w:val="24"/>
          <w:szCs w:val="24"/>
          <w:lang w:eastAsia="zh-CN"/>
        </w:rPr>
        <w:t>T</w:t>
      </w:r>
      <w:r>
        <w:rPr>
          <w:rFonts w:ascii="Times New Roman" w:hAnsi="Times New Roman" w:cs="Times New Roman"/>
          <w:bCs/>
          <w:iCs/>
          <w:sz w:val="24"/>
          <w:szCs w:val="24"/>
        </w:rPr>
        <w:t>he next day</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the mice were an</w:t>
      </w:r>
      <w:r>
        <w:rPr>
          <w:rFonts w:ascii="Times New Roman" w:eastAsia="宋体" w:hAnsi="Times New Roman" w:cs="Times New Roman"/>
          <w:bCs/>
          <w:iCs/>
          <w:sz w:val="24"/>
          <w:szCs w:val="24"/>
          <w:lang w:eastAsia="zh-CN"/>
        </w:rPr>
        <w:t>a</w:t>
      </w:r>
      <w:r>
        <w:rPr>
          <w:rFonts w:ascii="Times New Roman" w:hAnsi="Times New Roman" w:cs="Times New Roman"/>
          <w:bCs/>
          <w:iCs/>
          <w:sz w:val="24"/>
          <w:szCs w:val="24"/>
        </w:rPr>
        <w:t>esthetized with pentobarbital (1.5% pentobarbital sodium</w:t>
      </w:r>
      <w:r>
        <w:rPr>
          <w:rFonts w:ascii="Times New Roman" w:eastAsia="宋体" w:hAnsi="Times New Roman" w:cs="Times New Roman"/>
          <w:bCs/>
          <w:iCs/>
          <w:sz w:val="24"/>
          <w:szCs w:val="24"/>
          <w:lang w:eastAsia="zh-CN"/>
        </w:rPr>
        <w:t>,</w:t>
      </w:r>
      <w:r>
        <w:rPr>
          <w:rFonts w:ascii="Times New Roman" w:hAnsi="Times New Roman" w:cs="Times New Roman"/>
          <w:bCs/>
          <w:iCs/>
          <w:sz w:val="24"/>
          <w:szCs w:val="24"/>
        </w:rPr>
        <w:t xml:space="preserve"> 0.1 mL/20 g) and subjected to exsanguination. The protocol used for this experiment is illustrated in Figure </w:t>
      </w:r>
      <w:r>
        <w:rPr>
          <w:rFonts w:ascii="Times New Roman" w:hAnsi="Times New Roman" w:cs="Times New Roman"/>
          <w:bCs/>
          <w:iCs/>
          <w:sz w:val="24"/>
          <w:szCs w:val="24"/>
          <w:lang w:eastAsia="zh-CN"/>
        </w:rPr>
        <w:t>1.</w:t>
      </w:r>
    </w:p>
    <w:p w14:paraId="27E91955" w14:textId="77777777" w:rsidR="00271150" w:rsidRDefault="00000000">
      <w:pPr>
        <w:rPr>
          <w:rFonts w:ascii="Times New Roman" w:hAnsi="Times New Roman" w:cs="Times New Roman"/>
          <w:bCs/>
          <w:iCs/>
          <w:sz w:val="24"/>
          <w:szCs w:val="24"/>
          <w:lang w:eastAsia="zh-CN"/>
        </w:rPr>
      </w:pPr>
      <w:r>
        <w:rPr>
          <w:rFonts w:ascii="Times New Roman" w:hAnsi="Times New Roman" w:cs="Times New Roman"/>
          <w:bCs/>
          <w:iCs/>
          <w:sz w:val="24"/>
          <w:szCs w:val="24"/>
          <w:lang w:eastAsia="zh-CN"/>
        </w:rPr>
        <w:br w:type="page"/>
      </w:r>
    </w:p>
    <w:p w14:paraId="347D96D0" w14:textId="77777777" w:rsidR="00271150" w:rsidRDefault="00000000">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Artery blood gas</w:t>
      </w:r>
    </w:p>
    <w:p w14:paraId="510F8799" w14:textId="77777777" w:rsidR="00271150" w:rsidRDefault="0000000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Four C57BL/6 mice were </w:t>
      </w:r>
      <w:r>
        <w:rPr>
          <w:rFonts w:ascii="Times New Roman" w:eastAsia="宋体" w:hAnsi="Times New Roman" w:cs="Times New Roman"/>
          <w:sz w:val="24"/>
          <w:szCs w:val="24"/>
          <w:lang w:eastAsia="zh-CN"/>
        </w:rPr>
        <w:t>anaesthetiz</w:t>
      </w:r>
      <w:r>
        <w:rPr>
          <w:rFonts w:ascii="Times New Roman" w:hAnsi="Times New Roman" w:cs="Times New Roman"/>
          <w:sz w:val="24"/>
          <w:szCs w:val="24"/>
        </w:rPr>
        <w:t>ed with pentobarbital (40 mg/kg) to evaluate the lung oxygenation statut. An arterial blood gas needle (Radiometer</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Denmark) was placed with a 24-gauge needle (introcan-W) in the abdominal aorta</w:t>
      </w:r>
      <w:r>
        <w:rPr>
          <w:rFonts w:ascii="Times New Roman" w:eastAsia="宋体" w:hAnsi="Times New Roman" w:cs="Times New Roman" w:hint="eastAsia"/>
          <w:sz w:val="24"/>
          <w:szCs w:val="24"/>
          <w:lang w:eastAsia="zh-CN"/>
        </w:rPr>
        <w:t xml:space="preserve"> when the abdomen opened</w:t>
      </w:r>
      <w:r>
        <w:rPr>
          <w:rFonts w:ascii="Times New Roman" w:hAnsi="Times New Roman" w:cs="Times New Roman"/>
          <w:sz w:val="24"/>
          <w:szCs w:val="24"/>
        </w:rPr>
        <w:t>. Then</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1.5–2 mL of arterial blood was analyzed with a radiometer (ABL825</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Radiometer). Next</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we determined the partial pressures of oxygen (PaO</w:t>
      </w:r>
      <w:r>
        <w:rPr>
          <w:rFonts w:ascii="Times New Roman" w:hAnsi="Times New Roman" w:cs="Times New Roman"/>
          <w:sz w:val="24"/>
          <w:szCs w:val="24"/>
          <w:vertAlign w:val="subscript"/>
        </w:rPr>
        <w:t>2</w:t>
      </w:r>
      <w:r>
        <w:rPr>
          <w:rFonts w:ascii="Times New Roman" w:hAnsi="Times New Roman" w:cs="Times New Roman"/>
          <w:sz w:val="24"/>
          <w:szCs w:val="24"/>
        </w:rPr>
        <w:t>)</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carbon dioxide (PCO</w:t>
      </w:r>
      <w:r>
        <w:rPr>
          <w:rFonts w:ascii="Times New Roman" w:hAnsi="Times New Roman" w:cs="Times New Roman"/>
          <w:sz w:val="24"/>
          <w:szCs w:val="24"/>
          <w:vertAlign w:val="subscript"/>
        </w:rPr>
        <w:t>2</w:t>
      </w:r>
      <w:r>
        <w:rPr>
          <w:rFonts w:ascii="Times New Roman" w:hAnsi="Times New Roman" w:cs="Times New Roman"/>
          <w:sz w:val="24"/>
          <w:szCs w:val="24"/>
        </w:rPr>
        <w:t>)</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hydrogen potential (pH) of arterial blood gases</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and anion gap (AG).</w:t>
      </w:r>
    </w:p>
    <w:p w14:paraId="5BD1D0D9" w14:textId="77777777" w:rsidR="00271150" w:rsidRDefault="00271150">
      <w:pPr>
        <w:spacing w:after="0" w:line="360" w:lineRule="auto"/>
        <w:jc w:val="both"/>
        <w:rPr>
          <w:rFonts w:ascii="Times New Roman" w:hAnsi="Times New Roman" w:cs="Times New Roman"/>
          <w:sz w:val="24"/>
          <w:szCs w:val="24"/>
        </w:rPr>
      </w:pPr>
    </w:p>
    <w:p w14:paraId="1B45EDA0" w14:textId="77777777" w:rsidR="00271150" w:rsidRDefault="00000000">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Lung function</w:t>
      </w:r>
    </w:p>
    <w:p w14:paraId="64B9CFF7" w14:textId="77777777" w:rsidR="00271150" w:rsidRDefault="0000000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Five mice were assessed for their airway responsiveness to methacholine. The methacholine and allergen challenge tests were conducted using the FinePointe RC</w:t>
      </w:r>
      <w:r>
        <w:rPr>
          <w:rFonts w:ascii="Times New Roman" w:eastAsia="宋体" w:hAnsi="Times New Roman" w:cs="Times New Roman"/>
          <w:sz w:val="24"/>
          <w:szCs w:val="24"/>
          <w:lang w:eastAsia="zh-CN"/>
        </w:rPr>
        <w:t xml:space="preserve"> </w:t>
      </w:r>
      <w:r>
        <w:rPr>
          <w:rFonts w:ascii="Times New Roman" w:hAnsi="Times New Roman" w:cs="Times New Roman"/>
          <w:sz w:val="24"/>
          <w:szCs w:val="24"/>
        </w:rPr>
        <w:t>(Buxco Research Systems</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DSI</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MN</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USA). After </w:t>
      </w:r>
      <w:r>
        <w:rPr>
          <w:rFonts w:ascii="Times New Roman" w:eastAsia="宋体" w:hAnsi="Times New Roman" w:cs="Times New Roman"/>
          <w:sz w:val="24"/>
          <w:szCs w:val="24"/>
          <w:lang w:eastAsia="zh-CN"/>
        </w:rPr>
        <w:t>anaesthetiz</w:t>
      </w:r>
      <w:r>
        <w:rPr>
          <w:rFonts w:ascii="Times New Roman" w:hAnsi="Times New Roman" w:cs="Times New Roman"/>
          <w:sz w:val="24"/>
          <w:szCs w:val="24"/>
        </w:rPr>
        <w:t>ing</w:t>
      </w:r>
      <w:r>
        <w:rPr>
          <w:rFonts w:ascii="Times New Roman" w:eastAsia="宋体" w:hAnsi="Times New Roman" w:cs="Times New Roman" w:hint="eastAsia"/>
          <w:sz w:val="24"/>
          <w:szCs w:val="24"/>
          <w:lang w:eastAsia="zh-CN"/>
        </w:rPr>
        <w:t xml:space="preserve"> with sevoflurane for 7 seconds</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the mice were placed in the mechanically ventilated system with increasing doses of methacholine (TCI Shanghai</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China) and sequentially nebulized. Methacholine is a bronchoconstrictor-inducing airway contraction used to nebulize at varying doses in 10 µL volume</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ranging from 0–50 mg/mL. For each dose</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lung resistance was measured and computed over 3 min. The respiratory data were acquired and presented with the FinePointe station.</w:t>
      </w:r>
    </w:p>
    <w:p w14:paraId="476C2374" w14:textId="77777777" w:rsidR="00271150" w:rsidRDefault="00271150">
      <w:pPr>
        <w:spacing w:after="0" w:line="360" w:lineRule="auto"/>
        <w:jc w:val="both"/>
        <w:rPr>
          <w:rFonts w:ascii="Times New Roman" w:hAnsi="Times New Roman" w:cs="Times New Roman"/>
          <w:sz w:val="24"/>
          <w:szCs w:val="24"/>
        </w:rPr>
      </w:pPr>
    </w:p>
    <w:p w14:paraId="1A98E220" w14:textId="77777777" w:rsidR="00271150" w:rsidRDefault="00000000">
      <w:pPr>
        <w:spacing w:after="0" w:line="360" w:lineRule="auto"/>
        <w:jc w:val="both"/>
        <w:rPr>
          <w:rFonts w:ascii="Times New Roman" w:hAnsi="Times New Roman" w:cs="Times New Roman"/>
          <w:i/>
          <w:iCs/>
          <w:sz w:val="24"/>
          <w:szCs w:val="24"/>
        </w:rPr>
      </w:pPr>
      <w:r>
        <w:rPr>
          <w:rFonts w:ascii="Times New Roman" w:hAnsi="Times New Roman" w:cs="Times New Roman"/>
          <w:b/>
          <w:bCs/>
          <w:sz w:val="24"/>
          <w:szCs w:val="24"/>
        </w:rPr>
        <w:t>Histopathology and immunohistochemical staining</w:t>
      </w:r>
    </w:p>
    <w:p w14:paraId="762795F3" w14:textId="77777777" w:rsidR="00271150" w:rsidRDefault="00000000">
      <w:pPr>
        <w:spacing w:line="360" w:lineRule="auto"/>
        <w:jc w:val="both"/>
        <w:rPr>
          <w:rFonts w:ascii="Times New Roman" w:hAnsi="Times New Roman" w:cs="Times New Roman"/>
          <w:sz w:val="24"/>
          <w:szCs w:val="24"/>
        </w:rPr>
      </w:pPr>
      <w:r>
        <w:rPr>
          <w:rFonts w:ascii="Times New Roman" w:hAnsi="Times New Roman" w:cs="Times New Roman"/>
          <w:sz w:val="24"/>
          <w:szCs w:val="24"/>
        </w:rPr>
        <w:t>The left lung tissues were harvested from 5 euthanized mice</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fixed in 4% paraformaldehyde for 24 h at room temperature</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and embedded in paraffin for sectioning at 5-μm thickness. For scoring analysis</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the sections were stained with hematoxylin–eosin (HE). Using the Smith Lung Injury Scoring System</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two pathologists blindly assessed 10 lung tissues for injury severity on HE sections. This study evaluated 4 pathological parameters: pulmonary edema; alveolar and interstitial inflammation; alveolar and interstitial hemorrhage; atelectasis and the formation of hyaline membranes. Based on the scores</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the tissue lesions were scored as follows: 0 </w:t>
      </w:r>
      <w:r>
        <w:rPr>
          <w:rFonts w:ascii="Times New Roman" w:hAnsi="Times New Roman" w:cs="Times New Roman"/>
          <w:sz w:val="24"/>
          <w:szCs w:val="24"/>
        </w:rPr>
        <w:lastRenderedPageBreak/>
        <w:t>(no lesion); 1 (25%) (25–50%); 3 (50–75%); and 4 (&gt;75%). Thus</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the lung injury total score is the sum of the 4 parameters.</w:t>
      </w:r>
    </w:p>
    <w:p w14:paraId="67B0918C" w14:textId="77777777" w:rsidR="00271150" w:rsidRDefault="00000000">
      <w:pPr>
        <w:spacing w:after="0" w:line="360" w:lineRule="auto"/>
        <w:ind w:firstLineChars="100" w:firstLine="240"/>
        <w:jc w:val="both"/>
        <w:rPr>
          <w:rFonts w:ascii="Times New Roman" w:hAnsi="Times New Roman" w:cs="Times New Roman"/>
          <w:sz w:val="24"/>
          <w:szCs w:val="24"/>
        </w:rPr>
      </w:pPr>
      <w:r>
        <w:rPr>
          <w:rFonts w:ascii="Times New Roman" w:hAnsi="Times New Roman" w:cs="Times New Roman"/>
          <w:sz w:val="24"/>
          <w:szCs w:val="24"/>
        </w:rPr>
        <w:t>The sections were deparaffinized and blocked with 3% bovine serum albumin (BSA) to perform the immunohistochemical</w:t>
      </w:r>
      <w:r>
        <w:rPr>
          <w:rFonts w:ascii="Times New Roman" w:eastAsia="宋体" w:hAnsi="Times New Roman" w:cs="Times New Roman"/>
          <w:sz w:val="24"/>
          <w:szCs w:val="24"/>
          <w:lang w:eastAsia="zh-CN"/>
        </w:rPr>
        <w:t>(IHC)</w:t>
      </w:r>
      <w:r>
        <w:rPr>
          <w:rFonts w:ascii="Times New Roman" w:hAnsi="Times New Roman" w:cs="Times New Roman"/>
          <w:sz w:val="24"/>
          <w:szCs w:val="24"/>
        </w:rPr>
        <w:t xml:space="preserve"> staining. The sections were incubated overnight at 4°C for 2 h at room temperature with the primary antibodies of </w:t>
      </w:r>
      <w:r>
        <w:rPr>
          <w:rFonts w:ascii="Times New Roman" w:eastAsia="宋体" w:hAnsi="Times New Roman" w:cs="Times New Roman" w:hint="eastAsia"/>
          <w:sz w:val="24"/>
          <w:szCs w:val="24"/>
          <w:lang w:eastAsia="zh-CN"/>
        </w:rPr>
        <w:t>TLR-4</w:t>
      </w:r>
      <w:r>
        <w:rPr>
          <w:rFonts w:ascii="Times New Roman" w:hAnsi="Times New Roman" w:cs="Times New Roman"/>
          <w:sz w:val="24"/>
          <w:szCs w:val="24"/>
        </w:rPr>
        <w:t xml:space="preserve"> (1:100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Abcam</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UK)</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w:t>
      </w:r>
      <w:r>
        <w:rPr>
          <w:rFonts w:ascii="Times New Roman" w:eastAsia="宋体" w:hAnsi="Times New Roman" w:cs="Times New Roman"/>
          <w:sz w:val="24"/>
          <w:szCs w:val="24"/>
          <w:lang w:eastAsia="zh-CN"/>
        </w:rPr>
        <w:t>Anti-Phospho-</w:t>
      </w:r>
      <w:r>
        <w:rPr>
          <w:rFonts w:ascii="Times New Roman" w:hAnsi="Times New Roman" w:cs="Times New Roman"/>
          <w:sz w:val="24"/>
          <w:szCs w:val="24"/>
        </w:rPr>
        <w:t>NF-κB (1:150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Abcam)</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w:t>
      </w:r>
      <w:r>
        <w:rPr>
          <w:rFonts w:ascii="Times New Roman" w:eastAsia="宋体" w:hAnsi="Times New Roman" w:cs="Times New Roman" w:hint="eastAsia"/>
          <w:sz w:val="24"/>
          <w:szCs w:val="24"/>
          <w:lang w:eastAsia="zh-CN"/>
        </w:rPr>
        <w:t>NLRP-3</w:t>
      </w:r>
      <w:r>
        <w:rPr>
          <w:rFonts w:ascii="Times New Roman" w:hAnsi="Times New Roman" w:cs="Times New Roman"/>
          <w:sz w:val="24"/>
          <w:szCs w:val="24"/>
        </w:rPr>
        <w:t xml:space="preserve"> (1:200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Abcam)</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w:t>
      </w:r>
      <w:r>
        <w:rPr>
          <w:rFonts w:ascii="Times New Roman" w:eastAsia="宋体" w:hAnsi="Times New Roman" w:cs="Times New Roman" w:hint="eastAsia"/>
          <w:sz w:val="24"/>
          <w:szCs w:val="24"/>
          <w:lang w:eastAsia="zh-CN"/>
        </w:rPr>
        <w:t>caspase-1</w:t>
      </w:r>
      <w:r>
        <w:rPr>
          <w:rFonts w:ascii="Times New Roman" w:hAnsi="Times New Roman" w:cs="Times New Roman"/>
          <w:sz w:val="24"/>
          <w:szCs w:val="24"/>
        </w:rPr>
        <w:t xml:space="preserve"> (1:500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Bioss</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CN)</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IL-1β (1:100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Abcam)</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and Gasdermin D (1:150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Abcam). After washing thrice with PBS</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the sections were incubated at 37℃ for 2 h with the goat anti-rabbit secondary antibody (Bioss; 1:5000). Subsequently</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the sections were stained by 3</w:t>
      </w:r>
      <w:r>
        <w:rPr>
          <w:rFonts w:ascii="Times New Roman" w:eastAsia="宋体" w:hAnsi="Times New Roman" w:cs="Times New Roman"/>
          <w:sz w:val="24"/>
          <w:szCs w:val="24"/>
          <w:lang w:eastAsia="zh-CN"/>
        </w:rPr>
        <w:t>,</w:t>
      </w:r>
      <w:r>
        <w:rPr>
          <w:rFonts w:ascii="Times New Roman" w:hAnsi="Times New Roman" w:cs="Times New Roman"/>
          <w:sz w:val="24"/>
          <w:szCs w:val="24"/>
        </w:rPr>
        <w:t>3N-diaminobenzidine tertrahydrochloride (DAB) for 5 min at the room temperature. Finally</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immunohistochemical images were randomly scanned by a light scanning microscope at ×200 magnification. We then Image J to quantify the high positive percentage contribution.</w:t>
      </w:r>
    </w:p>
    <w:p w14:paraId="7BCC94E0" w14:textId="77777777" w:rsidR="00271150" w:rsidRDefault="00271150">
      <w:pPr>
        <w:spacing w:after="0" w:line="360" w:lineRule="auto"/>
        <w:ind w:firstLineChars="100" w:firstLine="240"/>
        <w:jc w:val="both"/>
        <w:rPr>
          <w:rFonts w:ascii="Times New Roman" w:hAnsi="Times New Roman" w:cs="Times New Roman"/>
          <w:sz w:val="24"/>
          <w:szCs w:val="24"/>
        </w:rPr>
      </w:pPr>
    </w:p>
    <w:p w14:paraId="72786097" w14:textId="77777777" w:rsidR="00271150" w:rsidRDefault="00000000">
      <w:pPr>
        <w:pStyle w:val="a6"/>
        <w:numPr>
          <w:ilvl w:val="255"/>
          <w:numId w:val="0"/>
        </w:numPr>
        <w:spacing w:after="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BEAS-2B cell sourcing</w:t>
      </w:r>
      <w:r>
        <w:rPr>
          <w:rFonts w:ascii="Times New Roman" w:eastAsia="宋体" w:hAnsi="Times New Roman" w:cs="Times New Roman"/>
          <w:b/>
          <w:bCs/>
          <w:sz w:val="24"/>
          <w:szCs w:val="24"/>
          <w:lang w:eastAsia="zh-CN"/>
        </w:rPr>
        <w:t>,</w:t>
      </w:r>
      <w:r>
        <w:rPr>
          <w:rFonts w:ascii="Times New Roman" w:eastAsia="Times New Roman" w:hAnsi="Times New Roman" w:cs="Times New Roman"/>
          <w:b/>
          <w:bCs/>
          <w:sz w:val="24"/>
          <w:szCs w:val="24"/>
        </w:rPr>
        <w:t xml:space="preserve"> exposure to PM</w:t>
      </w:r>
      <w:r>
        <w:rPr>
          <w:rFonts w:ascii="Times New Roman" w:eastAsia="Times New Roman" w:hAnsi="Times New Roman" w:cs="Times New Roman"/>
          <w:b/>
          <w:bCs/>
          <w:sz w:val="24"/>
          <w:szCs w:val="24"/>
          <w:vertAlign w:val="subscript"/>
        </w:rPr>
        <w:t>2.5</w:t>
      </w:r>
      <w:r>
        <w:rPr>
          <w:rFonts w:ascii="Times New Roman" w:eastAsia="宋体" w:hAnsi="Times New Roman" w:cs="Times New Roman"/>
          <w:b/>
          <w:bCs/>
          <w:sz w:val="24"/>
          <w:szCs w:val="24"/>
          <w:lang w:eastAsia="zh-CN"/>
        </w:rPr>
        <w:t>,</w:t>
      </w:r>
      <w:r>
        <w:rPr>
          <w:rFonts w:ascii="Times New Roman" w:eastAsia="Times New Roman" w:hAnsi="Times New Roman" w:cs="Times New Roman"/>
          <w:b/>
          <w:bCs/>
          <w:sz w:val="24"/>
          <w:szCs w:val="24"/>
          <w:vertAlign w:val="subscript"/>
        </w:rPr>
        <w:t xml:space="preserve"> </w:t>
      </w:r>
      <w:r>
        <w:rPr>
          <w:rFonts w:ascii="Times New Roman" w:eastAsia="Times New Roman" w:hAnsi="Times New Roman" w:cs="Times New Roman"/>
          <w:b/>
          <w:bCs/>
          <w:sz w:val="24"/>
          <w:szCs w:val="24"/>
        </w:rPr>
        <w:t>and treatment of CC16</w:t>
      </w:r>
    </w:p>
    <w:p w14:paraId="0F1E6D94" w14:textId="0FC904BC" w:rsidR="00271150"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BEAS-2B cells were obtained from the Cell Bank of the Chinese Academy of Sciences (SH</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CN). The cells were cultured in Dulbecco’s modified Eagle’s medium/F12 (DMEM/F12</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Gibco</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USA) supplemented with 5% fetal bovine serum (FBS; Gibco) and 1% penicillin–streptomycin. PM</w:t>
      </w:r>
      <w:r>
        <w:rPr>
          <w:rFonts w:ascii="Times New Roman" w:eastAsia="Times New Roman" w:hAnsi="Times New Roman" w:cs="Times New Roman"/>
          <w:sz w:val="24"/>
          <w:szCs w:val="24"/>
          <w:vertAlign w:val="subscript"/>
        </w:rPr>
        <w:t>2.5</w:t>
      </w:r>
      <w:r>
        <w:rPr>
          <w:rFonts w:ascii="Times New Roman" w:eastAsia="Times New Roman" w:hAnsi="Times New Roman" w:cs="Times New Roman"/>
          <w:sz w:val="24"/>
          <w:szCs w:val="24"/>
        </w:rPr>
        <w:t xml:space="preserve"> was sterilized </w:t>
      </w:r>
      <w:r>
        <w:rPr>
          <w:rFonts w:ascii="Times New Roman" w:eastAsia="宋体" w:hAnsi="Times New Roman" w:cs="Times New Roman"/>
          <w:sz w:val="24"/>
          <w:szCs w:val="24"/>
          <w:lang w:eastAsia="zh-CN"/>
        </w:rPr>
        <w:t>with</w:t>
      </w:r>
      <w:r>
        <w:rPr>
          <w:rFonts w:ascii="Times New Roman" w:eastAsia="Times New Roman" w:hAnsi="Times New Roman" w:cs="Times New Roman"/>
          <w:sz w:val="24"/>
          <w:szCs w:val="24"/>
        </w:rPr>
        <w:t xml:space="preserve"> 20 min of high-temperature autoclaving.</w:t>
      </w:r>
      <w:r>
        <w:rPr>
          <w:rFonts w:ascii="Times New Roman" w:eastAsia="宋体" w:hAnsi="Times New Roman" w:cs="Times New Roman"/>
          <w:sz w:val="24"/>
          <w:szCs w:val="24"/>
        </w:rPr>
        <w:t xml:space="preserve"> </w:t>
      </w:r>
      <w:r>
        <w:rPr>
          <w:rFonts w:ascii="Times New Roman" w:eastAsia="Times New Roman" w:hAnsi="Times New Roman" w:cs="Times New Roman"/>
          <w:sz w:val="24"/>
          <w:szCs w:val="24"/>
        </w:rPr>
        <w:t>BEAS-2B cells were incubated with PM</w:t>
      </w:r>
      <w:r>
        <w:rPr>
          <w:rFonts w:ascii="Times New Roman" w:eastAsia="Times New Roman" w:hAnsi="Times New Roman" w:cs="Times New Roman"/>
          <w:sz w:val="24"/>
          <w:szCs w:val="24"/>
          <w:vertAlign w:val="subscript"/>
        </w:rPr>
        <w:t>2.5</w:t>
      </w:r>
      <w:r>
        <w:rPr>
          <w:rFonts w:ascii="Times New Roman" w:eastAsia="Times New Roman" w:hAnsi="Times New Roman" w:cs="Times New Roman"/>
          <w:sz w:val="24"/>
          <w:szCs w:val="24"/>
        </w:rPr>
        <w:t xml:space="preserve"> (100 and 200 μg/mL) in DMEM/F12 medium without FBS for 24 h. In the subgroup with PM</w:t>
      </w:r>
      <w:r>
        <w:rPr>
          <w:rFonts w:ascii="Times New Roman" w:eastAsia="Times New Roman" w:hAnsi="Times New Roman" w:cs="Times New Roman"/>
          <w:sz w:val="24"/>
          <w:szCs w:val="24"/>
          <w:vertAlign w:val="subscript"/>
        </w:rPr>
        <w:t xml:space="preserve">2.5 </w:t>
      </w:r>
      <w:r>
        <w:rPr>
          <w:rFonts w:ascii="Times New Roman" w:eastAsia="Times New Roman" w:hAnsi="Times New Roman" w:cs="Times New Roman"/>
          <w:sz w:val="24"/>
          <w:szCs w:val="24"/>
        </w:rPr>
        <w:t>(100 μg/mL)</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BEAS-2B cells were first exposed to 100 μg/mL PM</w:t>
      </w:r>
      <w:r>
        <w:rPr>
          <w:rFonts w:ascii="Times New Roman" w:eastAsia="Times New Roman" w:hAnsi="Times New Roman" w:cs="Times New Roman"/>
          <w:sz w:val="24"/>
          <w:szCs w:val="24"/>
          <w:vertAlign w:val="subscript"/>
        </w:rPr>
        <w:t>2.5</w:t>
      </w:r>
      <w:r>
        <w:rPr>
          <w:rFonts w:ascii="Times New Roman" w:eastAsia="Times New Roman" w:hAnsi="Times New Roman" w:cs="Times New Roman"/>
          <w:sz w:val="24"/>
          <w:szCs w:val="24"/>
        </w:rPr>
        <w:t xml:space="preserve"> for 24 h and then to 0.25</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0.5</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and 1 μg/mL CC16 (R&amp;D Systems</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Catalog #: 4218-UT</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Minneapolis</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MN</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USA) administrated to the cell medium for 24 h. The protocol for generating cell models is illustrated in Fig</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70C0"/>
          <w:sz w:val="24"/>
          <w:szCs w:val="24"/>
        </w:rPr>
        <w:t>1</w:t>
      </w:r>
      <w:r>
        <w:rPr>
          <w:rFonts w:ascii="Times New Roman" w:eastAsia="Times New Roman" w:hAnsi="Times New Roman" w:cs="Times New Roman"/>
          <w:sz w:val="24"/>
          <w:szCs w:val="24"/>
        </w:rPr>
        <w:t xml:space="preserve">. </w:t>
      </w:r>
    </w:p>
    <w:p w14:paraId="1D5E8FD3" w14:textId="77777777" w:rsidR="00271150" w:rsidRDefault="00271150">
      <w:pPr>
        <w:spacing w:after="0" w:line="360" w:lineRule="auto"/>
        <w:jc w:val="both"/>
        <w:rPr>
          <w:rFonts w:ascii="Times New Roman" w:eastAsia="Times New Roman" w:hAnsi="Times New Roman" w:cs="Times New Roman"/>
          <w:sz w:val="24"/>
          <w:szCs w:val="24"/>
        </w:rPr>
      </w:pPr>
    </w:p>
    <w:p w14:paraId="4FC048F3" w14:textId="77777777" w:rsidR="00271150" w:rsidRDefault="00000000">
      <w:pPr>
        <w:spacing w:after="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Cell Counting Kit-8 assay </w:t>
      </w:r>
    </w:p>
    <w:p w14:paraId="1EBB6E11" w14:textId="77777777" w:rsidR="00271150" w:rsidRDefault="00000000">
      <w:pPr>
        <w:spacing w:after="0" w:line="360" w:lineRule="auto"/>
        <w:jc w:val="both"/>
        <w:rPr>
          <w:rFonts w:ascii="Times New Roman" w:hAnsi="Times New Roman" w:cs="Times New Roman"/>
          <w:sz w:val="24"/>
          <w:szCs w:val="24"/>
        </w:rPr>
      </w:pPr>
      <w:r>
        <w:rPr>
          <w:rFonts w:ascii="Times New Roman" w:eastAsia="Times New Roman" w:hAnsi="Times New Roman" w:cs="Times New Roman"/>
          <w:sz w:val="24"/>
          <w:szCs w:val="24"/>
        </w:rPr>
        <w:t>The CCK-8 solution (Abcam</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USA) was added to the culture medium and incubated for 2 h after PM</w:t>
      </w:r>
      <w:r>
        <w:rPr>
          <w:rFonts w:ascii="Times New Roman" w:eastAsia="Times New Roman" w:hAnsi="Times New Roman" w:cs="Times New Roman"/>
          <w:sz w:val="24"/>
          <w:szCs w:val="24"/>
          <w:vertAlign w:val="subscript"/>
        </w:rPr>
        <w:t>2.5</w:t>
      </w:r>
      <w:r>
        <w:rPr>
          <w:rFonts w:ascii="Times New Roman" w:eastAsia="Times New Roman" w:hAnsi="Times New Roman" w:cs="Times New Roman"/>
          <w:sz w:val="24"/>
          <w:szCs w:val="24"/>
        </w:rPr>
        <w:t xml:space="preserve"> or CC16 administration per the manufacturer’s instructions to assess the </w:t>
      </w:r>
      <w:r>
        <w:rPr>
          <w:rFonts w:ascii="Times New Roman" w:eastAsia="Times New Roman" w:hAnsi="Times New Roman" w:cs="Times New Roman"/>
          <w:sz w:val="24"/>
          <w:szCs w:val="24"/>
        </w:rPr>
        <w:lastRenderedPageBreak/>
        <w:t xml:space="preserve">cell viability. </w:t>
      </w:r>
      <w:r>
        <w:rPr>
          <w:rFonts w:ascii="Times New Roman" w:hAnsi="Times New Roman" w:cs="Times New Roman"/>
          <w:sz w:val="24"/>
          <w:szCs w:val="24"/>
        </w:rPr>
        <w:t>The viability of living cells in each group was tested using a microplate reader at a 450-nm optical density. The viability of living cells in each group was tested by using a microplate reader at 450-nm optical density.</w:t>
      </w:r>
    </w:p>
    <w:p w14:paraId="177A4936" w14:textId="77777777" w:rsidR="00271150" w:rsidRDefault="00000000">
      <w:pPr>
        <w:spacing w:after="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Light and fluorescence microscopy</w:t>
      </w:r>
    </w:p>
    <w:p w14:paraId="49575796" w14:textId="77777777" w:rsidR="00271150"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Cell viability was assessed by light-sheet microscopy. Propidium iodide (PI; 5 μg/mL; Sigma</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St. Louis</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USA) was incubated for 10 min in the dark. </w:t>
      </w:r>
      <w:r>
        <w:rPr>
          <w:rFonts w:ascii="Times New Roman" w:hAnsi="Times New Roman" w:cs="Times New Roman"/>
          <w:sz w:val="24"/>
          <w:szCs w:val="24"/>
        </w:rPr>
        <w:t>The types of cell death were assessed using the Annexin V-FITC/PI Fluorescence Microscopy Kit (BD Biosciences</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San Diego</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USA) and Hoechst 33342 (BD Biosciences)</w:t>
      </w:r>
      <w:r>
        <w:rPr>
          <w:rFonts w:ascii="Times New Roman" w:eastAsia="Times New Roman" w:hAnsi="Times New Roman" w:cs="Times New Roman"/>
          <w:sz w:val="24"/>
          <w:szCs w:val="24"/>
        </w:rPr>
        <w:t>. The cells were washed twice with PBS and then Annexin V Binding Buffer. The cells were then stained at room temperature with Hoechst 33342 (diluted 1:20) for 10 min</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with Annexin V-FITC (diluted 1:10) for 10 min</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and with PI (5 μg/mL) for 5 min. </w:t>
      </w:r>
      <w:r>
        <w:rPr>
          <w:rFonts w:ascii="Times New Roman" w:hAnsi="Times New Roman" w:cs="Times New Roman"/>
          <w:sz w:val="24"/>
          <w:szCs w:val="24"/>
        </w:rPr>
        <w:t>The stained cell climbing slice was fixed with Antifade Mounting Medium (BOSTER</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Co. Ltd.</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California</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USA).</w:t>
      </w:r>
      <w:r>
        <w:rPr>
          <w:rFonts w:ascii="Times New Roman" w:eastAsia="Times New Roman" w:hAnsi="Times New Roman" w:cs="Times New Roman"/>
          <w:sz w:val="24"/>
          <w:szCs w:val="24"/>
        </w:rPr>
        <w:t xml:space="preserve"> The slice was observed under a confocal fluorescence microscope (Nikon</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Tokyo</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Japan) at 405</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488</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and 640 nm</w:t>
      </w:r>
      <w:r>
        <w:rPr>
          <w:rFonts w:ascii="Times New Roman" w:eastAsia="宋体" w:hAnsi="Times New Roman" w:cs="Times New Roman"/>
          <w:sz w:val="24"/>
          <w:szCs w:val="24"/>
          <w:lang w:eastAsia="zh-CN"/>
        </w:rPr>
        <w:t xml:space="preserve"> </w:t>
      </w:r>
      <w:r>
        <w:rPr>
          <w:rFonts w:ascii="Times New Roman" w:eastAsia="Times New Roman" w:hAnsi="Times New Roman" w:cs="Times New Roman"/>
          <w:sz w:val="24"/>
          <w:szCs w:val="24"/>
        </w:rPr>
        <w:t>excitation wavelength.</w:t>
      </w:r>
    </w:p>
    <w:p w14:paraId="36C7ED75" w14:textId="77777777" w:rsidR="00271150" w:rsidRDefault="00271150">
      <w:pPr>
        <w:spacing w:after="0" w:line="360" w:lineRule="auto"/>
        <w:jc w:val="both"/>
        <w:rPr>
          <w:rFonts w:ascii="Times New Roman" w:eastAsia="Times New Roman" w:hAnsi="Times New Roman" w:cs="Times New Roman"/>
          <w:sz w:val="24"/>
          <w:szCs w:val="24"/>
        </w:rPr>
      </w:pPr>
    </w:p>
    <w:p w14:paraId="2EED84C9" w14:textId="77777777" w:rsidR="00271150" w:rsidRDefault="00000000">
      <w:pPr>
        <w:spacing w:after="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Scanning electron microscopy</w:t>
      </w:r>
    </w:p>
    <w:p w14:paraId="690BE058" w14:textId="77777777" w:rsidR="00271150"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slides of BEAS-2B cells after treatment with PM</w:t>
      </w:r>
      <w:r>
        <w:rPr>
          <w:rFonts w:ascii="Times New Roman" w:eastAsia="Times New Roman" w:hAnsi="Times New Roman" w:cs="Times New Roman"/>
          <w:sz w:val="24"/>
          <w:szCs w:val="24"/>
          <w:vertAlign w:val="subscript"/>
        </w:rPr>
        <w:t>2.5</w:t>
      </w:r>
      <w:r>
        <w:rPr>
          <w:rFonts w:ascii="Times New Roman" w:eastAsia="Times New Roman" w:hAnsi="Times New Roman" w:cs="Times New Roman"/>
          <w:sz w:val="24"/>
          <w:szCs w:val="24"/>
        </w:rPr>
        <w:t xml:space="preserve"> or CC16 were dehydrated in a gradient series of ethanol (30</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40</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50</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60</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70</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80</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90</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and 100%) and critical point CO</w:t>
      </w:r>
      <w:r>
        <w:rPr>
          <w:rFonts w:ascii="Times New Roman" w:eastAsia="Times New Roman" w:hAnsi="Times New Roman" w:cs="Times New Roman"/>
          <w:sz w:val="24"/>
          <w:szCs w:val="24"/>
          <w:vertAlign w:val="subscript"/>
        </w:rPr>
        <w:t>2</w:t>
      </w:r>
      <w:r>
        <w:rPr>
          <w:rFonts w:ascii="Times New Roman" w:eastAsia="Times New Roman" w:hAnsi="Times New Roman" w:cs="Times New Roman"/>
          <w:sz w:val="24"/>
          <w:szCs w:val="24"/>
        </w:rPr>
        <w:t>. The sample was then adhered to a stage with double-sided conductive tape</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sprayed with an ion sputter</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and observed and photographed with an electron microscope (Zeiss</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MERLIN</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Germany).</w:t>
      </w:r>
    </w:p>
    <w:p w14:paraId="07AA7B32" w14:textId="77777777" w:rsidR="00271150" w:rsidRDefault="00271150">
      <w:pPr>
        <w:spacing w:after="0" w:line="360" w:lineRule="auto"/>
        <w:jc w:val="both"/>
        <w:rPr>
          <w:rFonts w:ascii="Times New Roman" w:eastAsia="Times New Roman" w:hAnsi="Times New Roman" w:cs="Times New Roman"/>
          <w:sz w:val="24"/>
          <w:szCs w:val="24"/>
        </w:rPr>
      </w:pPr>
    </w:p>
    <w:p w14:paraId="3244DDDE" w14:textId="77777777" w:rsidR="00271150" w:rsidRDefault="00000000">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Western blotting</w:t>
      </w:r>
    </w:p>
    <w:p w14:paraId="17006A0A" w14:textId="77777777" w:rsidR="00271150" w:rsidRDefault="0000000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lung tissues </w:t>
      </w:r>
      <w:r>
        <w:rPr>
          <w:rFonts w:ascii="Times New Roman" w:eastAsia="宋体" w:hAnsi="Times New Roman" w:cs="Times New Roman" w:hint="eastAsia"/>
          <w:sz w:val="24"/>
          <w:szCs w:val="24"/>
          <w:lang w:eastAsia="zh-CN"/>
        </w:rPr>
        <w:t xml:space="preserve">and </w:t>
      </w:r>
      <w:r>
        <w:rPr>
          <w:rFonts w:ascii="Times New Roman" w:eastAsia="Times New Roman" w:hAnsi="Times New Roman" w:cs="Times New Roman"/>
          <w:sz w:val="24"/>
          <w:szCs w:val="24"/>
        </w:rPr>
        <w:t>harvested cells</w:t>
      </w:r>
      <w:r>
        <w:rPr>
          <w:rFonts w:ascii="Times New Roman" w:eastAsia="宋体" w:hAnsi="Times New Roman" w:cs="Times New Roman" w:hint="eastAsia"/>
          <w:sz w:val="24"/>
          <w:szCs w:val="24"/>
          <w:lang w:eastAsia="zh-CN"/>
        </w:rPr>
        <w:t xml:space="preserve"> </w:t>
      </w:r>
      <w:r>
        <w:rPr>
          <w:rFonts w:ascii="Times New Roman" w:hAnsi="Times New Roman" w:cs="Times New Roman"/>
          <w:sz w:val="24"/>
          <w:szCs w:val="24"/>
        </w:rPr>
        <w:t>were homogenized in RIPA lysis buffer (Solarbio</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BJ</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CN) containing protease</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phosphatase</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and phenylmethylsulfonyl fluoride (PMSF).</w:t>
      </w:r>
      <w:r>
        <w:rPr>
          <w:rFonts w:ascii="Times New Roman" w:eastAsia="Times New Roman" w:hAnsi="Times New Roman" w:cs="Times New Roman"/>
          <w:sz w:val="24"/>
          <w:szCs w:val="24"/>
        </w:rPr>
        <w:t>.</w:t>
      </w:r>
      <w:r>
        <w:rPr>
          <w:rFonts w:ascii="Times New Roman" w:eastAsia="宋体" w:hAnsi="Times New Roman" w:cs="Times New Roman"/>
          <w:sz w:val="24"/>
          <w:szCs w:val="24"/>
          <w:lang w:eastAsia="zh-CN"/>
        </w:rPr>
        <w:t xml:space="preserve"> </w:t>
      </w:r>
      <w:r>
        <w:rPr>
          <w:rFonts w:ascii="Times New Roman" w:hAnsi="Times New Roman" w:cs="Times New Roman"/>
          <w:sz w:val="24"/>
          <w:szCs w:val="24"/>
        </w:rPr>
        <w:t>The mixture was centrifuged at 12</w:t>
      </w:r>
      <w:r>
        <w:rPr>
          <w:rFonts w:ascii="Times New Roman" w:eastAsia="宋体" w:hAnsi="Times New Roman" w:cs="Times New Roman"/>
          <w:sz w:val="24"/>
          <w:szCs w:val="24"/>
          <w:lang w:eastAsia="zh-CN"/>
        </w:rPr>
        <w:t>,</w:t>
      </w:r>
      <w:r>
        <w:rPr>
          <w:rFonts w:ascii="Times New Roman" w:hAnsi="Times New Roman" w:cs="Times New Roman"/>
          <w:sz w:val="24"/>
          <w:szCs w:val="24"/>
        </w:rPr>
        <w:t>000 rpm at 4°C for 20 min. The supernatant was collected</w:t>
      </w:r>
      <w:r>
        <w:rPr>
          <w:rFonts w:ascii="Times New Roman" w:eastAsia="宋体" w:hAnsi="Times New Roman" w:cs="Times New Roman"/>
          <w:sz w:val="24"/>
          <w:szCs w:val="24"/>
          <w:lang w:eastAsia="zh-CN"/>
        </w:rPr>
        <w:t xml:space="preserve">, </w:t>
      </w:r>
      <w:r>
        <w:rPr>
          <w:rFonts w:ascii="Times New Roman" w:hAnsi="Times New Roman" w:cs="Times New Roman"/>
          <w:sz w:val="24"/>
          <w:szCs w:val="24"/>
        </w:rPr>
        <w:t>and its protein content was measured with a BCA protein assay kit (Solarbio). Then</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10 µg of protein was separated with SDS-PAGE gel (8</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10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and 12%) and then transferred onto a polyvinylidene fluoride (PVDF) membrane (Bio-Rad</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Richmond</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CA</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USA). </w:t>
      </w:r>
      <w:r>
        <w:rPr>
          <w:rFonts w:ascii="Times New Roman" w:eastAsia="宋体" w:hAnsi="Times New Roman" w:cs="Times New Roman"/>
          <w:sz w:val="24"/>
          <w:szCs w:val="24"/>
        </w:rPr>
        <w:t>T</w:t>
      </w:r>
      <w:r>
        <w:rPr>
          <w:rFonts w:ascii="Times New Roman" w:hAnsi="Times New Roman" w:cs="Times New Roman"/>
          <w:sz w:val="24"/>
          <w:szCs w:val="24"/>
        </w:rPr>
        <w:t xml:space="preserve">he blots </w:t>
      </w:r>
      <w:r>
        <w:rPr>
          <w:rFonts w:ascii="Times New Roman" w:eastAsia="宋体" w:hAnsi="Times New Roman" w:cs="Times New Roman"/>
          <w:sz w:val="24"/>
          <w:szCs w:val="24"/>
        </w:rPr>
        <w:t xml:space="preserve">with targeted molecules </w:t>
      </w:r>
      <w:r>
        <w:rPr>
          <w:rFonts w:ascii="Times New Roman" w:hAnsi="Times New Roman" w:cs="Times New Roman"/>
          <w:sz w:val="24"/>
          <w:szCs w:val="24"/>
        </w:rPr>
        <w:t xml:space="preserve">were cut during </w:t>
      </w:r>
      <w:r>
        <w:rPr>
          <w:rFonts w:ascii="Times New Roman" w:hAnsi="Times New Roman" w:cs="Times New Roman"/>
          <w:sz w:val="24"/>
          <w:szCs w:val="24"/>
        </w:rPr>
        <w:lastRenderedPageBreak/>
        <w:t>blotting before hybridization with antibodies</w:t>
      </w:r>
      <w:r>
        <w:rPr>
          <w:rFonts w:ascii="Times New Roman" w:eastAsia="宋体" w:hAnsi="Times New Roman" w:cs="Times New Roman"/>
          <w:sz w:val="24"/>
          <w:szCs w:val="24"/>
        </w:rPr>
        <w:t xml:space="preserve">. </w:t>
      </w:r>
      <w:r>
        <w:rPr>
          <w:rFonts w:ascii="Times New Roman" w:hAnsi="Times New Roman" w:cs="Times New Roman"/>
          <w:sz w:val="24"/>
          <w:szCs w:val="24"/>
        </w:rPr>
        <w:t>After washing</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the blots were incubated at 4°C overnight with the primary antibodies against </w:t>
      </w:r>
      <w:r>
        <w:rPr>
          <w:rFonts w:ascii="Times New Roman" w:eastAsia="宋体" w:hAnsi="Times New Roman" w:cs="Times New Roman" w:hint="eastAsia"/>
          <w:sz w:val="24"/>
          <w:szCs w:val="24"/>
          <w:lang w:eastAsia="zh-CN"/>
        </w:rPr>
        <w:t>TLR-4</w:t>
      </w:r>
      <w:r>
        <w:rPr>
          <w:rFonts w:ascii="Times New Roman" w:hAnsi="Times New Roman" w:cs="Times New Roman"/>
          <w:sz w:val="24"/>
          <w:szCs w:val="24"/>
        </w:rPr>
        <w:t xml:space="preserve"> (CST</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1:1000)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NF-κB (CST</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1:1000)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polyclonalanti-NF-κB (CST</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1:1000)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Caspase 3 (CST</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1:1000)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w:t>
      </w:r>
      <w:r>
        <w:rPr>
          <w:rFonts w:ascii="Times New Roman" w:eastAsia="宋体" w:hAnsi="Times New Roman" w:cs="Times New Roman" w:hint="eastAsia"/>
          <w:sz w:val="24"/>
          <w:szCs w:val="24"/>
          <w:lang w:eastAsia="zh-CN"/>
        </w:rPr>
        <w:t>NLRP-3</w:t>
      </w:r>
      <w:r>
        <w:rPr>
          <w:rFonts w:ascii="Times New Roman" w:hAnsi="Times New Roman" w:cs="Times New Roman"/>
          <w:sz w:val="24"/>
          <w:szCs w:val="24"/>
        </w:rPr>
        <w:t xml:space="preserve"> (Abcam</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1:1000)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w:t>
      </w:r>
      <w:r>
        <w:rPr>
          <w:rFonts w:ascii="Times New Roman" w:eastAsia="宋体" w:hAnsi="Times New Roman" w:cs="Times New Roman" w:hint="eastAsia"/>
          <w:sz w:val="24"/>
          <w:szCs w:val="24"/>
          <w:lang w:eastAsia="zh-CN"/>
        </w:rPr>
        <w:t>caspase-1</w:t>
      </w:r>
      <w:r>
        <w:rPr>
          <w:rFonts w:ascii="Times New Roman" w:hAnsi="Times New Roman" w:cs="Times New Roman"/>
          <w:sz w:val="24"/>
          <w:szCs w:val="24"/>
        </w:rPr>
        <w:t xml:space="preserve"> (CST</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1:1000)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IL-1β (CST</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1:1000)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Gasdermin D (CST</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1:1000)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high mobility group box 1 (HMGB1</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CST</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1:1000)</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w:t>
      </w:r>
      <w:r>
        <w:rPr>
          <w:rFonts w:ascii="Times New Roman" w:eastAsia="宋体" w:hAnsi="Times New Roman" w:cs="Times New Roman"/>
          <w:sz w:val="24"/>
          <w:szCs w:val="24"/>
          <w:lang w:eastAsia="zh-CN"/>
        </w:rPr>
        <w:t>ETS1</w:t>
      </w:r>
      <w:r>
        <w:rPr>
          <w:rFonts w:ascii="Times New Roman" w:eastAsia="Times New Roman" w:hAnsi="Times New Roman" w:cs="Times New Roman"/>
          <w:sz w:val="24"/>
          <w:szCs w:val="24"/>
        </w:rPr>
        <w:t xml:space="preserve"> (CST</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1:1000)</w:t>
      </w:r>
      <w:r>
        <w:rPr>
          <w:rFonts w:ascii="Times New Roman" w:eastAsia="宋体" w:hAnsi="Times New Roman" w:cs="Times New Roman"/>
          <w:sz w:val="24"/>
          <w:szCs w:val="24"/>
          <w:lang w:eastAsia="zh-CN"/>
        </w:rPr>
        <w:t xml:space="preserve"> </w:t>
      </w:r>
      <w:r>
        <w:rPr>
          <w:rFonts w:ascii="Times New Roman" w:eastAsia="Times New Roman" w:hAnsi="Times New Roman" w:cs="Times New Roman"/>
          <w:sz w:val="24"/>
          <w:szCs w:val="24"/>
        </w:rPr>
        <w:t>and β-actin (CST</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1:3000)</w:t>
      </w:r>
      <w:r>
        <w:rPr>
          <w:rFonts w:ascii="Times New Roman" w:hAnsi="Times New Roman" w:cs="Times New Roman"/>
          <w:sz w:val="24"/>
          <w:szCs w:val="24"/>
        </w:rPr>
        <w:t>. Horseradish peroxidase-conjugated goat anti-rabbit IgG (CST; 1:5000) or goat anti-mouse (CST; 1:5000) was incubated as secondary antibodies for 2 h at room temperature. Finally</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the immunoreactive blots were visualized using the Enhanced Chemoluminescence Detection Kit (Beyotime Biotech; Shanghai</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China) and quantified by Quality One software (Bio-Rad).</w:t>
      </w:r>
      <w:r>
        <w:rPr>
          <w:rFonts w:ascii="Times New Roman" w:eastAsia="宋体" w:hAnsi="Times New Roman" w:cs="Times New Roman"/>
          <w:sz w:val="24"/>
          <w:szCs w:val="24"/>
        </w:rPr>
        <w:t xml:space="preserve"> </w:t>
      </w:r>
      <w:r>
        <w:rPr>
          <w:rFonts w:ascii="Times New Roman" w:hAnsi="Times New Roman" w:cs="Times New Roman"/>
          <w:sz w:val="24"/>
          <w:szCs w:val="24"/>
        </w:rPr>
        <w:t>We used Image J to quantify the WB strip gray value.To confirm the statistical conclusion</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we conducted multiple repetitions of each Western blot band</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exceeding three times</w:t>
      </w:r>
      <w:r>
        <w:rPr>
          <w:rFonts w:ascii="Times New Roman" w:eastAsia="宋体" w:hAnsi="Times New Roman" w:cs="Times New Roman"/>
          <w:sz w:val="24"/>
          <w:szCs w:val="24"/>
          <w:lang w:eastAsia="zh-CN"/>
        </w:rPr>
        <w:t>,</w:t>
      </w:r>
      <w:r>
        <w:rPr>
          <w:rFonts w:ascii="Times New Roman" w:hAnsi="Times New Roman" w:cs="Times New Roman"/>
          <w:sz w:val="24"/>
          <w:szCs w:val="24"/>
        </w:rPr>
        <w:t xml:space="preserve"> and  performed a comparative analysis of the gray value.</w:t>
      </w:r>
    </w:p>
    <w:p w14:paraId="05F0B3B0" w14:textId="77777777" w:rsidR="00271150" w:rsidRDefault="00000000">
      <w:pPr>
        <w:spacing w:after="0" w:line="360" w:lineRule="auto"/>
        <w:jc w:val="both"/>
        <w:rPr>
          <w:rFonts w:ascii="Times New Roman" w:eastAsia="宋体" w:hAnsi="Times New Roman" w:cs="Times New Roman"/>
          <w:b/>
          <w:bCs/>
          <w:sz w:val="24"/>
          <w:szCs w:val="24"/>
          <w:lang w:eastAsia="zh-CN"/>
        </w:rPr>
      </w:pPr>
      <w:r>
        <w:rPr>
          <w:rFonts w:ascii="Times New Roman" w:eastAsia="宋体" w:hAnsi="Times New Roman" w:cs="Times New Roman"/>
          <w:b/>
          <w:bCs/>
          <w:sz w:val="24"/>
          <w:szCs w:val="24"/>
          <w:lang w:eastAsia="zh-CN"/>
        </w:rPr>
        <w:t>PCR</w:t>
      </w:r>
    </w:p>
    <w:p w14:paraId="7E2A274C" w14:textId="77777777" w:rsidR="00271150" w:rsidRDefault="00000000">
      <w:pPr>
        <w:spacing w:line="360" w:lineRule="auto"/>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The literature was consulted to identify the target protein gene subtype, and  Guangzhou Aiji Company synthesized primers. BEAS-2B cells were subjected to pancreatic enzyme digestion and modelled with either PM</w:t>
      </w:r>
      <w:r>
        <w:rPr>
          <w:rFonts w:ascii="Times New Roman" w:eastAsia="宋体" w:hAnsi="Times New Roman" w:cs="Times New Roman"/>
          <w:sz w:val="24"/>
          <w:szCs w:val="24"/>
          <w:vertAlign w:val="subscript"/>
          <w:lang w:eastAsia="zh-CN"/>
        </w:rPr>
        <w:t>2.5</w:t>
      </w:r>
      <w:r>
        <w:rPr>
          <w:rFonts w:ascii="Times New Roman" w:eastAsia="宋体" w:hAnsi="Times New Roman" w:cs="Times New Roman"/>
          <w:sz w:val="24"/>
          <w:szCs w:val="24"/>
          <w:lang w:eastAsia="zh-CN"/>
        </w:rPr>
        <w:t xml:space="preserve"> or CC16. Upon reaching 60-80% confluency, the reaction was halted by adding a culture medium. The collected cells were centrifuged at 1000g for 3 minutes and washed twice with PBS before undergoing another round of centrifugation at 1000g for 3 minutes. Total RNA was isolated from BEAS-2B cells under the TRIzol (Sigma, St. Louis, USA) protocol. The RNA concentration was determined through an enzyme-linked immunosorbent assay at 562nm absorbance. Subsequently, the extracted RNA was promptly subjected to reverse transcription into complementary DNA (cDNA) utilizing the Thermo Scientific Revert Aid First Strand cDNA Synthesis Kit (Thermo, USA). The first step involves the generation of cDNA through reverse transcription, utilizing a 10 μL system. The reaction system (20) should be prepared on an ice box with the following components following the total RNA used, which should not exceed 500 ng. Real-time PCR was conducted using the QuantiFast SYBR Green PCR kit (Invitrogen, </w:t>
      </w:r>
      <w:r>
        <w:rPr>
          <w:rFonts w:ascii="Times New Roman" w:eastAsia="宋体" w:hAnsi="Times New Roman" w:cs="Times New Roman"/>
          <w:sz w:val="24"/>
          <w:szCs w:val="24"/>
          <w:lang w:eastAsia="zh-CN"/>
        </w:rPr>
        <w:lastRenderedPageBreak/>
        <w:t>Carlsbad, USA) on the Roche Light Cycler 480II system. The primer list is as follows in Table 1.</w:t>
      </w:r>
    </w:p>
    <w:p w14:paraId="32328FF0" w14:textId="77777777" w:rsidR="00271150" w:rsidRDefault="00271150">
      <w:pPr>
        <w:spacing w:line="360" w:lineRule="auto"/>
        <w:jc w:val="both"/>
        <w:rPr>
          <w:rFonts w:ascii="Times New Roman" w:eastAsia="宋体" w:hAnsi="Times New Roman" w:cs="Times New Roman"/>
          <w:sz w:val="24"/>
          <w:szCs w:val="24"/>
          <w:lang w:eastAsia="zh-CN"/>
        </w:rPr>
      </w:pPr>
    </w:p>
    <w:p w14:paraId="58C8B171" w14:textId="77777777" w:rsidR="00271150" w:rsidRDefault="00000000">
      <w:pPr>
        <w:spacing w:after="0" w:line="360" w:lineRule="auto"/>
        <w:jc w:val="both"/>
        <w:rPr>
          <w:rFonts w:ascii="Times New Roman" w:eastAsia="宋体" w:hAnsi="Times New Roman" w:cs="Times New Roman"/>
          <w:b/>
          <w:bCs/>
          <w:sz w:val="24"/>
          <w:szCs w:val="24"/>
          <w:lang w:eastAsia="zh-CN"/>
        </w:rPr>
      </w:pPr>
      <w:r>
        <w:rPr>
          <w:rFonts w:ascii="Times New Roman" w:eastAsia="宋体" w:hAnsi="Times New Roman" w:cs="Times New Roman"/>
          <w:b/>
          <w:bCs/>
          <w:sz w:val="24"/>
          <w:szCs w:val="24"/>
          <w:lang w:eastAsia="zh-CN"/>
        </w:rPr>
        <w:t>Database construction, analysis, and validation based on transcriptome data</w:t>
      </w:r>
    </w:p>
    <w:p w14:paraId="264C324A" w14:textId="77777777" w:rsidR="00271150" w:rsidRDefault="00000000">
      <w:pPr>
        <w:spacing w:after="0" w:line="360" w:lineRule="auto"/>
        <w:jc w:val="both"/>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BEAS-2B cells treated with either CC16 or PM</w:t>
      </w:r>
      <w:r>
        <w:rPr>
          <w:rFonts w:ascii="Times New Roman" w:eastAsia="宋体" w:hAnsi="Times New Roman" w:cs="Times New Roman"/>
          <w:sz w:val="24"/>
          <w:szCs w:val="24"/>
          <w:vertAlign w:val="subscript"/>
          <w:lang w:eastAsia="zh-CN"/>
        </w:rPr>
        <w:t>2.5</w:t>
      </w:r>
      <w:r>
        <w:rPr>
          <w:rFonts w:ascii="Times New Roman" w:eastAsia="宋体" w:hAnsi="Times New Roman" w:cs="Times New Roman"/>
          <w:sz w:val="24"/>
          <w:szCs w:val="24"/>
          <w:lang w:eastAsia="zh-CN"/>
        </w:rPr>
        <w:t xml:space="preserve"> were subjected to RNA extraction using TRIzol's protocol, followed by RNA quantification using an enzyme-linked immunosorbent assay at 562 nm. The reaction solution was prepared on ice per the Total RNA seq (H/M/R) Library Prep Kit instructions. Subsequently, the RNA samples were placed in a PCR reactor, and RNase H and DNase I digestion reactions were performed to obtain a 5 μG Total RNA sample. The Ribosomal deleted RNA was purified through VAHTS RNA Clean Beads, followed by the synthesis of cDNA based on the size of the inserted fragment. The cDNA synthesis reaction solution was prepared in a PCR reaction tube, and two synthesis reactions were performed. The RmRNA seq library underwent 100 bp double ended-sequencing using HiSeq2000. The Fatsqc tool is utilized for quality control of mRNA sequencing data, with the additional step of pruning low-quality bases. The RNA sequencing data is subsequently mapped to the Human Genome (hg19) via TopHat (version 2.1.1), with a maximum allowance of 2 mismatches. The gene expression level is then calculated using Cufflinks, with default parameters being employed. Finally, Gene Ontology analysis is conducted using DAVID. The Western Blot technique is utilized to verify the protein expression of genes that have undergone screening.</w:t>
      </w:r>
    </w:p>
    <w:p w14:paraId="54320C7C" w14:textId="77777777" w:rsidR="00271150" w:rsidRDefault="00271150">
      <w:pPr>
        <w:spacing w:after="0" w:line="360" w:lineRule="auto"/>
        <w:jc w:val="both"/>
        <w:rPr>
          <w:rFonts w:ascii="Times New Roman" w:eastAsia="宋体" w:hAnsi="Times New Roman" w:cs="Times New Roman"/>
          <w:sz w:val="24"/>
          <w:szCs w:val="24"/>
          <w:lang w:eastAsia="zh-CN"/>
        </w:rPr>
      </w:pPr>
    </w:p>
    <w:p w14:paraId="1F15D574" w14:textId="77777777" w:rsidR="00271150" w:rsidRDefault="00000000">
      <w:pPr>
        <w:spacing w:after="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Statistical analysis</w:t>
      </w:r>
    </w:p>
    <w:p w14:paraId="23AA85E7" w14:textId="77777777" w:rsidR="00271150" w:rsidRDefault="0000000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Data are presented as the mean±standard deviation. We performed the statistical analysis with SPSS 14.0 statistical software (SPSS Inc.</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Chicago</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IL</w:t>
      </w:r>
      <w:r>
        <w:rPr>
          <w:rFonts w:ascii="Times New Roman" w:eastAsia="宋体" w:hAnsi="Times New Roman" w:cs="Times New Roman"/>
          <w:sz w:val="24"/>
          <w:szCs w:val="24"/>
          <w:lang w:eastAsia="zh-CN"/>
        </w:rPr>
        <w:t>,</w:t>
      </w:r>
      <w:r>
        <w:rPr>
          <w:rFonts w:ascii="Times New Roman" w:eastAsia="Times New Roman" w:hAnsi="Times New Roman" w:cs="Times New Roman"/>
          <w:sz w:val="24"/>
          <w:szCs w:val="24"/>
        </w:rPr>
        <w:t xml:space="preserve"> USA). The Student's </w:t>
      </w:r>
      <w:r>
        <w:rPr>
          <w:rFonts w:ascii="Times New Roman" w:eastAsia="Times New Roman" w:hAnsi="Times New Roman" w:cs="Times New Roman"/>
          <w:i/>
          <w:iCs/>
          <w:sz w:val="24"/>
          <w:szCs w:val="24"/>
        </w:rPr>
        <w:t>t</w:t>
      </w:r>
      <w:r>
        <w:rPr>
          <w:rFonts w:ascii="Times New Roman" w:eastAsia="Times New Roman" w:hAnsi="Times New Roman" w:cs="Times New Roman"/>
          <w:sz w:val="24"/>
          <w:szCs w:val="24"/>
        </w:rPr>
        <w:t>-test was performed to analy</w:t>
      </w:r>
      <w:r>
        <w:rPr>
          <w:rFonts w:ascii="Times New Roman" w:eastAsia="宋体" w:hAnsi="Times New Roman" w:cs="Times New Roman"/>
          <w:sz w:val="24"/>
          <w:szCs w:val="24"/>
        </w:rPr>
        <w:t>z</w:t>
      </w:r>
      <w:r>
        <w:rPr>
          <w:rFonts w:ascii="Times New Roman" w:eastAsia="Times New Roman" w:hAnsi="Times New Roman" w:cs="Times New Roman"/>
          <w:sz w:val="24"/>
          <w:szCs w:val="24"/>
        </w:rPr>
        <w:t xml:space="preserve">e the difference between the two groups. One-way analysis of variance (ANOVA) followed by Bonferroni’s post-hoc test was performed for comparisons among multiple experimental groups.  </w:t>
      </w:r>
      <w:r>
        <w:rPr>
          <w:rFonts w:ascii="Times New Roman" w:eastAsia="Times New Roman" w:hAnsi="Times New Roman" w:cs="Times New Roman"/>
          <w:i/>
          <w:iCs/>
          <w:sz w:val="24"/>
          <w:szCs w:val="24"/>
        </w:rPr>
        <w:t>P</w:t>
      </w:r>
      <w:r>
        <w:rPr>
          <w:rFonts w:ascii="Times New Roman" w:eastAsia="Times New Roman" w:hAnsi="Times New Roman" w:cs="Times New Roman"/>
          <w:sz w:val="24"/>
          <w:szCs w:val="24"/>
        </w:rPr>
        <w:t xml:space="preserve"> &lt; 0.05 was considered to indicate significant differences. </w:t>
      </w:r>
    </w:p>
    <w:p w14:paraId="5FDFC2B0" w14:textId="77777777" w:rsidR="00271150" w:rsidRDefault="00000000">
      <w:pPr>
        <w:shd w:val="clear" w:color="auto" w:fill="FFFFFF" w:themeFill="background1"/>
        <w:spacing w:after="100" w:afterAutospacing="1" w:line="480" w:lineRule="auto"/>
        <w:jc w:val="center"/>
        <w:rPr>
          <w:rFonts w:ascii="Times New Roman" w:eastAsia="微软雅黑" w:hAnsi="Times New Roman" w:cs="Times New Roman"/>
          <w:sz w:val="24"/>
          <w:szCs w:val="24"/>
        </w:rPr>
      </w:pPr>
      <w:r>
        <w:rPr>
          <w:rFonts w:ascii="Times New Roman" w:eastAsia="Times New Roman" w:hAnsi="Times New Roman" w:cs="Times New Roman"/>
          <w:b/>
          <w:bCs/>
          <w:color w:val="212529"/>
          <w:sz w:val="24"/>
          <w:szCs w:val="24"/>
        </w:rPr>
        <w:lastRenderedPageBreak/>
        <w:t>Online Supplementary Tables</w:t>
      </w:r>
    </w:p>
    <w:p w14:paraId="263CB6A0" w14:textId="77777777" w:rsidR="00271150" w:rsidRDefault="00000000">
      <w:pPr>
        <w:spacing w:line="360" w:lineRule="auto"/>
        <w:jc w:val="both"/>
        <w:rPr>
          <w:rFonts w:ascii="Times New Roman" w:hAnsi="Times New Roman" w:cs="Times New Roman"/>
          <w:sz w:val="21"/>
          <w:szCs w:val="21"/>
          <w:lang w:eastAsia="zh-CN"/>
        </w:rPr>
      </w:pPr>
      <w:r>
        <w:rPr>
          <w:rFonts w:ascii="Times New Roman" w:eastAsia="宋体" w:hAnsi="Times New Roman" w:cs="Times New Roman" w:hint="eastAsia"/>
          <w:b/>
          <w:bCs/>
          <w:lang w:eastAsia="zh-CN"/>
        </w:rPr>
        <w:t>Supplementary Table 1:</w:t>
      </w:r>
      <w:r>
        <w:rPr>
          <w:rFonts w:ascii="Times New Roman" w:hAnsi="Times New Roman" w:cs="Times New Roman"/>
          <w:sz w:val="21"/>
          <w:szCs w:val="21"/>
        </w:rPr>
        <w:t xml:space="preserve">The MS/MS results </w:t>
      </w:r>
      <w:r>
        <w:rPr>
          <w:rFonts w:ascii="Times New Roman" w:hAnsi="Times New Roman" w:cs="Times New Roman"/>
          <w:sz w:val="21"/>
          <w:szCs w:val="21"/>
          <w:lang w:eastAsia="zh-CN"/>
        </w:rPr>
        <w:t>in</w:t>
      </w:r>
      <w:r>
        <w:rPr>
          <w:rFonts w:ascii="Times New Roman" w:hAnsi="Times New Roman" w:cs="Times New Roman"/>
          <w:sz w:val="21"/>
          <w:szCs w:val="21"/>
        </w:rPr>
        <w:t xml:space="preserve"> PM</w:t>
      </w:r>
      <w:r>
        <w:rPr>
          <w:rFonts w:ascii="Times New Roman" w:hAnsi="Times New Roman" w:cs="Times New Roman"/>
          <w:sz w:val="21"/>
          <w:szCs w:val="21"/>
          <w:vertAlign w:val="subscript"/>
        </w:rPr>
        <w:t>2.5</w:t>
      </w:r>
      <w:r>
        <w:rPr>
          <w:rFonts w:ascii="Times New Roman" w:hAnsi="Times New Roman" w:cs="Times New Roman"/>
          <w:sz w:val="21"/>
          <w:szCs w:val="21"/>
        </w:rPr>
        <w:t xml:space="preserve"> </w:t>
      </w:r>
      <w:r>
        <w:rPr>
          <w:rFonts w:ascii="Times New Roman" w:eastAsia="宋体" w:hAnsi="Times New Roman" w:cs="Times New Roman" w:hint="eastAsia"/>
          <w:sz w:val="21"/>
          <w:szCs w:val="21"/>
          <w:lang w:eastAsia="zh-CN"/>
        </w:rPr>
        <w:t xml:space="preserve">or </w:t>
      </w:r>
      <w:r>
        <w:rPr>
          <w:rFonts w:ascii="Times New Roman" w:hAnsi="Times New Roman" w:cs="Times New Roman"/>
          <w:sz w:val="21"/>
          <w:szCs w:val="21"/>
        </w:rPr>
        <w:t>PM</w:t>
      </w:r>
      <w:r>
        <w:rPr>
          <w:rFonts w:ascii="Times New Roman" w:hAnsi="Times New Roman" w:cs="Times New Roman"/>
          <w:sz w:val="21"/>
          <w:szCs w:val="21"/>
          <w:vertAlign w:val="subscript"/>
        </w:rPr>
        <w:t>2.5</w:t>
      </w:r>
      <w:r>
        <w:rPr>
          <w:rFonts w:ascii="Times New Roman" w:hAnsi="Times New Roman" w:cs="Times New Roman"/>
          <w:sz w:val="21"/>
          <w:szCs w:val="21"/>
        </w:rPr>
        <w:t xml:space="preserve"> with HP sterilization. Define all abbreviations</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
        <w:gridCol w:w="779"/>
        <w:gridCol w:w="779"/>
        <w:gridCol w:w="471"/>
        <w:gridCol w:w="952"/>
        <w:gridCol w:w="952"/>
        <w:gridCol w:w="471"/>
        <w:gridCol w:w="722"/>
        <w:gridCol w:w="779"/>
        <w:gridCol w:w="471"/>
        <w:gridCol w:w="837"/>
        <w:gridCol w:w="837"/>
      </w:tblGrid>
      <w:tr w:rsidR="00271150" w14:paraId="60CC021E" w14:textId="77777777">
        <w:trPr>
          <w:trHeight w:val="1661"/>
        </w:trPr>
        <w:tc>
          <w:tcPr>
            <w:tcW w:w="0" w:type="auto"/>
            <w:vMerge w:val="restart"/>
            <w:tcBorders>
              <w:top w:val="single" w:sz="4" w:space="0" w:color="auto"/>
            </w:tcBorders>
            <w:vAlign w:val="center"/>
          </w:tcPr>
          <w:p w14:paraId="0236E60E" w14:textId="77777777" w:rsidR="00271150" w:rsidRDefault="00000000">
            <w:pPr>
              <w:spacing w:line="360" w:lineRule="auto"/>
              <w:jc w:val="center"/>
              <w:rPr>
                <w:rFonts w:ascii="Times New Roman" w:eastAsia="宋体" w:hAnsi="Times New Roman" w:cs="Times New Roman"/>
                <w:sz w:val="16"/>
                <w:szCs w:val="16"/>
                <w:lang w:eastAsia="zh-CN"/>
              </w:rPr>
            </w:pPr>
            <w:r>
              <w:rPr>
                <w:rFonts w:ascii="Times New Roman" w:eastAsia="宋体" w:hAnsi="Times New Roman" w:cs="Times New Roman"/>
                <w:sz w:val="16"/>
                <w:szCs w:val="16"/>
                <w:lang w:eastAsia="zh-CN"/>
              </w:rPr>
              <w:t>Items</w:t>
            </w:r>
          </w:p>
        </w:tc>
        <w:tc>
          <w:tcPr>
            <w:tcW w:w="0" w:type="auto"/>
            <w:gridSpan w:val="2"/>
            <w:tcBorders>
              <w:top w:val="single" w:sz="4" w:space="0" w:color="auto"/>
            </w:tcBorders>
            <w:vAlign w:val="center"/>
          </w:tcPr>
          <w:p w14:paraId="0F2456F8" w14:textId="77777777" w:rsidR="00271150" w:rsidRDefault="00000000">
            <w:pPr>
              <w:spacing w:line="360" w:lineRule="auto"/>
              <w:jc w:val="center"/>
              <w:rPr>
                <w:rFonts w:ascii="Times New Roman" w:eastAsia="Times New Roman" w:hAnsi="Times New Roman" w:cs="Times New Roman"/>
                <w:sz w:val="16"/>
                <w:szCs w:val="16"/>
              </w:rPr>
            </w:pPr>
            <w:r>
              <w:rPr>
                <w:rFonts w:ascii="Times New Roman" w:eastAsia="宋体" w:hAnsi="Times New Roman" w:cs="Times New Roman"/>
                <w:sz w:val="16"/>
                <w:szCs w:val="16"/>
              </w:rPr>
              <w:t>Elements</w:t>
            </w:r>
            <w:r>
              <w:rPr>
                <w:rFonts w:ascii="Times New Roman" w:eastAsia="宋体" w:hAnsi="Times New Roman" w:cs="Times New Roman"/>
                <w:sz w:val="16"/>
                <w:szCs w:val="16"/>
              </w:rPr>
              <w:t>（</w:t>
            </w:r>
            <w:r>
              <w:rPr>
                <w:rFonts w:ascii="Times New Roman" w:eastAsia="宋体" w:hAnsi="Times New Roman" w:cs="Times New Roman"/>
                <w:sz w:val="16"/>
                <w:szCs w:val="16"/>
              </w:rPr>
              <w:t>μg/mg</w:t>
            </w:r>
            <w:r>
              <w:rPr>
                <w:rFonts w:ascii="Times New Roman" w:eastAsia="宋体" w:hAnsi="Times New Roman" w:cs="Times New Roman"/>
                <w:sz w:val="16"/>
                <w:szCs w:val="16"/>
              </w:rPr>
              <w:t>）</w:t>
            </w:r>
            <w:r>
              <w:rPr>
                <w:rFonts w:ascii="Times New Roman" w:eastAsia="宋体" w:hAnsi="Times New Roman" w:cs="Times New Roman"/>
                <w:sz w:val="16"/>
                <w:szCs w:val="16"/>
              </w:rPr>
              <w:t xml:space="preserve"> Compositions</w:t>
            </w:r>
          </w:p>
        </w:tc>
        <w:tc>
          <w:tcPr>
            <w:tcW w:w="0" w:type="auto"/>
            <w:vMerge w:val="restart"/>
            <w:tcBorders>
              <w:top w:val="single" w:sz="4" w:space="0" w:color="auto"/>
            </w:tcBorders>
            <w:vAlign w:val="center"/>
          </w:tcPr>
          <w:p w14:paraId="00291E33" w14:textId="77777777" w:rsidR="00271150" w:rsidRDefault="00000000">
            <w:pPr>
              <w:spacing w:line="360" w:lineRule="auto"/>
              <w:jc w:val="center"/>
              <w:rPr>
                <w:rFonts w:ascii="Times New Roman" w:eastAsia="Times New Roman" w:hAnsi="Times New Roman" w:cs="Times New Roman"/>
                <w:sz w:val="16"/>
                <w:szCs w:val="16"/>
              </w:rPr>
            </w:pPr>
            <w:r>
              <w:rPr>
                <w:rFonts w:ascii="Times New Roman" w:eastAsia="宋体" w:hAnsi="Times New Roman" w:cs="Times New Roman"/>
                <w:sz w:val="16"/>
                <w:szCs w:val="16"/>
                <w:lang w:eastAsia="zh-CN"/>
              </w:rPr>
              <w:t>Items</w:t>
            </w:r>
          </w:p>
        </w:tc>
        <w:tc>
          <w:tcPr>
            <w:tcW w:w="0" w:type="auto"/>
            <w:gridSpan w:val="2"/>
            <w:tcBorders>
              <w:top w:val="single" w:sz="4" w:space="0" w:color="auto"/>
            </w:tcBorders>
            <w:vAlign w:val="center"/>
          </w:tcPr>
          <w:p w14:paraId="44783430" w14:textId="77777777" w:rsidR="00271150" w:rsidRDefault="00000000">
            <w:pPr>
              <w:spacing w:line="360" w:lineRule="auto"/>
              <w:jc w:val="center"/>
              <w:rPr>
                <w:rFonts w:ascii="Times New Roman" w:eastAsia="Times New Roman" w:hAnsi="Times New Roman" w:cs="Times New Roman"/>
                <w:sz w:val="16"/>
                <w:szCs w:val="16"/>
              </w:rPr>
            </w:pPr>
            <w:r>
              <w:rPr>
                <w:rFonts w:ascii="Times New Roman" w:hAnsi="Times New Roman" w:cs="Times New Roman"/>
                <w:sz w:val="16"/>
                <w:szCs w:val="16"/>
              </w:rPr>
              <w:t xml:space="preserve">Trace elements </w:t>
            </w:r>
            <w:r>
              <w:rPr>
                <w:rFonts w:ascii="Times New Roman" w:hAnsi="Times New Roman" w:cs="Times New Roman"/>
                <w:sz w:val="16"/>
                <w:szCs w:val="16"/>
              </w:rPr>
              <w:t>（</w:t>
            </w:r>
            <w:r>
              <w:rPr>
                <w:rFonts w:ascii="Times New Roman" w:hAnsi="Times New Roman" w:cs="Times New Roman"/>
                <w:sz w:val="16"/>
                <w:szCs w:val="16"/>
              </w:rPr>
              <w:t>ng/mg</w:t>
            </w:r>
            <w:r>
              <w:rPr>
                <w:rFonts w:ascii="Times New Roman" w:hAnsi="Times New Roman" w:cs="Times New Roman"/>
                <w:sz w:val="16"/>
                <w:szCs w:val="16"/>
              </w:rPr>
              <w:t>）</w:t>
            </w:r>
          </w:p>
        </w:tc>
        <w:tc>
          <w:tcPr>
            <w:tcW w:w="0" w:type="auto"/>
            <w:vMerge w:val="restart"/>
            <w:tcBorders>
              <w:top w:val="single" w:sz="4" w:space="0" w:color="auto"/>
            </w:tcBorders>
            <w:vAlign w:val="center"/>
          </w:tcPr>
          <w:p w14:paraId="5276EEFA" w14:textId="77777777" w:rsidR="00271150" w:rsidRDefault="00000000">
            <w:pPr>
              <w:spacing w:line="360" w:lineRule="auto"/>
              <w:jc w:val="center"/>
              <w:rPr>
                <w:rFonts w:ascii="Times New Roman" w:eastAsia="宋体" w:hAnsi="Times New Roman" w:cs="Times New Roman"/>
                <w:sz w:val="16"/>
                <w:szCs w:val="16"/>
                <w:lang w:eastAsia="zh-CN"/>
              </w:rPr>
            </w:pPr>
            <w:r>
              <w:rPr>
                <w:rFonts w:ascii="Times New Roman" w:eastAsia="宋体" w:hAnsi="Times New Roman" w:cs="Times New Roman"/>
                <w:sz w:val="16"/>
                <w:szCs w:val="16"/>
                <w:lang w:eastAsia="zh-CN"/>
              </w:rPr>
              <w:t>Items</w:t>
            </w:r>
          </w:p>
        </w:tc>
        <w:tc>
          <w:tcPr>
            <w:tcW w:w="0" w:type="auto"/>
            <w:gridSpan w:val="2"/>
            <w:tcBorders>
              <w:top w:val="single" w:sz="4" w:space="0" w:color="auto"/>
            </w:tcBorders>
            <w:vAlign w:val="center"/>
          </w:tcPr>
          <w:p w14:paraId="37BAD75F" w14:textId="77777777" w:rsidR="00271150" w:rsidRDefault="00000000">
            <w:pPr>
              <w:spacing w:line="360" w:lineRule="auto"/>
              <w:jc w:val="center"/>
              <w:rPr>
                <w:rFonts w:ascii="Times New Roman" w:eastAsia="宋体" w:hAnsi="Times New Roman" w:cs="Times New Roman"/>
                <w:sz w:val="16"/>
                <w:szCs w:val="16"/>
                <w:lang w:eastAsia="zh-CN"/>
              </w:rPr>
            </w:pPr>
            <w:r>
              <w:rPr>
                <w:rFonts w:ascii="Times New Roman" w:hAnsi="Times New Roman" w:cs="Times New Roman"/>
                <w:sz w:val="16"/>
                <w:szCs w:val="16"/>
              </w:rPr>
              <w:t>Water soluble components</w:t>
            </w:r>
            <w:r>
              <w:rPr>
                <w:rFonts w:ascii="Times New Roman" w:hAnsi="Times New Roman" w:cs="Times New Roman"/>
                <w:sz w:val="16"/>
                <w:szCs w:val="16"/>
              </w:rPr>
              <w:t>（</w:t>
            </w:r>
            <w:r>
              <w:rPr>
                <w:rFonts w:ascii="Times New Roman" w:hAnsi="Times New Roman" w:cs="Times New Roman"/>
                <w:sz w:val="16"/>
                <w:szCs w:val="16"/>
              </w:rPr>
              <w:t>μg/mg</w:t>
            </w:r>
            <w:r>
              <w:rPr>
                <w:rFonts w:ascii="Times New Roman" w:hAnsi="Times New Roman" w:cs="Times New Roman"/>
                <w:sz w:val="16"/>
                <w:szCs w:val="16"/>
              </w:rPr>
              <w:t>）</w:t>
            </w:r>
          </w:p>
        </w:tc>
        <w:tc>
          <w:tcPr>
            <w:tcW w:w="0" w:type="auto"/>
            <w:vMerge w:val="restart"/>
            <w:tcBorders>
              <w:top w:val="single" w:sz="4" w:space="0" w:color="auto"/>
            </w:tcBorders>
            <w:vAlign w:val="center"/>
          </w:tcPr>
          <w:p w14:paraId="15E5163B" w14:textId="77777777" w:rsidR="00271150" w:rsidRDefault="00000000">
            <w:pPr>
              <w:spacing w:line="360" w:lineRule="auto"/>
              <w:jc w:val="center"/>
              <w:rPr>
                <w:rFonts w:ascii="Times New Roman" w:eastAsia="Times New Roman" w:hAnsi="Times New Roman" w:cs="Times New Roman"/>
                <w:sz w:val="16"/>
                <w:szCs w:val="16"/>
              </w:rPr>
            </w:pPr>
            <w:r>
              <w:rPr>
                <w:rFonts w:ascii="Times New Roman" w:eastAsia="宋体" w:hAnsi="Times New Roman" w:cs="Times New Roman"/>
                <w:sz w:val="16"/>
                <w:szCs w:val="16"/>
                <w:lang w:eastAsia="zh-CN"/>
              </w:rPr>
              <w:t>Items</w:t>
            </w:r>
          </w:p>
        </w:tc>
        <w:tc>
          <w:tcPr>
            <w:tcW w:w="0" w:type="auto"/>
            <w:gridSpan w:val="2"/>
            <w:tcBorders>
              <w:top w:val="single" w:sz="4" w:space="0" w:color="auto"/>
            </w:tcBorders>
            <w:vAlign w:val="center"/>
          </w:tcPr>
          <w:p w14:paraId="10928A30" w14:textId="77777777" w:rsidR="00271150" w:rsidRDefault="00000000">
            <w:pPr>
              <w:spacing w:line="360" w:lineRule="auto"/>
              <w:jc w:val="center"/>
              <w:rPr>
                <w:rFonts w:ascii="Times New Roman" w:eastAsia="Times New Roman" w:hAnsi="Times New Roman" w:cs="Times New Roman"/>
                <w:sz w:val="16"/>
                <w:szCs w:val="16"/>
              </w:rPr>
            </w:pPr>
            <w:r>
              <w:rPr>
                <w:rFonts w:ascii="Times New Roman" w:hAnsi="Times New Roman" w:cs="Times New Roman"/>
                <w:sz w:val="16"/>
                <w:szCs w:val="16"/>
              </w:rPr>
              <w:t>Water soluble components</w:t>
            </w:r>
            <w:r>
              <w:rPr>
                <w:rFonts w:ascii="Times New Roman" w:hAnsi="Times New Roman" w:cs="Times New Roman"/>
                <w:sz w:val="16"/>
                <w:szCs w:val="16"/>
              </w:rPr>
              <w:t>（</w:t>
            </w:r>
            <w:r>
              <w:rPr>
                <w:rFonts w:ascii="Times New Roman" w:hAnsi="Times New Roman" w:cs="Times New Roman"/>
                <w:sz w:val="16"/>
                <w:szCs w:val="16"/>
              </w:rPr>
              <w:t>μg/mg</w:t>
            </w:r>
            <w:r>
              <w:rPr>
                <w:rFonts w:ascii="Times New Roman" w:hAnsi="Times New Roman" w:cs="Times New Roman"/>
                <w:sz w:val="16"/>
                <w:szCs w:val="16"/>
              </w:rPr>
              <w:t>）</w:t>
            </w:r>
          </w:p>
        </w:tc>
      </w:tr>
      <w:tr w:rsidR="00271150" w14:paraId="62630C28" w14:textId="77777777">
        <w:trPr>
          <w:trHeight w:val="1130"/>
        </w:trPr>
        <w:tc>
          <w:tcPr>
            <w:tcW w:w="0" w:type="auto"/>
            <w:vMerge/>
            <w:tcBorders>
              <w:bottom w:val="single" w:sz="4" w:space="0" w:color="auto"/>
            </w:tcBorders>
            <w:vAlign w:val="center"/>
          </w:tcPr>
          <w:p w14:paraId="0D7A18F6" w14:textId="77777777" w:rsidR="00271150" w:rsidRDefault="00271150">
            <w:pPr>
              <w:spacing w:line="360" w:lineRule="auto"/>
              <w:jc w:val="center"/>
              <w:rPr>
                <w:rFonts w:ascii="Times New Roman" w:eastAsia="Times New Roman" w:hAnsi="Times New Roman" w:cs="Times New Roman"/>
                <w:sz w:val="16"/>
                <w:szCs w:val="16"/>
              </w:rPr>
            </w:pPr>
          </w:p>
        </w:tc>
        <w:tc>
          <w:tcPr>
            <w:tcW w:w="0" w:type="auto"/>
            <w:tcBorders>
              <w:bottom w:val="single" w:sz="4" w:space="0" w:color="auto"/>
            </w:tcBorders>
            <w:vAlign w:val="center"/>
          </w:tcPr>
          <w:p w14:paraId="201C439A" w14:textId="77777777" w:rsidR="00271150" w:rsidRDefault="00000000">
            <w:pPr>
              <w:spacing w:line="360" w:lineRule="auto"/>
              <w:jc w:val="center"/>
              <w:rPr>
                <w:rFonts w:ascii="Times New Roman" w:eastAsia="Times New Roman" w:hAnsi="Times New Roman" w:cs="Times New Roman"/>
                <w:sz w:val="16"/>
                <w:szCs w:val="16"/>
              </w:rPr>
            </w:pPr>
            <w:r>
              <w:rPr>
                <w:rFonts w:ascii="Times New Roman" w:hAnsi="Times New Roman" w:cs="Times New Roman"/>
                <w:sz w:val="16"/>
                <w:szCs w:val="16"/>
              </w:rPr>
              <w:t>PM</w:t>
            </w:r>
            <w:r>
              <w:rPr>
                <w:rFonts w:ascii="Times New Roman" w:hAnsi="Times New Roman" w:cs="Times New Roman"/>
                <w:sz w:val="16"/>
                <w:szCs w:val="16"/>
                <w:vertAlign w:val="subscript"/>
              </w:rPr>
              <w:t>2.5</w:t>
            </w:r>
          </w:p>
        </w:tc>
        <w:tc>
          <w:tcPr>
            <w:tcW w:w="0" w:type="auto"/>
            <w:tcBorders>
              <w:bottom w:val="single" w:sz="4" w:space="0" w:color="auto"/>
            </w:tcBorders>
            <w:vAlign w:val="center"/>
          </w:tcPr>
          <w:p w14:paraId="775A2131" w14:textId="77777777" w:rsidR="00271150" w:rsidRDefault="00000000">
            <w:pPr>
              <w:spacing w:line="360" w:lineRule="auto"/>
              <w:jc w:val="center"/>
              <w:rPr>
                <w:rFonts w:ascii="Times New Roman" w:eastAsia="Times New Roman" w:hAnsi="Times New Roman" w:cs="Times New Roman"/>
                <w:sz w:val="16"/>
                <w:szCs w:val="16"/>
              </w:rPr>
            </w:pPr>
            <w:r>
              <w:rPr>
                <w:rFonts w:ascii="Times New Roman" w:hAnsi="Times New Roman" w:cs="Times New Roman"/>
                <w:sz w:val="16"/>
                <w:szCs w:val="16"/>
              </w:rPr>
              <w:t>PM</w:t>
            </w:r>
            <w:r>
              <w:rPr>
                <w:rFonts w:ascii="Times New Roman" w:hAnsi="Times New Roman" w:cs="Times New Roman"/>
                <w:sz w:val="16"/>
                <w:szCs w:val="16"/>
                <w:vertAlign w:val="subscript"/>
              </w:rPr>
              <w:t>2.5</w:t>
            </w:r>
            <w:r>
              <w:rPr>
                <w:rFonts w:ascii="Times New Roman" w:hAnsi="Times New Roman" w:cs="Times New Roman"/>
                <w:sz w:val="16"/>
                <w:szCs w:val="16"/>
              </w:rPr>
              <w:t xml:space="preserve"> with HP sterilization</w:t>
            </w:r>
          </w:p>
        </w:tc>
        <w:tc>
          <w:tcPr>
            <w:tcW w:w="0" w:type="auto"/>
            <w:vMerge/>
            <w:tcBorders>
              <w:bottom w:val="single" w:sz="4" w:space="0" w:color="auto"/>
            </w:tcBorders>
            <w:vAlign w:val="center"/>
          </w:tcPr>
          <w:p w14:paraId="57B8421F" w14:textId="77777777" w:rsidR="00271150" w:rsidRDefault="00271150">
            <w:pPr>
              <w:spacing w:line="360" w:lineRule="auto"/>
              <w:jc w:val="center"/>
              <w:rPr>
                <w:rFonts w:ascii="Times New Roman" w:eastAsia="Times New Roman" w:hAnsi="Times New Roman" w:cs="Times New Roman"/>
                <w:sz w:val="16"/>
                <w:szCs w:val="16"/>
              </w:rPr>
            </w:pPr>
          </w:p>
        </w:tc>
        <w:tc>
          <w:tcPr>
            <w:tcW w:w="0" w:type="auto"/>
            <w:tcBorders>
              <w:bottom w:val="single" w:sz="4" w:space="0" w:color="auto"/>
            </w:tcBorders>
            <w:vAlign w:val="center"/>
          </w:tcPr>
          <w:p w14:paraId="52CD79B3" w14:textId="77777777" w:rsidR="00271150" w:rsidRDefault="00000000">
            <w:pPr>
              <w:spacing w:line="360" w:lineRule="auto"/>
              <w:jc w:val="center"/>
              <w:rPr>
                <w:rFonts w:ascii="Times New Roman" w:eastAsia="Times New Roman" w:hAnsi="Times New Roman" w:cs="Times New Roman"/>
                <w:sz w:val="16"/>
                <w:szCs w:val="16"/>
              </w:rPr>
            </w:pPr>
            <w:r>
              <w:rPr>
                <w:rFonts w:ascii="Times New Roman" w:hAnsi="Times New Roman" w:cs="Times New Roman"/>
                <w:sz w:val="16"/>
                <w:szCs w:val="16"/>
              </w:rPr>
              <w:t>PM</w:t>
            </w:r>
            <w:r>
              <w:rPr>
                <w:rFonts w:ascii="Times New Roman" w:hAnsi="Times New Roman" w:cs="Times New Roman"/>
                <w:sz w:val="16"/>
                <w:szCs w:val="16"/>
                <w:vertAlign w:val="subscript"/>
              </w:rPr>
              <w:t>2.5</w:t>
            </w:r>
          </w:p>
        </w:tc>
        <w:tc>
          <w:tcPr>
            <w:tcW w:w="0" w:type="auto"/>
            <w:tcBorders>
              <w:bottom w:val="single" w:sz="4" w:space="0" w:color="auto"/>
            </w:tcBorders>
            <w:vAlign w:val="center"/>
          </w:tcPr>
          <w:p w14:paraId="2FC2AB15" w14:textId="77777777" w:rsidR="00271150" w:rsidRDefault="00000000">
            <w:pPr>
              <w:spacing w:line="360" w:lineRule="auto"/>
              <w:jc w:val="center"/>
              <w:rPr>
                <w:rFonts w:ascii="Times New Roman" w:eastAsia="Times New Roman" w:hAnsi="Times New Roman" w:cs="Times New Roman"/>
                <w:sz w:val="16"/>
                <w:szCs w:val="16"/>
              </w:rPr>
            </w:pPr>
            <w:r>
              <w:rPr>
                <w:rFonts w:ascii="Times New Roman" w:hAnsi="Times New Roman" w:cs="Times New Roman"/>
                <w:sz w:val="16"/>
                <w:szCs w:val="16"/>
              </w:rPr>
              <w:t>PM</w:t>
            </w:r>
            <w:r>
              <w:rPr>
                <w:rFonts w:ascii="Times New Roman" w:hAnsi="Times New Roman" w:cs="Times New Roman"/>
                <w:sz w:val="16"/>
                <w:szCs w:val="16"/>
                <w:vertAlign w:val="subscript"/>
              </w:rPr>
              <w:t>2.5</w:t>
            </w:r>
            <w:r>
              <w:rPr>
                <w:rFonts w:ascii="Times New Roman" w:hAnsi="Times New Roman" w:cs="Times New Roman"/>
                <w:sz w:val="16"/>
                <w:szCs w:val="16"/>
              </w:rPr>
              <w:t xml:space="preserve"> with HP sterilization</w:t>
            </w:r>
          </w:p>
        </w:tc>
        <w:tc>
          <w:tcPr>
            <w:tcW w:w="0" w:type="auto"/>
            <w:vMerge/>
            <w:tcBorders>
              <w:bottom w:val="single" w:sz="4" w:space="0" w:color="auto"/>
            </w:tcBorders>
            <w:vAlign w:val="center"/>
          </w:tcPr>
          <w:p w14:paraId="5A2A2369" w14:textId="77777777" w:rsidR="00271150" w:rsidRDefault="00271150">
            <w:pPr>
              <w:spacing w:line="360" w:lineRule="auto"/>
              <w:jc w:val="center"/>
              <w:rPr>
                <w:rFonts w:ascii="Times New Roman" w:eastAsia="Times New Roman" w:hAnsi="Times New Roman" w:cs="Times New Roman"/>
                <w:sz w:val="16"/>
                <w:szCs w:val="16"/>
              </w:rPr>
            </w:pPr>
          </w:p>
        </w:tc>
        <w:tc>
          <w:tcPr>
            <w:tcW w:w="0" w:type="auto"/>
            <w:tcBorders>
              <w:bottom w:val="single" w:sz="4" w:space="0" w:color="auto"/>
            </w:tcBorders>
            <w:vAlign w:val="center"/>
          </w:tcPr>
          <w:p w14:paraId="1D9D6ABC" w14:textId="77777777" w:rsidR="00271150" w:rsidRDefault="00000000">
            <w:pPr>
              <w:spacing w:line="360" w:lineRule="auto"/>
              <w:jc w:val="center"/>
              <w:rPr>
                <w:rFonts w:ascii="Times New Roman" w:eastAsia="Times New Roman" w:hAnsi="Times New Roman" w:cs="Times New Roman"/>
                <w:sz w:val="16"/>
                <w:szCs w:val="16"/>
              </w:rPr>
            </w:pPr>
            <w:r>
              <w:rPr>
                <w:rFonts w:ascii="Times New Roman" w:hAnsi="Times New Roman" w:cs="Times New Roman"/>
                <w:sz w:val="16"/>
                <w:szCs w:val="16"/>
              </w:rPr>
              <w:t>PM</w:t>
            </w:r>
            <w:r>
              <w:rPr>
                <w:rFonts w:ascii="Times New Roman" w:hAnsi="Times New Roman" w:cs="Times New Roman"/>
                <w:sz w:val="16"/>
                <w:szCs w:val="16"/>
                <w:vertAlign w:val="subscript"/>
              </w:rPr>
              <w:t>2.5</w:t>
            </w:r>
          </w:p>
        </w:tc>
        <w:tc>
          <w:tcPr>
            <w:tcW w:w="0" w:type="auto"/>
            <w:tcBorders>
              <w:bottom w:val="single" w:sz="4" w:space="0" w:color="auto"/>
            </w:tcBorders>
            <w:vAlign w:val="center"/>
          </w:tcPr>
          <w:p w14:paraId="3B145DE1" w14:textId="77777777" w:rsidR="00271150" w:rsidRDefault="00000000">
            <w:pPr>
              <w:spacing w:line="360" w:lineRule="auto"/>
              <w:jc w:val="center"/>
              <w:rPr>
                <w:rFonts w:ascii="Times New Roman" w:eastAsia="Times New Roman" w:hAnsi="Times New Roman" w:cs="Times New Roman"/>
                <w:sz w:val="16"/>
                <w:szCs w:val="16"/>
              </w:rPr>
            </w:pPr>
            <w:r>
              <w:rPr>
                <w:rFonts w:ascii="Times New Roman" w:hAnsi="Times New Roman" w:cs="Times New Roman"/>
                <w:sz w:val="16"/>
                <w:szCs w:val="16"/>
              </w:rPr>
              <w:t>PM</w:t>
            </w:r>
            <w:r>
              <w:rPr>
                <w:rFonts w:ascii="Times New Roman" w:hAnsi="Times New Roman" w:cs="Times New Roman"/>
                <w:sz w:val="16"/>
                <w:szCs w:val="16"/>
                <w:vertAlign w:val="subscript"/>
              </w:rPr>
              <w:t>2.5</w:t>
            </w:r>
            <w:r>
              <w:rPr>
                <w:rFonts w:ascii="Times New Roman" w:hAnsi="Times New Roman" w:cs="Times New Roman"/>
                <w:sz w:val="16"/>
                <w:szCs w:val="16"/>
              </w:rPr>
              <w:t xml:space="preserve"> with HP sterilization</w:t>
            </w:r>
          </w:p>
        </w:tc>
        <w:tc>
          <w:tcPr>
            <w:tcW w:w="0" w:type="auto"/>
            <w:vMerge/>
            <w:tcBorders>
              <w:bottom w:val="single" w:sz="4" w:space="0" w:color="auto"/>
            </w:tcBorders>
            <w:vAlign w:val="center"/>
          </w:tcPr>
          <w:p w14:paraId="17624154" w14:textId="77777777" w:rsidR="00271150" w:rsidRDefault="00271150">
            <w:pPr>
              <w:spacing w:line="360" w:lineRule="auto"/>
              <w:jc w:val="center"/>
              <w:rPr>
                <w:rFonts w:ascii="Times New Roman" w:eastAsia="Times New Roman" w:hAnsi="Times New Roman" w:cs="Times New Roman"/>
                <w:sz w:val="16"/>
                <w:szCs w:val="16"/>
              </w:rPr>
            </w:pPr>
          </w:p>
        </w:tc>
        <w:tc>
          <w:tcPr>
            <w:tcW w:w="0" w:type="auto"/>
            <w:tcBorders>
              <w:bottom w:val="single" w:sz="4" w:space="0" w:color="auto"/>
            </w:tcBorders>
            <w:vAlign w:val="center"/>
          </w:tcPr>
          <w:p w14:paraId="2F70FD06" w14:textId="77777777" w:rsidR="00271150" w:rsidRDefault="00000000">
            <w:pPr>
              <w:spacing w:line="360" w:lineRule="auto"/>
              <w:jc w:val="center"/>
              <w:rPr>
                <w:rFonts w:ascii="Times New Roman" w:eastAsia="Times New Roman" w:hAnsi="Times New Roman" w:cs="Times New Roman"/>
                <w:sz w:val="16"/>
                <w:szCs w:val="16"/>
              </w:rPr>
            </w:pPr>
            <w:r>
              <w:rPr>
                <w:rFonts w:ascii="Times New Roman" w:hAnsi="Times New Roman" w:cs="Times New Roman"/>
                <w:sz w:val="16"/>
                <w:szCs w:val="16"/>
              </w:rPr>
              <w:t>PM</w:t>
            </w:r>
            <w:r>
              <w:rPr>
                <w:rFonts w:ascii="Times New Roman" w:hAnsi="Times New Roman" w:cs="Times New Roman"/>
                <w:sz w:val="16"/>
                <w:szCs w:val="16"/>
                <w:vertAlign w:val="subscript"/>
              </w:rPr>
              <w:t>2.5</w:t>
            </w:r>
          </w:p>
        </w:tc>
        <w:tc>
          <w:tcPr>
            <w:tcW w:w="0" w:type="auto"/>
            <w:tcBorders>
              <w:bottom w:val="single" w:sz="4" w:space="0" w:color="auto"/>
            </w:tcBorders>
            <w:vAlign w:val="center"/>
          </w:tcPr>
          <w:p w14:paraId="1CA789ED" w14:textId="77777777" w:rsidR="00271150" w:rsidRDefault="00000000">
            <w:pPr>
              <w:spacing w:line="360" w:lineRule="auto"/>
              <w:jc w:val="center"/>
              <w:rPr>
                <w:rFonts w:ascii="Times New Roman" w:eastAsia="Times New Roman" w:hAnsi="Times New Roman" w:cs="Times New Roman"/>
                <w:sz w:val="16"/>
                <w:szCs w:val="16"/>
              </w:rPr>
            </w:pPr>
            <w:r>
              <w:rPr>
                <w:rFonts w:ascii="Times New Roman" w:hAnsi="Times New Roman" w:cs="Times New Roman"/>
                <w:sz w:val="16"/>
                <w:szCs w:val="16"/>
              </w:rPr>
              <w:t>PM</w:t>
            </w:r>
            <w:r>
              <w:rPr>
                <w:rFonts w:ascii="Times New Roman" w:hAnsi="Times New Roman" w:cs="Times New Roman"/>
                <w:sz w:val="16"/>
                <w:szCs w:val="16"/>
                <w:vertAlign w:val="subscript"/>
              </w:rPr>
              <w:t>2.5</w:t>
            </w:r>
            <w:r>
              <w:rPr>
                <w:rFonts w:ascii="Times New Roman" w:hAnsi="Times New Roman" w:cs="Times New Roman"/>
                <w:sz w:val="16"/>
                <w:szCs w:val="16"/>
              </w:rPr>
              <w:t xml:space="preserve"> with HP sterilization</w:t>
            </w:r>
          </w:p>
        </w:tc>
      </w:tr>
      <w:tr w:rsidR="00271150" w14:paraId="24727CB4" w14:textId="77777777">
        <w:trPr>
          <w:trHeight w:val="1281"/>
        </w:trPr>
        <w:tc>
          <w:tcPr>
            <w:tcW w:w="0" w:type="auto"/>
            <w:tcBorders>
              <w:top w:val="single" w:sz="4" w:space="0" w:color="auto"/>
            </w:tcBorders>
            <w:vAlign w:val="center"/>
          </w:tcPr>
          <w:p w14:paraId="0CD64A2E" w14:textId="77777777" w:rsidR="00271150" w:rsidRDefault="00000000">
            <w:pPr>
              <w:pStyle w:val="a3"/>
              <w:spacing w:line="360" w:lineRule="auto"/>
              <w:ind w:rightChars="-10" w:right="-22" w:firstLineChars="0" w:firstLine="0"/>
              <w:jc w:val="center"/>
              <w:rPr>
                <w:rFonts w:ascii="Times New Roman" w:eastAsia="宋体" w:hAnsi="Times New Roman" w:cs="Times New Roman"/>
                <w:color w:val="000000"/>
                <w:sz w:val="16"/>
                <w:szCs w:val="16"/>
              </w:rPr>
            </w:pPr>
            <w:r>
              <w:rPr>
                <w:rFonts w:ascii="Times New Roman" w:eastAsia="宋体" w:hAnsi="Times New Roman" w:cs="Times New Roman"/>
                <w:color w:val="000000"/>
                <w:sz w:val="16"/>
                <w:szCs w:val="16"/>
              </w:rPr>
              <w:t>TOC</w:t>
            </w:r>
          </w:p>
        </w:tc>
        <w:tc>
          <w:tcPr>
            <w:tcW w:w="0" w:type="auto"/>
            <w:tcBorders>
              <w:top w:val="single" w:sz="4" w:space="0" w:color="auto"/>
            </w:tcBorders>
            <w:vAlign w:val="center"/>
          </w:tcPr>
          <w:p w14:paraId="13E86C8E" w14:textId="77777777" w:rsidR="00271150" w:rsidRDefault="00000000">
            <w:pPr>
              <w:pStyle w:val="a3"/>
              <w:spacing w:line="360" w:lineRule="auto"/>
              <w:ind w:rightChars="-10" w:right="-22" w:firstLineChars="0" w:firstLine="0"/>
              <w:jc w:val="center"/>
              <w:rPr>
                <w:rFonts w:ascii="Times New Roman" w:eastAsia="宋体" w:hAnsi="Times New Roman" w:cs="Times New Roman"/>
                <w:color w:val="000000"/>
                <w:sz w:val="16"/>
                <w:szCs w:val="16"/>
              </w:rPr>
            </w:pPr>
            <w:r>
              <w:rPr>
                <w:rFonts w:ascii="Times New Roman" w:eastAsia="宋体" w:hAnsi="Times New Roman" w:cs="Times New Roman"/>
                <w:color w:val="000000"/>
                <w:sz w:val="16"/>
                <w:szCs w:val="16"/>
              </w:rPr>
              <w:t>341±74.25</w:t>
            </w:r>
          </w:p>
        </w:tc>
        <w:tc>
          <w:tcPr>
            <w:tcW w:w="0" w:type="auto"/>
            <w:tcBorders>
              <w:top w:val="single" w:sz="4" w:space="0" w:color="auto"/>
            </w:tcBorders>
            <w:vAlign w:val="center"/>
          </w:tcPr>
          <w:p w14:paraId="56992CA5"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364.6±39.66</w:t>
            </w:r>
          </w:p>
        </w:tc>
        <w:tc>
          <w:tcPr>
            <w:tcW w:w="0" w:type="auto"/>
            <w:tcBorders>
              <w:top w:val="single" w:sz="4" w:space="0" w:color="auto"/>
            </w:tcBorders>
            <w:vAlign w:val="center"/>
          </w:tcPr>
          <w:p w14:paraId="4D52A476"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Cu</w:t>
            </w:r>
          </w:p>
        </w:tc>
        <w:tc>
          <w:tcPr>
            <w:tcW w:w="0" w:type="auto"/>
            <w:tcBorders>
              <w:top w:val="single" w:sz="4" w:space="0" w:color="auto"/>
            </w:tcBorders>
            <w:vAlign w:val="center"/>
          </w:tcPr>
          <w:p w14:paraId="767C19A2"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2410.8±1780.33</w:t>
            </w:r>
          </w:p>
        </w:tc>
        <w:tc>
          <w:tcPr>
            <w:tcW w:w="0" w:type="auto"/>
            <w:tcBorders>
              <w:top w:val="single" w:sz="4" w:space="0" w:color="auto"/>
            </w:tcBorders>
            <w:vAlign w:val="center"/>
          </w:tcPr>
          <w:p w14:paraId="11F042BB"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2104.6±1553.22</w:t>
            </w:r>
          </w:p>
        </w:tc>
        <w:tc>
          <w:tcPr>
            <w:tcW w:w="0" w:type="auto"/>
            <w:tcBorders>
              <w:top w:val="single" w:sz="4" w:space="0" w:color="auto"/>
            </w:tcBorders>
            <w:vAlign w:val="center"/>
          </w:tcPr>
          <w:p w14:paraId="493CC28B"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Na</w:t>
            </w:r>
            <w:r>
              <w:rPr>
                <w:rFonts w:ascii="Times New Roman" w:eastAsia="宋体" w:hAnsi="Times New Roman" w:cs="Times New Roman"/>
                <w:color w:val="000000"/>
                <w:sz w:val="16"/>
                <w:szCs w:val="16"/>
                <w:vertAlign w:val="superscript"/>
              </w:rPr>
              <w:t>+</w:t>
            </w:r>
          </w:p>
        </w:tc>
        <w:tc>
          <w:tcPr>
            <w:tcW w:w="0" w:type="auto"/>
            <w:tcBorders>
              <w:top w:val="single" w:sz="4" w:space="0" w:color="auto"/>
            </w:tcBorders>
            <w:vAlign w:val="center"/>
          </w:tcPr>
          <w:p w14:paraId="3B003AB1"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19.64±13.5</w:t>
            </w:r>
          </w:p>
        </w:tc>
        <w:tc>
          <w:tcPr>
            <w:tcW w:w="0" w:type="auto"/>
            <w:tcBorders>
              <w:top w:val="single" w:sz="4" w:space="0" w:color="auto"/>
            </w:tcBorders>
            <w:vAlign w:val="center"/>
          </w:tcPr>
          <w:p w14:paraId="12D87D3B"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48.36±50.73</w:t>
            </w:r>
          </w:p>
        </w:tc>
        <w:tc>
          <w:tcPr>
            <w:tcW w:w="0" w:type="auto"/>
            <w:tcBorders>
              <w:top w:val="single" w:sz="4" w:space="0" w:color="auto"/>
            </w:tcBorders>
            <w:vAlign w:val="center"/>
          </w:tcPr>
          <w:p w14:paraId="16490D9D"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SO4</w:t>
            </w:r>
            <w:r>
              <w:rPr>
                <w:rFonts w:ascii="Times New Roman" w:eastAsia="宋体" w:hAnsi="Times New Roman" w:cs="Times New Roman"/>
                <w:sz w:val="16"/>
                <w:szCs w:val="16"/>
                <w:vertAlign w:val="superscript"/>
              </w:rPr>
              <w:t>2-</w:t>
            </w:r>
          </w:p>
        </w:tc>
        <w:tc>
          <w:tcPr>
            <w:tcW w:w="0" w:type="auto"/>
            <w:tcBorders>
              <w:top w:val="single" w:sz="4" w:space="0" w:color="auto"/>
            </w:tcBorders>
            <w:vAlign w:val="center"/>
          </w:tcPr>
          <w:p w14:paraId="0B9BF6F6"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774.2±151.61</w:t>
            </w:r>
          </w:p>
        </w:tc>
        <w:tc>
          <w:tcPr>
            <w:tcW w:w="0" w:type="auto"/>
            <w:tcBorders>
              <w:top w:val="single" w:sz="4" w:space="0" w:color="auto"/>
            </w:tcBorders>
            <w:vAlign w:val="center"/>
          </w:tcPr>
          <w:p w14:paraId="795DF44F"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857.4±186.15</w:t>
            </w:r>
          </w:p>
        </w:tc>
      </w:tr>
      <w:tr w:rsidR="00271150" w14:paraId="23B5B1A9" w14:textId="77777777">
        <w:trPr>
          <w:trHeight w:val="1271"/>
        </w:trPr>
        <w:tc>
          <w:tcPr>
            <w:tcW w:w="0" w:type="auto"/>
            <w:vAlign w:val="center"/>
          </w:tcPr>
          <w:p w14:paraId="5726BE8F"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Ca</w:t>
            </w:r>
          </w:p>
        </w:tc>
        <w:tc>
          <w:tcPr>
            <w:tcW w:w="0" w:type="auto"/>
            <w:vAlign w:val="center"/>
          </w:tcPr>
          <w:p w14:paraId="0469647F"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67.6±43.76</w:t>
            </w:r>
          </w:p>
        </w:tc>
        <w:tc>
          <w:tcPr>
            <w:tcW w:w="0" w:type="auto"/>
            <w:vAlign w:val="center"/>
          </w:tcPr>
          <w:p w14:paraId="5A4108DE"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71.2±46.96</w:t>
            </w:r>
          </w:p>
        </w:tc>
        <w:tc>
          <w:tcPr>
            <w:tcW w:w="0" w:type="auto"/>
            <w:vAlign w:val="center"/>
          </w:tcPr>
          <w:p w14:paraId="0BFE175A" w14:textId="77777777" w:rsidR="00271150" w:rsidRDefault="00000000">
            <w:pPr>
              <w:pStyle w:val="a3"/>
              <w:spacing w:line="360" w:lineRule="auto"/>
              <w:ind w:rightChars="-10" w:right="-22" w:firstLineChars="0" w:firstLine="0"/>
              <w:jc w:val="center"/>
              <w:rPr>
                <w:rFonts w:ascii="Times New Roman" w:eastAsia="宋体" w:hAnsi="Times New Roman" w:cs="Times New Roman"/>
                <w:color w:val="000000"/>
                <w:sz w:val="16"/>
                <w:szCs w:val="16"/>
              </w:rPr>
            </w:pPr>
            <w:r>
              <w:rPr>
                <w:rFonts w:ascii="Times New Roman" w:eastAsia="宋体" w:hAnsi="Times New Roman" w:cs="Times New Roman"/>
                <w:color w:val="000000"/>
                <w:sz w:val="16"/>
                <w:szCs w:val="16"/>
              </w:rPr>
              <w:t>Ba</w:t>
            </w:r>
          </w:p>
        </w:tc>
        <w:tc>
          <w:tcPr>
            <w:tcW w:w="0" w:type="auto"/>
            <w:vAlign w:val="center"/>
          </w:tcPr>
          <w:p w14:paraId="2DD27DFC" w14:textId="77777777" w:rsidR="00271150" w:rsidRDefault="00000000">
            <w:pPr>
              <w:pStyle w:val="a3"/>
              <w:spacing w:line="360" w:lineRule="auto"/>
              <w:ind w:rightChars="-10" w:right="-22" w:firstLineChars="0" w:firstLine="0"/>
              <w:jc w:val="center"/>
              <w:rPr>
                <w:rFonts w:ascii="Times New Roman" w:eastAsia="宋体" w:hAnsi="Times New Roman" w:cs="Times New Roman"/>
                <w:color w:val="000000"/>
                <w:sz w:val="16"/>
                <w:szCs w:val="16"/>
              </w:rPr>
            </w:pPr>
            <w:r>
              <w:rPr>
                <w:rFonts w:ascii="Times New Roman" w:eastAsia="宋体" w:hAnsi="Times New Roman" w:cs="Times New Roman"/>
                <w:color w:val="000000"/>
                <w:sz w:val="16"/>
                <w:szCs w:val="16"/>
              </w:rPr>
              <w:t>1180.6±247.51</w:t>
            </w:r>
          </w:p>
        </w:tc>
        <w:tc>
          <w:tcPr>
            <w:tcW w:w="0" w:type="auto"/>
            <w:vAlign w:val="center"/>
          </w:tcPr>
          <w:p w14:paraId="7F37FF6A"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1400.6±310.71</w:t>
            </w:r>
          </w:p>
        </w:tc>
        <w:tc>
          <w:tcPr>
            <w:tcW w:w="0" w:type="auto"/>
            <w:vAlign w:val="center"/>
          </w:tcPr>
          <w:p w14:paraId="224E81AB"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NH</w:t>
            </w:r>
            <w:r>
              <w:rPr>
                <w:rFonts w:ascii="Times New Roman" w:eastAsia="宋体" w:hAnsi="Times New Roman" w:cs="Times New Roman"/>
                <w:color w:val="000000"/>
                <w:sz w:val="16"/>
                <w:szCs w:val="16"/>
                <w:vertAlign w:val="superscript"/>
              </w:rPr>
              <w:t>4+</w:t>
            </w:r>
          </w:p>
        </w:tc>
        <w:tc>
          <w:tcPr>
            <w:tcW w:w="0" w:type="auto"/>
            <w:vAlign w:val="center"/>
          </w:tcPr>
          <w:p w14:paraId="38D12FD9"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186±39.74</w:t>
            </w:r>
          </w:p>
        </w:tc>
        <w:tc>
          <w:tcPr>
            <w:tcW w:w="0" w:type="auto"/>
            <w:vAlign w:val="center"/>
          </w:tcPr>
          <w:p w14:paraId="4C25708C"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213.2±28.67</w:t>
            </w:r>
          </w:p>
        </w:tc>
        <w:tc>
          <w:tcPr>
            <w:tcW w:w="0" w:type="auto"/>
            <w:vAlign w:val="center"/>
          </w:tcPr>
          <w:p w14:paraId="535B8718"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NO</w:t>
            </w:r>
            <w:r>
              <w:rPr>
                <w:rFonts w:ascii="Times New Roman" w:eastAsia="宋体" w:hAnsi="Times New Roman" w:cs="Times New Roman"/>
                <w:sz w:val="16"/>
                <w:szCs w:val="16"/>
                <w:vertAlign w:val="superscript"/>
              </w:rPr>
              <w:t>3-</w:t>
            </w:r>
          </w:p>
        </w:tc>
        <w:tc>
          <w:tcPr>
            <w:tcW w:w="0" w:type="auto"/>
            <w:vAlign w:val="center"/>
          </w:tcPr>
          <w:p w14:paraId="795A948F"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98.4±25.46</w:t>
            </w:r>
          </w:p>
        </w:tc>
        <w:tc>
          <w:tcPr>
            <w:tcW w:w="0" w:type="auto"/>
            <w:vAlign w:val="center"/>
          </w:tcPr>
          <w:p w14:paraId="230220EC"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114.2±31.33</w:t>
            </w:r>
          </w:p>
        </w:tc>
      </w:tr>
      <w:tr w:rsidR="00271150" w14:paraId="15C98117" w14:textId="77777777">
        <w:trPr>
          <w:trHeight w:val="908"/>
        </w:trPr>
        <w:tc>
          <w:tcPr>
            <w:tcW w:w="0" w:type="auto"/>
            <w:vAlign w:val="center"/>
          </w:tcPr>
          <w:p w14:paraId="0C6D7584"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K</w:t>
            </w:r>
          </w:p>
        </w:tc>
        <w:tc>
          <w:tcPr>
            <w:tcW w:w="0" w:type="auto"/>
            <w:vAlign w:val="center"/>
          </w:tcPr>
          <w:p w14:paraId="5E42099D"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33.4±14.4</w:t>
            </w:r>
          </w:p>
        </w:tc>
        <w:tc>
          <w:tcPr>
            <w:tcW w:w="0" w:type="auto"/>
            <w:vAlign w:val="center"/>
          </w:tcPr>
          <w:p w14:paraId="2677C2E0"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34.6±15.33</w:t>
            </w:r>
          </w:p>
        </w:tc>
        <w:tc>
          <w:tcPr>
            <w:tcW w:w="0" w:type="auto"/>
            <w:vAlign w:val="center"/>
          </w:tcPr>
          <w:p w14:paraId="5B7BC1FF"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Mn</w:t>
            </w:r>
          </w:p>
        </w:tc>
        <w:tc>
          <w:tcPr>
            <w:tcW w:w="0" w:type="auto"/>
            <w:vAlign w:val="center"/>
          </w:tcPr>
          <w:p w14:paraId="35CE3D70"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1108.4±358.83</w:t>
            </w:r>
          </w:p>
        </w:tc>
        <w:tc>
          <w:tcPr>
            <w:tcW w:w="0" w:type="auto"/>
            <w:vAlign w:val="center"/>
          </w:tcPr>
          <w:p w14:paraId="4417B772"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1110±404.58</w:t>
            </w:r>
          </w:p>
        </w:tc>
        <w:tc>
          <w:tcPr>
            <w:tcW w:w="0" w:type="auto"/>
            <w:vAlign w:val="center"/>
          </w:tcPr>
          <w:p w14:paraId="5CE56E5F"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K</w:t>
            </w:r>
            <w:r>
              <w:rPr>
                <w:rFonts w:ascii="Times New Roman" w:eastAsia="宋体" w:hAnsi="Times New Roman" w:cs="Times New Roman"/>
                <w:color w:val="000000"/>
                <w:sz w:val="16"/>
                <w:szCs w:val="16"/>
                <w:vertAlign w:val="superscript"/>
              </w:rPr>
              <w:t>+</w:t>
            </w:r>
          </w:p>
        </w:tc>
        <w:tc>
          <w:tcPr>
            <w:tcW w:w="0" w:type="auto"/>
            <w:vAlign w:val="center"/>
          </w:tcPr>
          <w:p w14:paraId="68C82A2C"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32.2±13.33</w:t>
            </w:r>
          </w:p>
        </w:tc>
        <w:tc>
          <w:tcPr>
            <w:tcW w:w="0" w:type="auto"/>
            <w:vAlign w:val="center"/>
          </w:tcPr>
          <w:p w14:paraId="6206B6E5"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32.2±14.14</w:t>
            </w:r>
          </w:p>
        </w:tc>
        <w:tc>
          <w:tcPr>
            <w:tcW w:w="0" w:type="auto"/>
            <w:vAlign w:val="center"/>
          </w:tcPr>
          <w:p w14:paraId="36A35206"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NO</w:t>
            </w:r>
            <w:r>
              <w:rPr>
                <w:rFonts w:ascii="Times New Roman" w:eastAsia="宋体" w:hAnsi="Times New Roman" w:cs="Times New Roman"/>
                <w:sz w:val="16"/>
                <w:szCs w:val="16"/>
                <w:vertAlign w:val="superscript"/>
              </w:rPr>
              <w:t>2-</w:t>
            </w:r>
          </w:p>
        </w:tc>
        <w:tc>
          <w:tcPr>
            <w:tcW w:w="0" w:type="auto"/>
            <w:vAlign w:val="center"/>
          </w:tcPr>
          <w:p w14:paraId="328E7A0F"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2.68±1.875</w:t>
            </w:r>
          </w:p>
        </w:tc>
        <w:tc>
          <w:tcPr>
            <w:tcW w:w="0" w:type="auto"/>
            <w:vAlign w:val="center"/>
          </w:tcPr>
          <w:p w14:paraId="1EED6F09"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2.34±1.63</w:t>
            </w:r>
          </w:p>
        </w:tc>
      </w:tr>
      <w:tr w:rsidR="00271150" w14:paraId="75BD376F" w14:textId="77777777">
        <w:trPr>
          <w:trHeight w:val="908"/>
        </w:trPr>
        <w:tc>
          <w:tcPr>
            <w:tcW w:w="0" w:type="auto"/>
            <w:vAlign w:val="center"/>
          </w:tcPr>
          <w:p w14:paraId="6E6A1A82"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Na</w:t>
            </w:r>
          </w:p>
        </w:tc>
        <w:tc>
          <w:tcPr>
            <w:tcW w:w="0" w:type="auto"/>
            <w:vAlign w:val="center"/>
          </w:tcPr>
          <w:p w14:paraId="7787CE2E"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32.60±16.27</w:t>
            </w:r>
          </w:p>
        </w:tc>
        <w:tc>
          <w:tcPr>
            <w:tcW w:w="0" w:type="auto"/>
            <w:vAlign w:val="center"/>
          </w:tcPr>
          <w:p w14:paraId="2FFDBCB6"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61.4±33.17</w:t>
            </w:r>
          </w:p>
        </w:tc>
        <w:tc>
          <w:tcPr>
            <w:tcW w:w="0" w:type="auto"/>
            <w:vAlign w:val="center"/>
          </w:tcPr>
          <w:p w14:paraId="343D71A7"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As</w:t>
            </w:r>
          </w:p>
        </w:tc>
        <w:tc>
          <w:tcPr>
            <w:tcW w:w="0" w:type="auto"/>
            <w:vAlign w:val="center"/>
          </w:tcPr>
          <w:p w14:paraId="343DDDD9"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381.8±261.35</w:t>
            </w:r>
          </w:p>
        </w:tc>
        <w:tc>
          <w:tcPr>
            <w:tcW w:w="0" w:type="auto"/>
            <w:vAlign w:val="center"/>
          </w:tcPr>
          <w:p w14:paraId="4474A0ED"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386.6±234.84</w:t>
            </w:r>
          </w:p>
        </w:tc>
        <w:tc>
          <w:tcPr>
            <w:tcW w:w="0" w:type="auto"/>
            <w:vAlign w:val="center"/>
          </w:tcPr>
          <w:p w14:paraId="494E8ECC"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Mg</w:t>
            </w:r>
            <w:r>
              <w:rPr>
                <w:rFonts w:ascii="Times New Roman" w:eastAsia="宋体" w:hAnsi="Times New Roman" w:cs="Times New Roman"/>
                <w:color w:val="000000"/>
                <w:sz w:val="16"/>
                <w:szCs w:val="16"/>
                <w:vertAlign w:val="superscript"/>
              </w:rPr>
              <w:t>2+</w:t>
            </w:r>
          </w:p>
        </w:tc>
        <w:tc>
          <w:tcPr>
            <w:tcW w:w="0" w:type="auto"/>
            <w:vAlign w:val="center"/>
          </w:tcPr>
          <w:p w14:paraId="65C8F4C2"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6.76±4.38</w:t>
            </w:r>
          </w:p>
        </w:tc>
        <w:tc>
          <w:tcPr>
            <w:tcW w:w="0" w:type="auto"/>
            <w:vAlign w:val="center"/>
          </w:tcPr>
          <w:p w14:paraId="6962AFB5"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8.02±4.49</w:t>
            </w:r>
          </w:p>
        </w:tc>
        <w:tc>
          <w:tcPr>
            <w:tcW w:w="0" w:type="auto"/>
            <w:vAlign w:val="center"/>
          </w:tcPr>
          <w:p w14:paraId="09FBAEEA"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Cl</w:t>
            </w:r>
            <w:r>
              <w:rPr>
                <w:rFonts w:ascii="Times New Roman" w:eastAsia="宋体" w:hAnsi="Times New Roman" w:cs="Times New Roman"/>
                <w:sz w:val="16"/>
                <w:szCs w:val="16"/>
                <w:vertAlign w:val="superscript"/>
              </w:rPr>
              <w:t>-</w:t>
            </w:r>
          </w:p>
        </w:tc>
        <w:tc>
          <w:tcPr>
            <w:tcW w:w="0" w:type="auto"/>
            <w:vAlign w:val="center"/>
          </w:tcPr>
          <w:p w14:paraId="1771F9AA"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7.58±9.84</w:t>
            </w:r>
          </w:p>
        </w:tc>
        <w:tc>
          <w:tcPr>
            <w:tcW w:w="0" w:type="auto"/>
            <w:vAlign w:val="center"/>
          </w:tcPr>
          <w:p w14:paraId="0A839A25"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6.62±3.37</w:t>
            </w:r>
          </w:p>
        </w:tc>
      </w:tr>
      <w:tr w:rsidR="00271150" w14:paraId="23292D34" w14:textId="77777777">
        <w:trPr>
          <w:trHeight w:val="918"/>
        </w:trPr>
        <w:tc>
          <w:tcPr>
            <w:tcW w:w="0" w:type="auto"/>
            <w:tcBorders>
              <w:bottom w:val="single" w:sz="4" w:space="0" w:color="auto"/>
            </w:tcBorders>
            <w:vAlign w:val="center"/>
          </w:tcPr>
          <w:p w14:paraId="77048DCA"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Zn</w:t>
            </w:r>
          </w:p>
        </w:tc>
        <w:tc>
          <w:tcPr>
            <w:tcW w:w="0" w:type="auto"/>
            <w:tcBorders>
              <w:bottom w:val="single" w:sz="4" w:space="0" w:color="auto"/>
            </w:tcBorders>
            <w:vAlign w:val="center"/>
          </w:tcPr>
          <w:p w14:paraId="04C070F4"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7.12±2.61</w:t>
            </w:r>
          </w:p>
        </w:tc>
        <w:tc>
          <w:tcPr>
            <w:tcW w:w="0" w:type="auto"/>
            <w:tcBorders>
              <w:bottom w:val="single" w:sz="4" w:space="0" w:color="auto"/>
            </w:tcBorders>
            <w:vAlign w:val="center"/>
          </w:tcPr>
          <w:p w14:paraId="65B9E9C6"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7.04±2.47</w:t>
            </w:r>
          </w:p>
        </w:tc>
        <w:tc>
          <w:tcPr>
            <w:tcW w:w="0" w:type="auto"/>
            <w:tcBorders>
              <w:bottom w:val="single" w:sz="4" w:space="0" w:color="auto"/>
            </w:tcBorders>
            <w:vAlign w:val="center"/>
          </w:tcPr>
          <w:p w14:paraId="284A466B" w14:textId="77777777" w:rsidR="00271150" w:rsidRDefault="00000000">
            <w:pPr>
              <w:pStyle w:val="a3"/>
              <w:spacing w:line="360" w:lineRule="auto"/>
              <w:ind w:rightChars="-10" w:right="-22" w:firstLineChars="0" w:firstLine="0"/>
              <w:jc w:val="center"/>
              <w:rPr>
                <w:rFonts w:ascii="Times New Roman" w:eastAsia="宋体" w:hAnsi="Times New Roman" w:cs="Times New Roman"/>
                <w:color w:val="000000"/>
                <w:sz w:val="16"/>
                <w:szCs w:val="16"/>
              </w:rPr>
            </w:pPr>
            <w:r>
              <w:rPr>
                <w:rFonts w:ascii="Times New Roman" w:eastAsia="宋体" w:hAnsi="Times New Roman" w:cs="Times New Roman"/>
                <w:color w:val="000000"/>
                <w:sz w:val="16"/>
                <w:szCs w:val="16"/>
              </w:rPr>
              <w:t>Pb</w:t>
            </w:r>
          </w:p>
        </w:tc>
        <w:tc>
          <w:tcPr>
            <w:tcW w:w="0" w:type="auto"/>
            <w:tcBorders>
              <w:bottom w:val="single" w:sz="4" w:space="0" w:color="auto"/>
            </w:tcBorders>
            <w:vAlign w:val="center"/>
          </w:tcPr>
          <w:p w14:paraId="447C4984" w14:textId="77777777" w:rsidR="00271150" w:rsidRDefault="00000000">
            <w:pPr>
              <w:pStyle w:val="a3"/>
              <w:spacing w:line="360" w:lineRule="auto"/>
              <w:ind w:rightChars="-10" w:right="-22" w:firstLineChars="0" w:firstLine="0"/>
              <w:jc w:val="center"/>
              <w:rPr>
                <w:rFonts w:ascii="Times New Roman" w:eastAsia="宋体" w:hAnsi="Times New Roman" w:cs="Times New Roman"/>
                <w:color w:val="000000"/>
                <w:sz w:val="16"/>
                <w:szCs w:val="16"/>
              </w:rPr>
            </w:pPr>
            <w:r>
              <w:rPr>
                <w:rFonts w:ascii="Times New Roman" w:eastAsia="宋体" w:hAnsi="Times New Roman" w:cs="Times New Roman"/>
                <w:color w:val="000000"/>
                <w:sz w:val="16"/>
                <w:szCs w:val="16"/>
              </w:rPr>
              <w:t>353.4±263.46</w:t>
            </w:r>
          </w:p>
        </w:tc>
        <w:tc>
          <w:tcPr>
            <w:tcW w:w="0" w:type="auto"/>
            <w:tcBorders>
              <w:bottom w:val="single" w:sz="4" w:space="0" w:color="auto"/>
            </w:tcBorders>
            <w:vAlign w:val="center"/>
          </w:tcPr>
          <w:p w14:paraId="6F1D3434"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244.2±177.41</w:t>
            </w:r>
          </w:p>
        </w:tc>
        <w:tc>
          <w:tcPr>
            <w:tcW w:w="0" w:type="auto"/>
            <w:tcBorders>
              <w:bottom w:val="single" w:sz="4" w:space="0" w:color="auto"/>
            </w:tcBorders>
            <w:vAlign w:val="center"/>
          </w:tcPr>
          <w:p w14:paraId="4E689445"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Ca</w:t>
            </w:r>
            <w:r>
              <w:rPr>
                <w:rFonts w:ascii="Times New Roman" w:eastAsia="宋体" w:hAnsi="Times New Roman" w:cs="Times New Roman"/>
                <w:color w:val="000000"/>
                <w:sz w:val="16"/>
                <w:szCs w:val="16"/>
                <w:vertAlign w:val="superscript"/>
              </w:rPr>
              <w:t>2+</w:t>
            </w:r>
          </w:p>
        </w:tc>
        <w:tc>
          <w:tcPr>
            <w:tcW w:w="0" w:type="auto"/>
            <w:tcBorders>
              <w:bottom w:val="single" w:sz="4" w:space="0" w:color="auto"/>
            </w:tcBorders>
            <w:vAlign w:val="center"/>
          </w:tcPr>
          <w:p w14:paraId="1D0CEBC4"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76.2±44.68</w:t>
            </w:r>
          </w:p>
        </w:tc>
        <w:tc>
          <w:tcPr>
            <w:tcW w:w="0" w:type="auto"/>
            <w:tcBorders>
              <w:bottom w:val="single" w:sz="4" w:space="0" w:color="auto"/>
            </w:tcBorders>
            <w:vAlign w:val="center"/>
          </w:tcPr>
          <w:p w14:paraId="13BD89BC"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76.2±49.30</w:t>
            </w:r>
          </w:p>
        </w:tc>
        <w:tc>
          <w:tcPr>
            <w:tcW w:w="0" w:type="auto"/>
            <w:tcBorders>
              <w:bottom w:val="single" w:sz="4" w:space="0" w:color="auto"/>
            </w:tcBorders>
            <w:vAlign w:val="center"/>
          </w:tcPr>
          <w:p w14:paraId="6959A85E"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Br</w:t>
            </w:r>
            <w:r>
              <w:rPr>
                <w:rFonts w:ascii="Times New Roman" w:eastAsia="宋体" w:hAnsi="Times New Roman" w:cs="Times New Roman"/>
                <w:sz w:val="16"/>
                <w:szCs w:val="16"/>
                <w:vertAlign w:val="superscript"/>
              </w:rPr>
              <w:t>-</w:t>
            </w:r>
          </w:p>
        </w:tc>
        <w:tc>
          <w:tcPr>
            <w:tcW w:w="0" w:type="auto"/>
            <w:tcBorders>
              <w:bottom w:val="single" w:sz="4" w:space="0" w:color="auto"/>
            </w:tcBorders>
            <w:vAlign w:val="center"/>
          </w:tcPr>
          <w:p w14:paraId="2F9D0B65"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sz w:val="16"/>
                <w:szCs w:val="16"/>
              </w:rPr>
              <w:t>2.16±1.18</w:t>
            </w:r>
          </w:p>
        </w:tc>
        <w:tc>
          <w:tcPr>
            <w:tcW w:w="0" w:type="auto"/>
            <w:tcBorders>
              <w:bottom w:val="single" w:sz="4" w:space="0" w:color="auto"/>
            </w:tcBorders>
            <w:vAlign w:val="center"/>
          </w:tcPr>
          <w:p w14:paraId="36CAF516" w14:textId="77777777" w:rsidR="00271150" w:rsidRDefault="00000000">
            <w:pPr>
              <w:pStyle w:val="a3"/>
              <w:spacing w:line="360" w:lineRule="auto"/>
              <w:ind w:rightChars="-10" w:right="-22" w:firstLineChars="0" w:firstLine="0"/>
              <w:jc w:val="center"/>
              <w:rPr>
                <w:rFonts w:ascii="Times New Roman" w:eastAsia="Times New Roman" w:hAnsi="Times New Roman" w:cs="Times New Roman"/>
                <w:sz w:val="16"/>
                <w:szCs w:val="16"/>
              </w:rPr>
            </w:pPr>
            <w:r>
              <w:rPr>
                <w:rFonts w:ascii="Times New Roman" w:eastAsia="宋体" w:hAnsi="Times New Roman" w:cs="Times New Roman"/>
                <w:color w:val="000000"/>
                <w:sz w:val="16"/>
                <w:szCs w:val="16"/>
              </w:rPr>
              <w:t>1.12±1.53</w:t>
            </w:r>
          </w:p>
        </w:tc>
      </w:tr>
    </w:tbl>
    <w:p w14:paraId="7DB7E00E" w14:textId="77777777" w:rsidR="00271150" w:rsidRDefault="00271150"/>
    <w:p w14:paraId="121B73D2" w14:textId="77777777" w:rsidR="00271150" w:rsidRDefault="00000000">
      <w:pPr>
        <w:spacing w:line="360" w:lineRule="auto"/>
        <w:jc w:val="both"/>
        <w:rPr>
          <w:rFonts w:ascii="Times New Roman" w:eastAsia="微软雅黑" w:hAnsi="Times New Roman" w:cs="Times New Roman"/>
          <w:sz w:val="24"/>
          <w:szCs w:val="24"/>
          <w:lang w:eastAsia="zh-CN"/>
        </w:rPr>
      </w:pPr>
      <w:r>
        <w:rPr>
          <w:rFonts w:ascii="Times New Roman" w:eastAsia="宋体" w:hAnsi="Times New Roman" w:cs="Times New Roman" w:hint="eastAsia"/>
          <w:b/>
          <w:bCs/>
          <w:lang w:eastAsia="zh-CN"/>
        </w:rPr>
        <w:t>Supplementary Table 2:</w:t>
      </w:r>
      <w:r>
        <w:rPr>
          <w:rFonts w:ascii="Times New Roman" w:eastAsia="微软雅黑" w:hAnsi="Times New Roman" w:cs="Times New Roman" w:hint="eastAsia"/>
          <w:sz w:val="24"/>
          <w:szCs w:val="24"/>
          <w:lang w:eastAsia="zh-CN"/>
        </w:rPr>
        <w:t xml:space="preserve"> The expression of 10 genes that were originally upregulated in the PM2.5 group decreased, while the expression of 21 genes that were originally downregulated in the PM2.5 group increased after CC16 treatment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9"/>
        <w:gridCol w:w="2112"/>
        <w:gridCol w:w="2106"/>
        <w:gridCol w:w="2115"/>
      </w:tblGrid>
      <w:tr w:rsidR="00271150" w14:paraId="70423114" w14:textId="77777777">
        <w:tc>
          <w:tcPr>
            <w:tcW w:w="2189" w:type="dxa"/>
            <w:tcBorders>
              <w:top w:val="single" w:sz="4" w:space="0" w:color="auto"/>
              <w:bottom w:val="single" w:sz="4" w:space="0" w:color="auto"/>
            </w:tcBorders>
            <w:vAlign w:val="center"/>
          </w:tcPr>
          <w:p w14:paraId="42370725"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hint="eastAsia"/>
                <w:sz w:val="24"/>
                <w:szCs w:val="24"/>
                <w:lang w:eastAsia="zh-CN"/>
              </w:rPr>
              <w:t>Gene name</w:t>
            </w:r>
          </w:p>
        </w:tc>
        <w:tc>
          <w:tcPr>
            <w:tcW w:w="2112" w:type="dxa"/>
            <w:tcBorders>
              <w:top w:val="single" w:sz="4" w:space="0" w:color="auto"/>
              <w:bottom w:val="single" w:sz="4" w:space="0" w:color="auto"/>
            </w:tcBorders>
            <w:vAlign w:val="center"/>
          </w:tcPr>
          <w:p w14:paraId="5419F7B3"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hint="eastAsia"/>
                <w:sz w:val="24"/>
                <w:szCs w:val="24"/>
                <w:lang w:eastAsia="zh-CN"/>
              </w:rPr>
              <w:t>Abbreviation</w:t>
            </w:r>
          </w:p>
        </w:tc>
        <w:tc>
          <w:tcPr>
            <w:tcW w:w="2106" w:type="dxa"/>
            <w:tcBorders>
              <w:top w:val="single" w:sz="4" w:space="0" w:color="auto"/>
              <w:bottom w:val="single" w:sz="4" w:space="0" w:color="auto"/>
            </w:tcBorders>
            <w:vAlign w:val="center"/>
          </w:tcPr>
          <w:p w14:paraId="03405F07"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hint="eastAsia"/>
                <w:sz w:val="24"/>
                <w:szCs w:val="24"/>
                <w:lang w:eastAsia="zh-CN"/>
              </w:rPr>
              <w:t>The expression in PM2.5 group</w:t>
            </w:r>
          </w:p>
        </w:tc>
        <w:tc>
          <w:tcPr>
            <w:tcW w:w="2115" w:type="dxa"/>
            <w:tcBorders>
              <w:top w:val="single" w:sz="4" w:space="0" w:color="auto"/>
              <w:bottom w:val="single" w:sz="4" w:space="0" w:color="auto"/>
            </w:tcBorders>
            <w:vAlign w:val="center"/>
          </w:tcPr>
          <w:p w14:paraId="578A5094"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hint="eastAsia"/>
                <w:sz w:val="24"/>
                <w:szCs w:val="24"/>
                <w:lang w:eastAsia="zh-CN"/>
              </w:rPr>
              <w:t>The expression in PM2.5+CC16 group</w:t>
            </w:r>
          </w:p>
        </w:tc>
      </w:tr>
      <w:tr w:rsidR="00271150" w14:paraId="583B162D" w14:textId="77777777">
        <w:tc>
          <w:tcPr>
            <w:tcW w:w="2189" w:type="dxa"/>
            <w:tcBorders>
              <w:top w:val="single" w:sz="4" w:space="0" w:color="auto"/>
              <w:tl2br w:val="nil"/>
              <w:tr2bl w:val="nil"/>
            </w:tcBorders>
            <w:vAlign w:val="center"/>
          </w:tcPr>
          <w:p w14:paraId="3661D203"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Angiopoietin</w:t>
            </w:r>
            <w:r>
              <w:rPr>
                <w:rFonts w:ascii="Times New Roman" w:eastAsia="微软雅黑" w:hAnsi="Times New Roman" w:cs="Times New Roman"/>
                <w:sz w:val="24"/>
                <w:szCs w:val="24"/>
                <w:lang w:eastAsia="zh-CN"/>
              </w:rPr>
              <w:t>-</w:t>
            </w:r>
            <w:r>
              <w:rPr>
                <w:rFonts w:ascii="Times New Roman" w:eastAsia="微软雅黑" w:hAnsi="Times New Roman" w:cs="Times New Roman"/>
                <w:sz w:val="24"/>
                <w:szCs w:val="24"/>
              </w:rPr>
              <w:t>like Protein 4</w:t>
            </w:r>
          </w:p>
        </w:tc>
        <w:tc>
          <w:tcPr>
            <w:tcW w:w="2112" w:type="dxa"/>
            <w:tcBorders>
              <w:top w:val="single" w:sz="4" w:space="0" w:color="auto"/>
              <w:tl2br w:val="nil"/>
              <w:tr2bl w:val="nil"/>
            </w:tcBorders>
            <w:vAlign w:val="center"/>
          </w:tcPr>
          <w:p w14:paraId="61C29FC5"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pacing w:val="2"/>
                <w:sz w:val="24"/>
                <w:szCs w:val="24"/>
              </w:rPr>
              <w:t>ANGPTL4</w:t>
            </w:r>
          </w:p>
        </w:tc>
        <w:tc>
          <w:tcPr>
            <w:tcW w:w="2106" w:type="dxa"/>
            <w:tcBorders>
              <w:top w:val="single" w:sz="4" w:space="0" w:color="auto"/>
              <w:tl2br w:val="nil"/>
              <w:tr2bl w:val="nil"/>
            </w:tcBorders>
            <w:vAlign w:val="center"/>
          </w:tcPr>
          <w:p w14:paraId="02782AE0"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upregulation</w:t>
            </w:r>
          </w:p>
        </w:tc>
        <w:tc>
          <w:tcPr>
            <w:tcW w:w="2115" w:type="dxa"/>
            <w:tcBorders>
              <w:top w:val="single" w:sz="4" w:space="0" w:color="auto"/>
              <w:tl2br w:val="nil"/>
              <w:tr2bl w:val="nil"/>
            </w:tcBorders>
            <w:vAlign w:val="center"/>
          </w:tcPr>
          <w:p w14:paraId="571192D7"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7F7D1C6B" w14:textId="77777777">
        <w:trPr>
          <w:trHeight w:val="573"/>
        </w:trPr>
        <w:tc>
          <w:tcPr>
            <w:tcW w:w="2189" w:type="dxa"/>
            <w:tcBorders>
              <w:tl2br w:val="nil"/>
              <w:tr2bl w:val="nil"/>
            </w:tcBorders>
            <w:vAlign w:val="center"/>
          </w:tcPr>
          <w:p w14:paraId="6DCEA58B"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Early Growth Response 1</w:t>
            </w:r>
          </w:p>
        </w:tc>
        <w:tc>
          <w:tcPr>
            <w:tcW w:w="2112" w:type="dxa"/>
            <w:tcBorders>
              <w:tl2br w:val="nil"/>
              <w:tr2bl w:val="nil"/>
            </w:tcBorders>
            <w:vAlign w:val="center"/>
          </w:tcPr>
          <w:p w14:paraId="2BB1C699"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pacing w:val="2"/>
                <w:sz w:val="24"/>
                <w:szCs w:val="24"/>
              </w:rPr>
              <w:t>EGR1</w:t>
            </w:r>
          </w:p>
        </w:tc>
        <w:tc>
          <w:tcPr>
            <w:tcW w:w="2106" w:type="dxa"/>
            <w:tcBorders>
              <w:tl2br w:val="nil"/>
              <w:tr2bl w:val="nil"/>
            </w:tcBorders>
            <w:vAlign w:val="center"/>
          </w:tcPr>
          <w:p w14:paraId="5E1CB438"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upregulation</w:t>
            </w:r>
          </w:p>
        </w:tc>
        <w:tc>
          <w:tcPr>
            <w:tcW w:w="2115" w:type="dxa"/>
            <w:tcBorders>
              <w:tl2br w:val="nil"/>
              <w:tr2bl w:val="nil"/>
            </w:tcBorders>
            <w:vAlign w:val="center"/>
          </w:tcPr>
          <w:p w14:paraId="0E3AC3FB"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2D92FE63" w14:textId="77777777">
        <w:tc>
          <w:tcPr>
            <w:tcW w:w="2189" w:type="dxa"/>
            <w:tcBorders>
              <w:tl2br w:val="nil"/>
              <w:tr2bl w:val="nil"/>
            </w:tcBorders>
            <w:vAlign w:val="center"/>
          </w:tcPr>
          <w:p w14:paraId="7DB82376"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intercellular cell adhesion molecule-1</w:t>
            </w:r>
          </w:p>
        </w:tc>
        <w:tc>
          <w:tcPr>
            <w:tcW w:w="2112" w:type="dxa"/>
            <w:tcBorders>
              <w:tl2br w:val="nil"/>
              <w:tr2bl w:val="nil"/>
            </w:tcBorders>
            <w:vAlign w:val="center"/>
          </w:tcPr>
          <w:p w14:paraId="1C3569F8"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lang w:eastAsia="zh-CN"/>
              </w:rPr>
              <w:t>ICAM1</w:t>
            </w:r>
          </w:p>
        </w:tc>
        <w:tc>
          <w:tcPr>
            <w:tcW w:w="2106" w:type="dxa"/>
            <w:tcBorders>
              <w:tl2br w:val="nil"/>
              <w:tr2bl w:val="nil"/>
            </w:tcBorders>
            <w:vAlign w:val="center"/>
          </w:tcPr>
          <w:p w14:paraId="482F0B90"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upregulation</w:t>
            </w:r>
          </w:p>
        </w:tc>
        <w:tc>
          <w:tcPr>
            <w:tcW w:w="2115" w:type="dxa"/>
            <w:tcBorders>
              <w:tl2br w:val="nil"/>
              <w:tr2bl w:val="nil"/>
            </w:tcBorders>
            <w:vAlign w:val="center"/>
          </w:tcPr>
          <w:p w14:paraId="4FDB5D31"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1035EA33" w14:textId="77777777">
        <w:tc>
          <w:tcPr>
            <w:tcW w:w="2189" w:type="dxa"/>
            <w:tcBorders>
              <w:tl2br w:val="nil"/>
              <w:tr2bl w:val="nil"/>
            </w:tcBorders>
            <w:vAlign w:val="center"/>
          </w:tcPr>
          <w:p w14:paraId="7B35F0C8"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Perilipin 2</w:t>
            </w:r>
          </w:p>
        </w:tc>
        <w:tc>
          <w:tcPr>
            <w:tcW w:w="2112" w:type="dxa"/>
            <w:tcBorders>
              <w:tl2br w:val="nil"/>
              <w:tr2bl w:val="nil"/>
            </w:tcBorders>
            <w:vAlign w:val="center"/>
          </w:tcPr>
          <w:p w14:paraId="5F631A2C"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pacing w:val="2"/>
                <w:sz w:val="24"/>
                <w:szCs w:val="24"/>
              </w:rPr>
              <w:t>PLIN2</w:t>
            </w:r>
          </w:p>
        </w:tc>
        <w:tc>
          <w:tcPr>
            <w:tcW w:w="2106" w:type="dxa"/>
            <w:tcBorders>
              <w:tl2br w:val="nil"/>
              <w:tr2bl w:val="nil"/>
            </w:tcBorders>
            <w:vAlign w:val="center"/>
          </w:tcPr>
          <w:p w14:paraId="77EFEB03"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upregulation</w:t>
            </w:r>
          </w:p>
        </w:tc>
        <w:tc>
          <w:tcPr>
            <w:tcW w:w="2115" w:type="dxa"/>
            <w:tcBorders>
              <w:tl2br w:val="nil"/>
              <w:tr2bl w:val="nil"/>
            </w:tcBorders>
            <w:vAlign w:val="center"/>
          </w:tcPr>
          <w:p w14:paraId="4A17DAE9"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115FC30A" w14:textId="77777777">
        <w:tc>
          <w:tcPr>
            <w:tcW w:w="2189" w:type="dxa"/>
            <w:tcBorders>
              <w:tl2br w:val="nil"/>
              <w:tr2bl w:val="nil"/>
            </w:tcBorders>
            <w:vAlign w:val="center"/>
          </w:tcPr>
          <w:p w14:paraId="7F6659ED"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Growth</w:t>
            </w:r>
            <w:r>
              <w:rPr>
                <w:rFonts w:ascii="Times New Roman" w:eastAsia="微软雅黑" w:hAnsi="Times New Roman" w:cs="Times New Roman"/>
                <w:sz w:val="24"/>
                <w:szCs w:val="24"/>
                <w:lang w:eastAsia="zh-CN"/>
              </w:rPr>
              <w:t xml:space="preserve"> </w:t>
            </w:r>
            <w:r>
              <w:rPr>
                <w:rFonts w:ascii="Times New Roman" w:eastAsia="微软雅黑" w:hAnsi="Times New Roman" w:cs="Times New Roman"/>
                <w:sz w:val="24"/>
                <w:szCs w:val="24"/>
              </w:rPr>
              <w:t>differentiation factor 15</w:t>
            </w:r>
          </w:p>
        </w:tc>
        <w:tc>
          <w:tcPr>
            <w:tcW w:w="2112" w:type="dxa"/>
            <w:tcBorders>
              <w:tl2br w:val="nil"/>
              <w:tr2bl w:val="nil"/>
            </w:tcBorders>
            <w:vAlign w:val="center"/>
          </w:tcPr>
          <w:p w14:paraId="1494CA2B"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lang w:eastAsia="zh-CN"/>
              </w:rPr>
              <w:t>GDF15</w:t>
            </w:r>
          </w:p>
        </w:tc>
        <w:tc>
          <w:tcPr>
            <w:tcW w:w="2106" w:type="dxa"/>
            <w:tcBorders>
              <w:tl2br w:val="nil"/>
              <w:tr2bl w:val="nil"/>
            </w:tcBorders>
            <w:vAlign w:val="center"/>
          </w:tcPr>
          <w:p w14:paraId="2B1C8AD8"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upregulation</w:t>
            </w:r>
          </w:p>
        </w:tc>
        <w:tc>
          <w:tcPr>
            <w:tcW w:w="2115" w:type="dxa"/>
            <w:tcBorders>
              <w:tl2br w:val="nil"/>
              <w:tr2bl w:val="nil"/>
            </w:tcBorders>
            <w:vAlign w:val="center"/>
          </w:tcPr>
          <w:p w14:paraId="0107554B"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21C866CE" w14:textId="77777777">
        <w:tc>
          <w:tcPr>
            <w:tcW w:w="2189" w:type="dxa"/>
            <w:tcBorders>
              <w:tl2br w:val="nil"/>
              <w:tr2bl w:val="nil"/>
            </w:tcBorders>
            <w:vAlign w:val="center"/>
          </w:tcPr>
          <w:p w14:paraId="21CA113B"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lang w:eastAsia="zh-CN"/>
              </w:rPr>
              <w:t>C</w:t>
            </w:r>
            <w:r>
              <w:rPr>
                <w:rFonts w:ascii="Times New Roman" w:eastAsia="微软雅黑" w:hAnsi="Times New Roman" w:cs="Times New Roman"/>
                <w:sz w:val="24"/>
                <w:szCs w:val="24"/>
              </w:rPr>
              <w:t>arnitine Palmitoyltransferase 1</w:t>
            </w:r>
          </w:p>
        </w:tc>
        <w:tc>
          <w:tcPr>
            <w:tcW w:w="2112" w:type="dxa"/>
            <w:tcBorders>
              <w:tl2br w:val="nil"/>
              <w:tr2bl w:val="nil"/>
            </w:tcBorders>
            <w:vAlign w:val="center"/>
          </w:tcPr>
          <w:p w14:paraId="6003C50F"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CPT1A</w:t>
            </w:r>
          </w:p>
        </w:tc>
        <w:tc>
          <w:tcPr>
            <w:tcW w:w="2106" w:type="dxa"/>
            <w:tcBorders>
              <w:tl2br w:val="nil"/>
              <w:tr2bl w:val="nil"/>
            </w:tcBorders>
            <w:vAlign w:val="center"/>
          </w:tcPr>
          <w:p w14:paraId="0BABB0A0"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upregulation</w:t>
            </w:r>
          </w:p>
        </w:tc>
        <w:tc>
          <w:tcPr>
            <w:tcW w:w="2115" w:type="dxa"/>
            <w:tcBorders>
              <w:tl2br w:val="nil"/>
              <w:tr2bl w:val="nil"/>
            </w:tcBorders>
            <w:vAlign w:val="center"/>
          </w:tcPr>
          <w:p w14:paraId="54A38F97"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10B42F68" w14:textId="77777777">
        <w:tc>
          <w:tcPr>
            <w:tcW w:w="2189" w:type="dxa"/>
            <w:tcBorders>
              <w:tl2br w:val="nil"/>
              <w:tr2bl w:val="nil"/>
            </w:tcBorders>
            <w:vAlign w:val="center"/>
          </w:tcPr>
          <w:p w14:paraId="201CA33C"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lang w:eastAsia="zh-CN"/>
              </w:rPr>
              <w:t>E</w:t>
            </w:r>
            <w:r>
              <w:rPr>
                <w:rFonts w:ascii="Times New Roman" w:eastAsia="微软雅黑" w:hAnsi="Times New Roman" w:cs="Times New Roman"/>
                <w:sz w:val="24"/>
                <w:szCs w:val="24"/>
              </w:rPr>
              <w:t>ukaryotic translation elongation factor 1 alpha 1</w:t>
            </w:r>
          </w:p>
        </w:tc>
        <w:tc>
          <w:tcPr>
            <w:tcW w:w="2112" w:type="dxa"/>
            <w:tcBorders>
              <w:tl2br w:val="nil"/>
              <w:tr2bl w:val="nil"/>
            </w:tcBorders>
            <w:vAlign w:val="center"/>
          </w:tcPr>
          <w:p w14:paraId="05AF09B2"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EEF1A1</w:t>
            </w:r>
          </w:p>
        </w:tc>
        <w:tc>
          <w:tcPr>
            <w:tcW w:w="2106" w:type="dxa"/>
            <w:tcBorders>
              <w:tl2br w:val="nil"/>
              <w:tr2bl w:val="nil"/>
            </w:tcBorders>
            <w:vAlign w:val="center"/>
          </w:tcPr>
          <w:p w14:paraId="27139D6D"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upregulation</w:t>
            </w:r>
          </w:p>
        </w:tc>
        <w:tc>
          <w:tcPr>
            <w:tcW w:w="2115" w:type="dxa"/>
            <w:tcBorders>
              <w:tl2br w:val="nil"/>
              <w:tr2bl w:val="nil"/>
            </w:tcBorders>
            <w:vAlign w:val="center"/>
          </w:tcPr>
          <w:p w14:paraId="368B1512"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41344248" w14:textId="77777777">
        <w:tc>
          <w:tcPr>
            <w:tcW w:w="2189" w:type="dxa"/>
            <w:tcBorders>
              <w:tl2br w:val="nil"/>
              <w:tr2bl w:val="nil"/>
            </w:tcBorders>
            <w:vAlign w:val="center"/>
          </w:tcPr>
          <w:p w14:paraId="6B8B506A"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lang w:eastAsia="zh-CN"/>
              </w:rPr>
              <w:t>C</w:t>
            </w:r>
            <w:r>
              <w:rPr>
                <w:rFonts w:ascii="Times New Roman" w:eastAsia="微软雅黑" w:hAnsi="Times New Roman" w:cs="Times New Roman"/>
                <w:sz w:val="24"/>
                <w:szCs w:val="24"/>
              </w:rPr>
              <w:t>yclindependent kinase inhibitor 1A</w:t>
            </w:r>
          </w:p>
        </w:tc>
        <w:tc>
          <w:tcPr>
            <w:tcW w:w="2112" w:type="dxa"/>
            <w:tcBorders>
              <w:tl2br w:val="nil"/>
              <w:tr2bl w:val="nil"/>
            </w:tcBorders>
            <w:vAlign w:val="center"/>
          </w:tcPr>
          <w:p w14:paraId="5A98F615"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CDKN1A</w:t>
            </w:r>
          </w:p>
        </w:tc>
        <w:tc>
          <w:tcPr>
            <w:tcW w:w="2106" w:type="dxa"/>
            <w:tcBorders>
              <w:tl2br w:val="nil"/>
              <w:tr2bl w:val="nil"/>
            </w:tcBorders>
            <w:vAlign w:val="center"/>
          </w:tcPr>
          <w:p w14:paraId="39255BF8"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upregulation</w:t>
            </w:r>
          </w:p>
        </w:tc>
        <w:tc>
          <w:tcPr>
            <w:tcW w:w="2115" w:type="dxa"/>
            <w:tcBorders>
              <w:tl2br w:val="nil"/>
              <w:tr2bl w:val="nil"/>
            </w:tcBorders>
            <w:vAlign w:val="center"/>
          </w:tcPr>
          <w:p w14:paraId="694618DA"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616AACB7" w14:textId="77777777">
        <w:tc>
          <w:tcPr>
            <w:tcW w:w="2189" w:type="dxa"/>
            <w:tcBorders>
              <w:bottom w:val="single" w:sz="4" w:space="0" w:color="auto"/>
            </w:tcBorders>
            <w:vAlign w:val="center"/>
          </w:tcPr>
          <w:p w14:paraId="0CDF8AE4"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Ribosomal Protein L29</w:t>
            </w:r>
          </w:p>
        </w:tc>
        <w:tc>
          <w:tcPr>
            <w:tcW w:w="2112" w:type="dxa"/>
            <w:tcBorders>
              <w:bottom w:val="single" w:sz="4" w:space="0" w:color="auto"/>
            </w:tcBorders>
            <w:vAlign w:val="center"/>
          </w:tcPr>
          <w:p w14:paraId="76E01249"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RPL29</w:t>
            </w:r>
          </w:p>
        </w:tc>
        <w:tc>
          <w:tcPr>
            <w:tcW w:w="2106" w:type="dxa"/>
            <w:tcBorders>
              <w:bottom w:val="single" w:sz="4" w:space="0" w:color="auto"/>
            </w:tcBorders>
            <w:vAlign w:val="center"/>
          </w:tcPr>
          <w:p w14:paraId="0D2A62F9"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upregulation</w:t>
            </w:r>
          </w:p>
        </w:tc>
        <w:tc>
          <w:tcPr>
            <w:tcW w:w="2115" w:type="dxa"/>
            <w:tcBorders>
              <w:bottom w:val="single" w:sz="4" w:space="0" w:color="auto"/>
            </w:tcBorders>
            <w:vAlign w:val="center"/>
          </w:tcPr>
          <w:p w14:paraId="2E23A607"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hint="eastAsia"/>
                <w:sz w:val="24"/>
                <w:szCs w:val="24"/>
                <w:lang w:eastAsia="zh-CN"/>
              </w:rPr>
              <w:t>d</w:t>
            </w:r>
            <w:r>
              <w:rPr>
                <w:rFonts w:ascii="Times New Roman" w:eastAsia="微软雅黑" w:hAnsi="Times New Roman" w:cs="Times New Roman"/>
                <w:sz w:val="24"/>
                <w:szCs w:val="24"/>
              </w:rPr>
              <w:t>ownregulat</w:t>
            </w:r>
            <w:r>
              <w:rPr>
                <w:rFonts w:ascii="Times New Roman" w:eastAsia="微软雅黑" w:hAnsi="Times New Roman" w:cs="Times New Roman" w:hint="eastAsia"/>
                <w:sz w:val="24"/>
                <w:szCs w:val="24"/>
                <w:lang w:eastAsia="zh-CN"/>
              </w:rPr>
              <w:t>ion</w:t>
            </w:r>
          </w:p>
          <w:p w14:paraId="28A51D88" w14:textId="77777777" w:rsidR="00271150" w:rsidRDefault="00271150">
            <w:pPr>
              <w:spacing w:line="360" w:lineRule="auto"/>
              <w:jc w:val="center"/>
              <w:rPr>
                <w:rFonts w:ascii="Times New Roman" w:eastAsia="微软雅黑" w:hAnsi="Times New Roman" w:cs="Times New Roman"/>
                <w:sz w:val="24"/>
                <w:szCs w:val="24"/>
                <w:lang w:eastAsia="zh-CN"/>
              </w:rPr>
            </w:pPr>
          </w:p>
        </w:tc>
      </w:tr>
      <w:tr w:rsidR="00271150" w14:paraId="09B5D6B6" w14:textId="77777777">
        <w:tc>
          <w:tcPr>
            <w:tcW w:w="2189" w:type="dxa"/>
            <w:tcBorders>
              <w:top w:val="single" w:sz="4" w:space="0" w:color="auto"/>
              <w:bottom w:val="nil"/>
            </w:tcBorders>
            <w:vAlign w:val="center"/>
          </w:tcPr>
          <w:p w14:paraId="5470DF2A"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hint="eastAsia"/>
                <w:sz w:val="24"/>
                <w:szCs w:val="24"/>
                <w:lang w:eastAsia="zh-CN"/>
              </w:rPr>
              <w:t>G</w:t>
            </w:r>
            <w:r>
              <w:rPr>
                <w:rFonts w:ascii="Times New Roman" w:eastAsia="微软雅黑" w:hAnsi="Times New Roman" w:cs="Times New Roman"/>
                <w:sz w:val="24"/>
                <w:szCs w:val="24"/>
              </w:rPr>
              <w:t xml:space="preserve">uanine nucleotide binding protein </w:t>
            </w:r>
            <w:r>
              <w:rPr>
                <w:rFonts w:ascii="Times New Roman" w:eastAsia="微软雅黑" w:hAnsi="Times New Roman" w:cs="Times New Roman"/>
                <w:sz w:val="24"/>
                <w:szCs w:val="24"/>
                <w:lang w:eastAsia="zh-CN"/>
              </w:rPr>
              <w:t xml:space="preserve"> </w:t>
            </w:r>
            <w:r>
              <w:rPr>
                <w:rFonts w:ascii="Times New Roman" w:eastAsia="微软雅黑" w:hAnsi="Times New Roman" w:cs="Times New Roman"/>
                <w:sz w:val="24"/>
                <w:szCs w:val="24"/>
              </w:rPr>
              <w:t>beta polypeptide 2-like 1</w:t>
            </w:r>
          </w:p>
        </w:tc>
        <w:tc>
          <w:tcPr>
            <w:tcW w:w="2112" w:type="dxa"/>
            <w:tcBorders>
              <w:top w:val="single" w:sz="4" w:space="0" w:color="auto"/>
              <w:bottom w:val="nil"/>
            </w:tcBorders>
            <w:vAlign w:val="center"/>
          </w:tcPr>
          <w:p w14:paraId="092E43AD"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GNB2L1</w:t>
            </w:r>
          </w:p>
        </w:tc>
        <w:tc>
          <w:tcPr>
            <w:tcW w:w="2106" w:type="dxa"/>
            <w:tcBorders>
              <w:top w:val="single" w:sz="4" w:space="0" w:color="auto"/>
              <w:bottom w:val="nil"/>
            </w:tcBorders>
            <w:vAlign w:val="center"/>
          </w:tcPr>
          <w:p w14:paraId="4EE6E929"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upregulation</w:t>
            </w:r>
          </w:p>
        </w:tc>
        <w:tc>
          <w:tcPr>
            <w:tcW w:w="2115" w:type="dxa"/>
            <w:tcBorders>
              <w:top w:val="single" w:sz="4" w:space="0" w:color="auto"/>
              <w:bottom w:val="nil"/>
            </w:tcBorders>
            <w:vAlign w:val="center"/>
          </w:tcPr>
          <w:p w14:paraId="0B8BB545"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2325499F" w14:textId="77777777">
        <w:tc>
          <w:tcPr>
            <w:tcW w:w="2189" w:type="dxa"/>
            <w:tcBorders>
              <w:top w:val="nil"/>
              <w:tl2br w:val="nil"/>
              <w:tr2bl w:val="nil"/>
            </w:tcBorders>
            <w:vAlign w:val="center"/>
          </w:tcPr>
          <w:p w14:paraId="1FFAB1E7"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E-Twenty-Six-1</w:t>
            </w:r>
          </w:p>
        </w:tc>
        <w:tc>
          <w:tcPr>
            <w:tcW w:w="2112" w:type="dxa"/>
            <w:tcBorders>
              <w:top w:val="nil"/>
              <w:tl2br w:val="nil"/>
              <w:tr2bl w:val="nil"/>
            </w:tcBorders>
            <w:vAlign w:val="center"/>
          </w:tcPr>
          <w:p w14:paraId="6F879DB7"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lang w:eastAsia="zh-CN"/>
              </w:rPr>
              <w:t>ETS1</w:t>
            </w:r>
          </w:p>
        </w:tc>
        <w:tc>
          <w:tcPr>
            <w:tcW w:w="2106" w:type="dxa"/>
            <w:tcBorders>
              <w:top w:val="nil"/>
              <w:tl2br w:val="nil"/>
              <w:tr2bl w:val="nil"/>
            </w:tcBorders>
            <w:vAlign w:val="center"/>
          </w:tcPr>
          <w:p w14:paraId="40BA7B87"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op w:val="nil"/>
              <w:tl2br w:val="nil"/>
              <w:tr2bl w:val="nil"/>
            </w:tcBorders>
            <w:vAlign w:val="center"/>
          </w:tcPr>
          <w:p w14:paraId="4D21C23C"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6BEB25C9" w14:textId="77777777">
        <w:tc>
          <w:tcPr>
            <w:tcW w:w="2189" w:type="dxa"/>
            <w:tcBorders>
              <w:tl2br w:val="nil"/>
              <w:tr2bl w:val="nil"/>
            </w:tcBorders>
            <w:vAlign w:val="center"/>
          </w:tcPr>
          <w:p w14:paraId="688619B9"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Zinc finger and BTB domain containing 38</w:t>
            </w:r>
          </w:p>
        </w:tc>
        <w:tc>
          <w:tcPr>
            <w:tcW w:w="2112" w:type="dxa"/>
            <w:tcBorders>
              <w:tl2br w:val="nil"/>
              <w:tr2bl w:val="nil"/>
            </w:tcBorders>
            <w:vAlign w:val="center"/>
          </w:tcPr>
          <w:p w14:paraId="7B95BA8D"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pacing w:val="2"/>
                <w:sz w:val="24"/>
                <w:szCs w:val="24"/>
              </w:rPr>
              <w:t>ZBTB38</w:t>
            </w:r>
          </w:p>
        </w:tc>
        <w:tc>
          <w:tcPr>
            <w:tcW w:w="2106" w:type="dxa"/>
            <w:tcBorders>
              <w:tl2br w:val="nil"/>
              <w:tr2bl w:val="nil"/>
            </w:tcBorders>
            <w:vAlign w:val="center"/>
          </w:tcPr>
          <w:p w14:paraId="3A22A617"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5E4A855D"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4D225C77" w14:textId="77777777">
        <w:tc>
          <w:tcPr>
            <w:tcW w:w="2189" w:type="dxa"/>
            <w:tcBorders>
              <w:tl2br w:val="nil"/>
              <w:tr2bl w:val="nil"/>
            </w:tcBorders>
            <w:vAlign w:val="center"/>
          </w:tcPr>
          <w:p w14:paraId="37158A87"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Proteasome 26S Subunit</w:t>
            </w:r>
          </w:p>
        </w:tc>
        <w:tc>
          <w:tcPr>
            <w:tcW w:w="2112" w:type="dxa"/>
            <w:tcBorders>
              <w:tl2br w:val="nil"/>
              <w:tr2bl w:val="nil"/>
            </w:tcBorders>
            <w:vAlign w:val="center"/>
          </w:tcPr>
          <w:p w14:paraId="50703648"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pacing w:val="2"/>
                <w:sz w:val="24"/>
                <w:szCs w:val="24"/>
              </w:rPr>
              <w:t>PSMD2</w:t>
            </w:r>
          </w:p>
        </w:tc>
        <w:tc>
          <w:tcPr>
            <w:tcW w:w="2106" w:type="dxa"/>
            <w:tcBorders>
              <w:tl2br w:val="nil"/>
              <w:tr2bl w:val="nil"/>
            </w:tcBorders>
            <w:vAlign w:val="center"/>
          </w:tcPr>
          <w:p w14:paraId="7BDF4ECE"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40DF2F32"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2AFD0D28" w14:textId="77777777">
        <w:tc>
          <w:tcPr>
            <w:tcW w:w="2189" w:type="dxa"/>
            <w:tcBorders>
              <w:tl2br w:val="nil"/>
              <w:tr2bl w:val="nil"/>
            </w:tcBorders>
            <w:vAlign w:val="center"/>
          </w:tcPr>
          <w:p w14:paraId="3A423020"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hint="eastAsia"/>
                <w:sz w:val="24"/>
                <w:szCs w:val="24"/>
                <w:lang w:eastAsia="zh-CN"/>
              </w:rPr>
              <w:t>E</w:t>
            </w:r>
            <w:r>
              <w:rPr>
                <w:rFonts w:ascii="Times New Roman" w:eastAsia="微软雅黑" w:hAnsi="Times New Roman" w:cs="Times New Roman"/>
                <w:sz w:val="24"/>
                <w:szCs w:val="24"/>
              </w:rPr>
              <w:t>ucaryotic translation initiation factor 3</w:t>
            </w:r>
          </w:p>
        </w:tc>
        <w:tc>
          <w:tcPr>
            <w:tcW w:w="2112" w:type="dxa"/>
            <w:tcBorders>
              <w:tl2br w:val="nil"/>
              <w:tr2bl w:val="nil"/>
            </w:tcBorders>
            <w:vAlign w:val="center"/>
          </w:tcPr>
          <w:p w14:paraId="183D0EE0"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pacing w:val="2"/>
                <w:sz w:val="24"/>
                <w:szCs w:val="24"/>
              </w:rPr>
              <w:t>EIF3A</w:t>
            </w:r>
          </w:p>
        </w:tc>
        <w:tc>
          <w:tcPr>
            <w:tcW w:w="2106" w:type="dxa"/>
            <w:tcBorders>
              <w:tl2br w:val="nil"/>
              <w:tr2bl w:val="nil"/>
            </w:tcBorders>
            <w:vAlign w:val="center"/>
          </w:tcPr>
          <w:p w14:paraId="79705348"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6537DBED"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7E6807F6" w14:textId="77777777">
        <w:tc>
          <w:tcPr>
            <w:tcW w:w="2189" w:type="dxa"/>
            <w:tcBorders>
              <w:tl2br w:val="nil"/>
              <w:tr2bl w:val="nil"/>
            </w:tcBorders>
            <w:vAlign w:val="center"/>
          </w:tcPr>
          <w:p w14:paraId="48EE8D40"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lang w:eastAsia="zh-CN"/>
              </w:rPr>
              <w:t>C</w:t>
            </w:r>
            <w:r>
              <w:rPr>
                <w:rFonts w:ascii="Times New Roman" w:eastAsia="微软雅黑" w:hAnsi="Times New Roman" w:cs="Times New Roman"/>
                <w:sz w:val="24"/>
                <w:szCs w:val="24"/>
              </w:rPr>
              <w:t>ollagen type VI alpha 2 chain</w:t>
            </w:r>
          </w:p>
        </w:tc>
        <w:tc>
          <w:tcPr>
            <w:tcW w:w="2112" w:type="dxa"/>
            <w:tcBorders>
              <w:tl2br w:val="nil"/>
              <w:tr2bl w:val="nil"/>
            </w:tcBorders>
            <w:vAlign w:val="center"/>
          </w:tcPr>
          <w:p w14:paraId="02ADA24D"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COL6A2</w:t>
            </w:r>
          </w:p>
        </w:tc>
        <w:tc>
          <w:tcPr>
            <w:tcW w:w="2106" w:type="dxa"/>
            <w:tcBorders>
              <w:tl2br w:val="nil"/>
              <w:tr2bl w:val="nil"/>
            </w:tcBorders>
            <w:vAlign w:val="center"/>
          </w:tcPr>
          <w:p w14:paraId="5A38137A"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34500F4F"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7189107C" w14:textId="77777777">
        <w:tc>
          <w:tcPr>
            <w:tcW w:w="2189" w:type="dxa"/>
            <w:tcBorders>
              <w:tl2br w:val="nil"/>
              <w:tr2bl w:val="nil"/>
            </w:tcBorders>
            <w:vAlign w:val="center"/>
          </w:tcPr>
          <w:p w14:paraId="78066665"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TAP binding protein</w:t>
            </w:r>
          </w:p>
        </w:tc>
        <w:tc>
          <w:tcPr>
            <w:tcW w:w="2112" w:type="dxa"/>
            <w:tcBorders>
              <w:tl2br w:val="nil"/>
              <w:tr2bl w:val="nil"/>
            </w:tcBorders>
            <w:vAlign w:val="center"/>
          </w:tcPr>
          <w:p w14:paraId="28931E9D"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lang w:eastAsia="zh-CN"/>
              </w:rPr>
              <w:t>T</w:t>
            </w:r>
            <w:r>
              <w:rPr>
                <w:rFonts w:ascii="Times New Roman" w:eastAsia="微软雅黑" w:hAnsi="Times New Roman" w:cs="Times New Roman"/>
                <w:sz w:val="24"/>
                <w:szCs w:val="24"/>
              </w:rPr>
              <w:t>APBP</w:t>
            </w:r>
          </w:p>
        </w:tc>
        <w:tc>
          <w:tcPr>
            <w:tcW w:w="2106" w:type="dxa"/>
            <w:tcBorders>
              <w:tl2br w:val="nil"/>
              <w:tr2bl w:val="nil"/>
            </w:tcBorders>
            <w:vAlign w:val="center"/>
          </w:tcPr>
          <w:p w14:paraId="2F0A327F"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353FF439"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7105226F" w14:textId="77777777">
        <w:tc>
          <w:tcPr>
            <w:tcW w:w="2189" w:type="dxa"/>
            <w:tcBorders>
              <w:tl2br w:val="nil"/>
              <w:tr2bl w:val="nil"/>
            </w:tcBorders>
            <w:vAlign w:val="center"/>
          </w:tcPr>
          <w:p w14:paraId="324A66D3"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 xml:space="preserve">Collagen Type </w:t>
            </w:r>
            <w:r>
              <w:rPr>
                <w:rFonts w:ascii="Times New Roman" w:eastAsia="微软雅黑" w:hAnsi="Times New Roman" w:cs="Times New Roman"/>
                <w:sz w:val="24"/>
                <w:szCs w:val="24"/>
                <w:lang w:eastAsia="zh-CN"/>
              </w:rPr>
              <w:t>V</w:t>
            </w:r>
            <w:r>
              <w:rPr>
                <w:rFonts w:ascii="Times New Roman" w:eastAsia="微软雅黑" w:hAnsi="Times New Roman" w:cs="Times New Roman"/>
                <w:sz w:val="24"/>
                <w:szCs w:val="24"/>
              </w:rPr>
              <w:t>I Alpha 1</w:t>
            </w:r>
          </w:p>
        </w:tc>
        <w:tc>
          <w:tcPr>
            <w:tcW w:w="2112" w:type="dxa"/>
            <w:tcBorders>
              <w:tl2br w:val="nil"/>
              <w:tr2bl w:val="nil"/>
            </w:tcBorders>
            <w:vAlign w:val="center"/>
          </w:tcPr>
          <w:p w14:paraId="6B577734"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COL6A1</w:t>
            </w:r>
          </w:p>
        </w:tc>
        <w:tc>
          <w:tcPr>
            <w:tcW w:w="2106" w:type="dxa"/>
            <w:tcBorders>
              <w:tl2br w:val="nil"/>
              <w:tr2bl w:val="nil"/>
            </w:tcBorders>
            <w:vAlign w:val="center"/>
          </w:tcPr>
          <w:p w14:paraId="1584FBD5"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29BDCA43"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4B13C550" w14:textId="77777777">
        <w:tc>
          <w:tcPr>
            <w:tcW w:w="2189" w:type="dxa"/>
            <w:tcBorders>
              <w:tl2br w:val="nil"/>
              <w:tr2bl w:val="nil"/>
            </w:tcBorders>
            <w:vAlign w:val="center"/>
          </w:tcPr>
          <w:p w14:paraId="6D070212"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Phospholipases D</w:t>
            </w:r>
            <w:r>
              <w:rPr>
                <w:rFonts w:ascii="Times New Roman" w:eastAsia="微软雅黑" w:hAnsi="Times New Roman" w:cs="Times New Roman"/>
                <w:sz w:val="24"/>
                <w:szCs w:val="24"/>
                <w:lang w:eastAsia="zh-CN"/>
              </w:rPr>
              <w:t xml:space="preserve"> 3</w:t>
            </w:r>
          </w:p>
        </w:tc>
        <w:tc>
          <w:tcPr>
            <w:tcW w:w="2112" w:type="dxa"/>
            <w:tcBorders>
              <w:tl2br w:val="nil"/>
              <w:tr2bl w:val="nil"/>
            </w:tcBorders>
            <w:vAlign w:val="center"/>
          </w:tcPr>
          <w:p w14:paraId="40E74F38"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PLD3</w:t>
            </w:r>
          </w:p>
        </w:tc>
        <w:tc>
          <w:tcPr>
            <w:tcW w:w="2106" w:type="dxa"/>
            <w:tcBorders>
              <w:tl2br w:val="nil"/>
              <w:tr2bl w:val="nil"/>
            </w:tcBorders>
            <w:vAlign w:val="center"/>
          </w:tcPr>
          <w:p w14:paraId="04D6F9BB"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46371B01"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1F7A787F" w14:textId="77777777">
        <w:tc>
          <w:tcPr>
            <w:tcW w:w="2189" w:type="dxa"/>
            <w:tcBorders>
              <w:tl2br w:val="nil"/>
              <w:tr2bl w:val="nil"/>
            </w:tcBorders>
            <w:vAlign w:val="center"/>
          </w:tcPr>
          <w:p w14:paraId="508560A2"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hint="eastAsia"/>
                <w:sz w:val="24"/>
                <w:szCs w:val="24"/>
                <w:lang w:eastAsia="zh-CN"/>
              </w:rPr>
              <w:t>C</w:t>
            </w:r>
            <w:r>
              <w:rPr>
                <w:rFonts w:ascii="Times New Roman" w:eastAsia="微软雅黑" w:hAnsi="Times New Roman" w:cs="Times New Roman"/>
                <w:sz w:val="24"/>
                <w:szCs w:val="24"/>
              </w:rPr>
              <w:t>hromosome 15 open reading frame 52</w:t>
            </w:r>
          </w:p>
        </w:tc>
        <w:tc>
          <w:tcPr>
            <w:tcW w:w="2112" w:type="dxa"/>
            <w:tcBorders>
              <w:tl2br w:val="nil"/>
              <w:tr2bl w:val="nil"/>
            </w:tcBorders>
            <w:vAlign w:val="center"/>
          </w:tcPr>
          <w:p w14:paraId="27D90723"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C15orf52</w:t>
            </w:r>
          </w:p>
        </w:tc>
        <w:tc>
          <w:tcPr>
            <w:tcW w:w="2106" w:type="dxa"/>
            <w:tcBorders>
              <w:tl2br w:val="nil"/>
              <w:tr2bl w:val="nil"/>
            </w:tcBorders>
            <w:vAlign w:val="center"/>
          </w:tcPr>
          <w:p w14:paraId="4BF38CDA"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596F5771"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71D7BE5A" w14:textId="77777777">
        <w:tc>
          <w:tcPr>
            <w:tcW w:w="2189" w:type="dxa"/>
            <w:tcBorders>
              <w:bottom w:val="single" w:sz="4" w:space="0" w:color="auto"/>
            </w:tcBorders>
            <w:vAlign w:val="center"/>
          </w:tcPr>
          <w:p w14:paraId="386D6FF0"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hint="eastAsia"/>
                <w:sz w:val="24"/>
                <w:szCs w:val="24"/>
                <w:lang w:eastAsia="zh-CN"/>
              </w:rPr>
              <w:t>L</w:t>
            </w:r>
            <w:r>
              <w:rPr>
                <w:rFonts w:ascii="Times New Roman" w:eastAsia="微软雅黑" w:hAnsi="Times New Roman" w:cs="Times New Roman"/>
                <w:sz w:val="24"/>
                <w:szCs w:val="24"/>
              </w:rPr>
              <w:t>atent transforming growth factor beta binding protein 4</w:t>
            </w:r>
          </w:p>
        </w:tc>
        <w:tc>
          <w:tcPr>
            <w:tcW w:w="2112" w:type="dxa"/>
            <w:tcBorders>
              <w:bottom w:val="single" w:sz="4" w:space="0" w:color="auto"/>
            </w:tcBorders>
            <w:vAlign w:val="center"/>
          </w:tcPr>
          <w:p w14:paraId="596C0ED2"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LTBP4</w:t>
            </w:r>
          </w:p>
        </w:tc>
        <w:tc>
          <w:tcPr>
            <w:tcW w:w="2106" w:type="dxa"/>
            <w:tcBorders>
              <w:bottom w:val="single" w:sz="4" w:space="0" w:color="auto"/>
            </w:tcBorders>
            <w:vAlign w:val="center"/>
          </w:tcPr>
          <w:p w14:paraId="218176D1"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bottom w:val="single" w:sz="4" w:space="0" w:color="auto"/>
            </w:tcBorders>
            <w:vAlign w:val="center"/>
          </w:tcPr>
          <w:p w14:paraId="7EB7F24F"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5263DD81" w14:textId="77777777">
        <w:tc>
          <w:tcPr>
            <w:tcW w:w="2189" w:type="dxa"/>
            <w:tcBorders>
              <w:top w:val="single" w:sz="4" w:space="0" w:color="auto"/>
              <w:tl2br w:val="nil"/>
              <w:tr2bl w:val="nil"/>
            </w:tcBorders>
            <w:vAlign w:val="center"/>
          </w:tcPr>
          <w:p w14:paraId="7CAE740F"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Fusion</w:t>
            </w:r>
          </w:p>
        </w:tc>
        <w:tc>
          <w:tcPr>
            <w:tcW w:w="2112" w:type="dxa"/>
            <w:tcBorders>
              <w:top w:val="single" w:sz="4" w:space="0" w:color="auto"/>
              <w:tl2br w:val="nil"/>
              <w:tr2bl w:val="nil"/>
            </w:tcBorders>
            <w:vAlign w:val="center"/>
          </w:tcPr>
          <w:p w14:paraId="4BA75CE8"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FUS</w:t>
            </w:r>
          </w:p>
        </w:tc>
        <w:tc>
          <w:tcPr>
            <w:tcW w:w="2106" w:type="dxa"/>
            <w:tcBorders>
              <w:top w:val="single" w:sz="4" w:space="0" w:color="auto"/>
              <w:tl2br w:val="nil"/>
              <w:tr2bl w:val="nil"/>
            </w:tcBorders>
            <w:vAlign w:val="center"/>
          </w:tcPr>
          <w:p w14:paraId="6EA41B0D"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op w:val="single" w:sz="4" w:space="0" w:color="auto"/>
              <w:tl2br w:val="nil"/>
              <w:tr2bl w:val="nil"/>
            </w:tcBorders>
            <w:vAlign w:val="center"/>
          </w:tcPr>
          <w:p w14:paraId="28AEBBB5"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r>
      <w:tr w:rsidR="00271150" w14:paraId="56DB3BA5" w14:textId="77777777">
        <w:tc>
          <w:tcPr>
            <w:tcW w:w="2189" w:type="dxa"/>
            <w:tcBorders>
              <w:tl2br w:val="nil"/>
              <w:tr2bl w:val="nil"/>
            </w:tcBorders>
            <w:vAlign w:val="center"/>
          </w:tcPr>
          <w:p w14:paraId="5C357408"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ATPbinding cassette</w:t>
            </w:r>
          </w:p>
        </w:tc>
        <w:tc>
          <w:tcPr>
            <w:tcW w:w="2112" w:type="dxa"/>
            <w:tcBorders>
              <w:tl2br w:val="nil"/>
              <w:tr2bl w:val="nil"/>
            </w:tcBorders>
            <w:vAlign w:val="center"/>
          </w:tcPr>
          <w:p w14:paraId="09B12C67"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hint="eastAsia"/>
                <w:sz w:val="24"/>
                <w:szCs w:val="24"/>
                <w:lang w:eastAsia="zh-CN"/>
              </w:rPr>
              <w:t>-</w:t>
            </w:r>
          </w:p>
        </w:tc>
        <w:tc>
          <w:tcPr>
            <w:tcW w:w="2106" w:type="dxa"/>
            <w:tcBorders>
              <w:tl2br w:val="nil"/>
              <w:tr2bl w:val="nil"/>
            </w:tcBorders>
            <w:vAlign w:val="center"/>
          </w:tcPr>
          <w:p w14:paraId="6D01288F"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607DD82E"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5E5CC72D" w14:textId="77777777">
        <w:tc>
          <w:tcPr>
            <w:tcW w:w="2189" w:type="dxa"/>
            <w:tcBorders>
              <w:tl2br w:val="nil"/>
              <w:tr2bl w:val="nil"/>
            </w:tcBorders>
            <w:vAlign w:val="center"/>
          </w:tcPr>
          <w:p w14:paraId="338C081A"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hint="eastAsia"/>
                <w:sz w:val="24"/>
                <w:szCs w:val="24"/>
                <w:lang w:eastAsia="zh-CN"/>
              </w:rPr>
              <w:t>S</w:t>
            </w:r>
            <w:r>
              <w:rPr>
                <w:rFonts w:ascii="Times New Roman" w:eastAsia="微软雅黑" w:hAnsi="Times New Roman" w:cs="Times New Roman"/>
                <w:sz w:val="24"/>
                <w:szCs w:val="24"/>
              </w:rPr>
              <w:t>ub-family A member 2</w:t>
            </w:r>
          </w:p>
        </w:tc>
        <w:tc>
          <w:tcPr>
            <w:tcW w:w="2112" w:type="dxa"/>
            <w:tcBorders>
              <w:tl2br w:val="nil"/>
              <w:tr2bl w:val="nil"/>
            </w:tcBorders>
            <w:vAlign w:val="center"/>
          </w:tcPr>
          <w:p w14:paraId="1E1F9B26"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ABCA2</w:t>
            </w:r>
          </w:p>
        </w:tc>
        <w:tc>
          <w:tcPr>
            <w:tcW w:w="2106" w:type="dxa"/>
            <w:tcBorders>
              <w:tl2br w:val="nil"/>
              <w:tr2bl w:val="nil"/>
            </w:tcBorders>
            <w:vAlign w:val="center"/>
          </w:tcPr>
          <w:p w14:paraId="3D8FC225"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4F17C7E7"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29B305F5" w14:textId="77777777">
        <w:tc>
          <w:tcPr>
            <w:tcW w:w="2189" w:type="dxa"/>
            <w:tcBorders>
              <w:tl2br w:val="nil"/>
              <w:tr2bl w:val="nil"/>
            </w:tcBorders>
            <w:vAlign w:val="center"/>
          </w:tcPr>
          <w:p w14:paraId="2851F685"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CBF1 interacting corepressor</w:t>
            </w:r>
          </w:p>
        </w:tc>
        <w:tc>
          <w:tcPr>
            <w:tcW w:w="2112" w:type="dxa"/>
            <w:tcBorders>
              <w:tl2br w:val="nil"/>
              <w:tr2bl w:val="nil"/>
            </w:tcBorders>
            <w:vAlign w:val="center"/>
          </w:tcPr>
          <w:p w14:paraId="6B6B18BE"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CIR</w:t>
            </w:r>
          </w:p>
        </w:tc>
        <w:tc>
          <w:tcPr>
            <w:tcW w:w="2106" w:type="dxa"/>
            <w:tcBorders>
              <w:tl2br w:val="nil"/>
              <w:tr2bl w:val="nil"/>
            </w:tcBorders>
            <w:vAlign w:val="center"/>
          </w:tcPr>
          <w:p w14:paraId="06A1155B"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6CBCFFED"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7FEC2487" w14:textId="77777777">
        <w:tc>
          <w:tcPr>
            <w:tcW w:w="2189" w:type="dxa"/>
            <w:tcBorders>
              <w:tl2br w:val="nil"/>
              <w:tr2bl w:val="nil"/>
            </w:tcBorders>
            <w:vAlign w:val="center"/>
          </w:tcPr>
          <w:p w14:paraId="53F86058"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Nucleoporin 210kDa</w:t>
            </w:r>
          </w:p>
        </w:tc>
        <w:tc>
          <w:tcPr>
            <w:tcW w:w="2112" w:type="dxa"/>
            <w:tcBorders>
              <w:tl2br w:val="nil"/>
              <w:tr2bl w:val="nil"/>
            </w:tcBorders>
            <w:vAlign w:val="center"/>
          </w:tcPr>
          <w:p w14:paraId="7A94EFB9"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NUP210</w:t>
            </w:r>
          </w:p>
        </w:tc>
        <w:tc>
          <w:tcPr>
            <w:tcW w:w="2106" w:type="dxa"/>
            <w:tcBorders>
              <w:tl2br w:val="nil"/>
              <w:tr2bl w:val="nil"/>
            </w:tcBorders>
            <w:vAlign w:val="center"/>
          </w:tcPr>
          <w:p w14:paraId="3EBD91A8"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0989A0D8"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07FB71FF" w14:textId="77777777">
        <w:tc>
          <w:tcPr>
            <w:tcW w:w="2189" w:type="dxa"/>
            <w:tcBorders>
              <w:tl2br w:val="nil"/>
              <w:tr2bl w:val="nil"/>
            </w:tcBorders>
            <w:vAlign w:val="center"/>
          </w:tcPr>
          <w:p w14:paraId="214259BD"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Notch Homolog 3</w:t>
            </w:r>
          </w:p>
        </w:tc>
        <w:tc>
          <w:tcPr>
            <w:tcW w:w="2112" w:type="dxa"/>
            <w:tcBorders>
              <w:tl2br w:val="nil"/>
              <w:tr2bl w:val="nil"/>
            </w:tcBorders>
            <w:vAlign w:val="center"/>
          </w:tcPr>
          <w:p w14:paraId="09796388"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NOTCH3</w:t>
            </w:r>
          </w:p>
        </w:tc>
        <w:tc>
          <w:tcPr>
            <w:tcW w:w="2106" w:type="dxa"/>
            <w:tcBorders>
              <w:tl2br w:val="nil"/>
              <w:tr2bl w:val="nil"/>
            </w:tcBorders>
            <w:vAlign w:val="center"/>
          </w:tcPr>
          <w:p w14:paraId="10EC10E8"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4B51461C"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5D1226CB" w14:textId="77777777">
        <w:tc>
          <w:tcPr>
            <w:tcW w:w="2189" w:type="dxa"/>
            <w:tcBorders>
              <w:tl2br w:val="nil"/>
              <w:tr2bl w:val="nil"/>
            </w:tcBorders>
            <w:vAlign w:val="center"/>
          </w:tcPr>
          <w:p w14:paraId="54510499"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lang w:eastAsia="zh-CN"/>
              </w:rPr>
              <w:t>C</w:t>
            </w:r>
            <w:r>
              <w:rPr>
                <w:rFonts w:ascii="Times New Roman" w:eastAsia="微软雅黑" w:hAnsi="Times New Roman" w:cs="Times New Roman"/>
                <w:sz w:val="24"/>
                <w:szCs w:val="24"/>
              </w:rPr>
              <w:t>omplement 1</w:t>
            </w:r>
          </w:p>
        </w:tc>
        <w:tc>
          <w:tcPr>
            <w:tcW w:w="2112" w:type="dxa"/>
            <w:tcBorders>
              <w:tl2br w:val="nil"/>
              <w:tr2bl w:val="nil"/>
            </w:tcBorders>
            <w:vAlign w:val="center"/>
          </w:tcPr>
          <w:p w14:paraId="432A4DEE"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hint="eastAsia"/>
                <w:sz w:val="24"/>
                <w:szCs w:val="24"/>
                <w:lang w:eastAsia="zh-CN"/>
              </w:rPr>
              <w:t>-</w:t>
            </w:r>
          </w:p>
        </w:tc>
        <w:tc>
          <w:tcPr>
            <w:tcW w:w="2106" w:type="dxa"/>
            <w:tcBorders>
              <w:tl2br w:val="nil"/>
              <w:tr2bl w:val="nil"/>
            </w:tcBorders>
            <w:vAlign w:val="center"/>
          </w:tcPr>
          <w:p w14:paraId="48FC6FF6"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17601BAB"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0BEAFB6A" w14:textId="77777777">
        <w:tc>
          <w:tcPr>
            <w:tcW w:w="2189" w:type="dxa"/>
            <w:tcBorders>
              <w:tl2br w:val="nil"/>
              <w:tr2bl w:val="nil"/>
            </w:tcBorders>
            <w:vAlign w:val="center"/>
          </w:tcPr>
          <w:p w14:paraId="1C671204"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Complement Component 1</w:t>
            </w:r>
          </w:p>
        </w:tc>
        <w:tc>
          <w:tcPr>
            <w:tcW w:w="2112" w:type="dxa"/>
            <w:tcBorders>
              <w:tl2br w:val="nil"/>
              <w:tr2bl w:val="nil"/>
            </w:tcBorders>
            <w:vAlign w:val="center"/>
          </w:tcPr>
          <w:p w14:paraId="392AD5E1"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hint="eastAsia"/>
                <w:sz w:val="24"/>
                <w:szCs w:val="24"/>
                <w:lang w:eastAsia="zh-CN"/>
              </w:rPr>
              <w:t>-</w:t>
            </w:r>
          </w:p>
        </w:tc>
        <w:tc>
          <w:tcPr>
            <w:tcW w:w="2106" w:type="dxa"/>
            <w:tcBorders>
              <w:tl2br w:val="nil"/>
              <w:tr2bl w:val="nil"/>
            </w:tcBorders>
            <w:vAlign w:val="center"/>
          </w:tcPr>
          <w:p w14:paraId="3B5BFBF2"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52DD3945"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3CFE2EEF" w14:textId="77777777">
        <w:tc>
          <w:tcPr>
            <w:tcW w:w="2189" w:type="dxa"/>
            <w:tcBorders>
              <w:tl2br w:val="nil"/>
              <w:tr2bl w:val="nil"/>
            </w:tcBorders>
            <w:vAlign w:val="center"/>
          </w:tcPr>
          <w:p w14:paraId="50BBC1D6"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Q Subcomponent Like Protein 1</w:t>
            </w:r>
          </w:p>
        </w:tc>
        <w:tc>
          <w:tcPr>
            <w:tcW w:w="2112" w:type="dxa"/>
            <w:tcBorders>
              <w:tl2br w:val="nil"/>
              <w:tr2bl w:val="nil"/>
            </w:tcBorders>
            <w:vAlign w:val="center"/>
          </w:tcPr>
          <w:p w14:paraId="4E080EA6"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C1QL1</w:t>
            </w:r>
          </w:p>
        </w:tc>
        <w:tc>
          <w:tcPr>
            <w:tcW w:w="2106" w:type="dxa"/>
            <w:tcBorders>
              <w:tl2br w:val="nil"/>
              <w:tr2bl w:val="nil"/>
            </w:tcBorders>
            <w:vAlign w:val="center"/>
          </w:tcPr>
          <w:p w14:paraId="2626E354"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3CEBCC02"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72CE01CB" w14:textId="77777777">
        <w:tc>
          <w:tcPr>
            <w:tcW w:w="2189" w:type="dxa"/>
            <w:tcBorders>
              <w:tl2br w:val="nil"/>
              <w:tr2bl w:val="nil"/>
            </w:tcBorders>
            <w:vAlign w:val="center"/>
          </w:tcPr>
          <w:p w14:paraId="7E5B683A"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lang w:eastAsia="zh-CN"/>
              </w:rPr>
              <w:t>T</w:t>
            </w:r>
            <w:r>
              <w:rPr>
                <w:rFonts w:ascii="Times New Roman" w:eastAsia="微软雅黑" w:hAnsi="Times New Roman" w:cs="Times New Roman"/>
                <w:sz w:val="24"/>
                <w:szCs w:val="24"/>
              </w:rPr>
              <w:t>umor-associated calcium signal transducer 2</w:t>
            </w:r>
          </w:p>
        </w:tc>
        <w:tc>
          <w:tcPr>
            <w:tcW w:w="2112" w:type="dxa"/>
            <w:tcBorders>
              <w:tl2br w:val="nil"/>
              <w:tr2bl w:val="nil"/>
            </w:tcBorders>
            <w:vAlign w:val="center"/>
          </w:tcPr>
          <w:p w14:paraId="13BA7E5F"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TACSTD2</w:t>
            </w:r>
          </w:p>
        </w:tc>
        <w:tc>
          <w:tcPr>
            <w:tcW w:w="2106" w:type="dxa"/>
            <w:tcBorders>
              <w:tl2br w:val="nil"/>
              <w:tr2bl w:val="nil"/>
            </w:tcBorders>
            <w:vAlign w:val="center"/>
          </w:tcPr>
          <w:p w14:paraId="748EBB61"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22B77346"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2B1BF6D8" w14:textId="77777777">
        <w:tc>
          <w:tcPr>
            <w:tcW w:w="2189" w:type="dxa"/>
            <w:tcBorders>
              <w:tl2br w:val="nil"/>
              <w:tr2bl w:val="nil"/>
            </w:tcBorders>
            <w:vAlign w:val="center"/>
          </w:tcPr>
          <w:p w14:paraId="6427BFE1"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Basal Cell Adhesion Molecule</w:t>
            </w:r>
          </w:p>
        </w:tc>
        <w:tc>
          <w:tcPr>
            <w:tcW w:w="2112" w:type="dxa"/>
            <w:tcBorders>
              <w:tl2br w:val="nil"/>
              <w:tr2bl w:val="nil"/>
            </w:tcBorders>
            <w:vAlign w:val="center"/>
          </w:tcPr>
          <w:p w14:paraId="63F913BF"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BCAM</w:t>
            </w:r>
          </w:p>
        </w:tc>
        <w:tc>
          <w:tcPr>
            <w:tcW w:w="2106" w:type="dxa"/>
            <w:tcBorders>
              <w:tl2br w:val="nil"/>
              <w:tr2bl w:val="nil"/>
            </w:tcBorders>
            <w:vAlign w:val="center"/>
          </w:tcPr>
          <w:p w14:paraId="65776DA3"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31B5EB98"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42EFB52E" w14:textId="77777777">
        <w:tc>
          <w:tcPr>
            <w:tcW w:w="2189" w:type="dxa"/>
            <w:tcBorders>
              <w:bottom w:val="nil"/>
              <w:tl2br w:val="nil"/>
              <w:tr2bl w:val="nil"/>
            </w:tcBorders>
            <w:vAlign w:val="center"/>
          </w:tcPr>
          <w:p w14:paraId="6AD98107"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lang w:eastAsia="zh-CN"/>
              </w:rPr>
              <w:t>R</w:t>
            </w:r>
            <w:r>
              <w:rPr>
                <w:rFonts w:ascii="Times New Roman" w:eastAsia="微软雅黑" w:hAnsi="Times New Roman" w:cs="Times New Roman"/>
                <w:sz w:val="24"/>
                <w:szCs w:val="24"/>
              </w:rPr>
              <w:t>etinoic acid receptor responder 2</w:t>
            </w:r>
          </w:p>
        </w:tc>
        <w:tc>
          <w:tcPr>
            <w:tcW w:w="2112" w:type="dxa"/>
            <w:tcBorders>
              <w:bottom w:val="nil"/>
              <w:tl2br w:val="nil"/>
              <w:tr2bl w:val="nil"/>
            </w:tcBorders>
            <w:vAlign w:val="center"/>
          </w:tcPr>
          <w:p w14:paraId="3537CB1A"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RARRES2</w:t>
            </w:r>
          </w:p>
        </w:tc>
        <w:tc>
          <w:tcPr>
            <w:tcW w:w="2106" w:type="dxa"/>
            <w:tcBorders>
              <w:bottom w:val="nil"/>
              <w:tl2br w:val="nil"/>
              <w:tr2bl w:val="nil"/>
            </w:tcBorders>
            <w:vAlign w:val="center"/>
          </w:tcPr>
          <w:p w14:paraId="38776B1A"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bottom w:val="nil"/>
              <w:tl2br w:val="nil"/>
              <w:tr2bl w:val="nil"/>
            </w:tcBorders>
            <w:vAlign w:val="center"/>
          </w:tcPr>
          <w:p w14:paraId="5854A94C"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2343D02A" w14:textId="77777777">
        <w:tc>
          <w:tcPr>
            <w:tcW w:w="2189" w:type="dxa"/>
            <w:tcBorders>
              <w:top w:val="nil"/>
              <w:bottom w:val="single" w:sz="4" w:space="0" w:color="auto"/>
            </w:tcBorders>
            <w:vAlign w:val="center"/>
          </w:tcPr>
          <w:p w14:paraId="0106871F"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rPr>
              <w:t>Sushi domain containing 2</w:t>
            </w:r>
          </w:p>
        </w:tc>
        <w:tc>
          <w:tcPr>
            <w:tcW w:w="2112" w:type="dxa"/>
            <w:tcBorders>
              <w:top w:val="nil"/>
              <w:bottom w:val="single" w:sz="4" w:space="0" w:color="auto"/>
            </w:tcBorders>
            <w:vAlign w:val="center"/>
          </w:tcPr>
          <w:p w14:paraId="727A68D4"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SUSD2</w:t>
            </w:r>
          </w:p>
        </w:tc>
        <w:tc>
          <w:tcPr>
            <w:tcW w:w="2106" w:type="dxa"/>
            <w:tcBorders>
              <w:top w:val="nil"/>
              <w:bottom w:val="single" w:sz="4" w:space="0" w:color="auto"/>
            </w:tcBorders>
            <w:vAlign w:val="center"/>
          </w:tcPr>
          <w:p w14:paraId="5D14928A"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op w:val="nil"/>
              <w:bottom w:val="single" w:sz="4" w:space="0" w:color="auto"/>
            </w:tcBorders>
            <w:vAlign w:val="center"/>
          </w:tcPr>
          <w:p w14:paraId="7946915F"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2DD71AD9" w14:textId="77777777">
        <w:trPr>
          <w:trHeight w:val="488"/>
        </w:trPr>
        <w:tc>
          <w:tcPr>
            <w:tcW w:w="2189" w:type="dxa"/>
            <w:tcBorders>
              <w:top w:val="single" w:sz="4" w:space="0" w:color="auto"/>
              <w:bottom w:val="nil"/>
            </w:tcBorders>
            <w:vAlign w:val="center"/>
          </w:tcPr>
          <w:p w14:paraId="7B95AF66"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carboxypeptidase A</w:t>
            </w:r>
          </w:p>
        </w:tc>
        <w:tc>
          <w:tcPr>
            <w:tcW w:w="2112" w:type="dxa"/>
            <w:tcBorders>
              <w:top w:val="single" w:sz="4" w:space="0" w:color="auto"/>
              <w:bottom w:val="nil"/>
            </w:tcBorders>
            <w:vAlign w:val="center"/>
          </w:tcPr>
          <w:p w14:paraId="3876DB95"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hint="eastAsia"/>
                <w:sz w:val="24"/>
                <w:szCs w:val="24"/>
                <w:lang w:eastAsia="zh-CN"/>
              </w:rPr>
              <w:t>CPA</w:t>
            </w:r>
          </w:p>
        </w:tc>
        <w:tc>
          <w:tcPr>
            <w:tcW w:w="2106" w:type="dxa"/>
            <w:tcBorders>
              <w:top w:val="single" w:sz="4" w:space="0" w:color="auto"/>
              <w:bottom w:val="nil"/>
            </w:tcBorders>
            <w:vAlign w:val="center"/>
          </w:tcPr>
          <w:p w14:paraId="42D2C2F6"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op w:val="single" w:sz="4" w:space="0" w:color="auto"/>
              <w:bottom w:val="nil"/>
            </w:tcBorders>
            <w:vAlign w:val="center"/>
          </w:tcPr>
          <w:p w14:paraId="2A8E3D6C"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06703F9A" w14:textId="77777777">
        <w:tc>
          <w:tcPr>
            <w:tcW w:w="2189" w:type="dxa"/>
            <w:tcBorders>
              <w:top w:val="nil"/>
              <w:tl2br w:val="nil"/>
              <w:tr2bl w:val="nil"/>
            </w:tcBorders>
            <w:vAlign w:val="center"/>
          </w:tcPr>
          <w:p w14:paraId="302DBCAB"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hint="eastAsia"/>
                <w:sz w:val="24"/>
                <w:szCs w:val="24"/>
                <w:lang w:eastAsia="zh-CN"/>
              </w:rPr>
              <w:t>I</w:t>
            </w:r>
            <w:r>
              <w:rPr>
                <w:rFonts w:ascii="Times New Roman" w:eastAsia="微软雅黑" w:hAnsi="Times New Roman" w:cs="Times New Roman"/>
                <w:sz w:val="24"/>
                <w:szCs w:val="24"/>
              </w:rPr>
              <w:t>nterferoninduced protein with tetratricopeptide repeats 2</w:t>
            </w:r>
          </w:p>
        </w:tc>
        <w:tc>
          <w:tcPr>
            <w:tcW w:w="2112" w:type="dxa"/>
            <w:tcBorders>
              <w:top w:val="nil"/>
              <w:tl2br w:val="nil"/>
              <w:tr2bl w:val="nil"/>
            </w:tcBorders>
            <w:vAlign w:val="center"/>
          </w:tcPr>
          <w:p w14:paraId="65ABAAAF"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IFIT2</w:t>
            </w:r>
          </w:p>
        </w:tc>
        <w:tc>
          <w:tcPr>
            <w:tcW w:w="2106" w:type="dxa"/>
            <w:tcBorders>
              <w:top w:val="nil"/>
              <w:tl2br w:val="nil"/>
              <w:tr2bl w:val="nil"/>
            </w:tcBorders>
            <w:vAlign w:val="center"/>
          </w:tcPr>
          <w:p w14:paraId="05BFEF1E"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op w:val="nil"/>
              <w:tl2br w:val="nil"/>
              <w:tr2bl w:val="nil"/>
            </w:tcBorders>
            <w:vAlign w:val="center"/>
          </w:tcPr>
          <w:p w14:paraId="2F4508D2"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468915BA" w14:textId="77777777">
        <w:tc>
          <w:tcPr>
            <w:tcW w:w="2189" w:type="dxa"/>
            <w:tcBorders>
              <w:tl2br w:val="nil"/>
              <w:tr2bl w:val="nil"/>
            </w:tcBorders>
            <w:vAlign w:val="center"/>
          </w:tcPr>
          <w:p w14:paraId="1B44AC39"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sz w:val="24"/>
                <w:szCs w:val="24"/>
                <w:lang w:eastAsia="zh-CN"/>
              </w:rPr>
              <w:t>I</w:t>
            </w:r>
            <w:r>
              <w:rPr>
                <w:rFonts w:ascii="Times New Roman" w:eastAsia="微软雅黑" w:hAnsi="Times New Roman" w:cs="Times New Roman"/>
                <w:sz w:val="24"/>
                <w:szCs w:val="24"/>
              </w:rPr>
              <w:t>nterleukin-7 receptor</w:t>
            </w:r>
          </w:p>
        </w:tc>
        <w:tc>
          <w:tcPr>
            <w:tcW w:w="2112" w:type="dxa"/>
            <w:tcBorders>
              <w:tl2br w:val="nil"/>
              <w:tr2bl w:val="nil"/>
            </w:tcBorders>
            <w:vAlign w:val="center"/>
          </w:tcPr>
          <w:p w14:paraId="348FBFCE"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IL7R</w:t>
            </w:r>
          </w:p>
        </w:tc>
        <w:tc>
          <w:tcPr>
            <w:tcW w:w="2106" w:type="dxa"/>
            <w:tcBorders>
              <w:tl2br w:val="nil"/>
              <w:tr2bl w:val="nil"/>
            </w:tcBorders>
            <w:vAlign w:val="center"/>
          </w:tcPr>
          <w:p w14:paraId="09BE050D"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tl2br w:val="nil"/>
              <w:tr2bl w:val="nil"/>
            </w:tcBorders>
            <w:vAlign w:val="center"/>
          </w:tcPr>
          <w:p w14:paraId="59D47493"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r w:rsidR="00271150" w14:paraId="5014D6D2" w14:textId="77777777">
        <w:tc>
          <w:tcPr>
            <w:tcW w:w="2189" w:type="dxa"/>
            <w:tcBorders>
              <w:bottom w:val="single" w:sz="4" w:space="0" w:color="auto"/>
            </w:tcBorders>
            <w:vAlign w:val="center"/>
          </w:tcPr>
          <w:p w14:paraId="141350BF" w14:textId="77777777" w:rsidR="00271150" w:rsidRDefault="00000000">
            <w:pPr>
              <w:spacing w:line="360" w:lineRule="auto"/>
              <w:jc w:val="center"/>
              <w:rPr>
                <w:rFonts w:ascii="Times New Roman" w:eastAsia="微软雅黑" w:hAnsi="Times New Roman" w:cs="Times New Roman"/>
                <w:sz w:val="24"/>
                <w:szCs w:val="24"/>
                <w:lang w:eastAsia="zh-CN"/>
              </w:rPr>
            </w:pPr>
            <w:r>
              <w:rPr>
                <w:rFonts w:ascii="Times New Roman" w:eastAsia="微软雅黑" w:hAnsi="Times New Roman" w:cs="Times New Roman" w:hint="eastAsia"/>
                <w:sz w:val="24"/>
                <w:szCs w:val="24"/>
                <w:lang w:eastAsia="zh-CN"/>
              </w:rPr>
              <w:t>K</w:t>
            </w:r>
            <w:r>
              <w:rPr>
                <w:rFonts w:ascii="Times New Roman" w:eastAsia="微软雅黑" w:hAnsi="Times New Roman" w:cs="Times New Roman"/>
                <w:sz w:val="24"/>
                <w:szCs w:val="24"/>
              </w:rPr>
              <w:t>exin9 proprotein convertase subtilisin</w:t>
            </w:r>
          </w:p>
        </w:tc>
        <w:tc>
          <w:tcPr>
            <w:tcW w:w="2112" w:type="dxa"/>
            <w:tcBorders>
              <w:bottom w:val="single" w:sz="4" w:space="0" w:color="auto"/>
            </w:tcBorders>
            <w:vAlign w:val="center"/>
          </w:tcPr>
          <w:p w14:paraId="440D7080"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PCSK9</w:t>
            </w:r>
          </w:p>
        </w:tc>
        <w:tc>
          <w:tcPr>
            <w:tcW w:w="2106" w:type="dxa"/>
            <w:tcBorders>
              <w:bottom w:val="single" w:sz="4" w:space="0" w:color="auto"/>
            </w:tcBorders>
            <w:vAlign w:val="center"/>
          </w:tcPr>
          <w:p w14:paraId="52A1B26B"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downregulat</w:t>
            </w:r>
            <w:r>
              <w:rPr>
                <w:rFonts w:ascii="Times New Roman" w:eastAsia="微软雅黑" w:hAnsi="Times New Roman" w:cs="Times New Roman" w:hint="eastAsia"/>
                <w:sz w:val="24"/>
                <w:szCs w:val="24"/>
                <w:lang w:eastAsia="zh-CN"/>
              </w:rPr>
              <w:t>ion</w:t>
            </w:r>
          </w:p>
        </w:tc>
        <w:tc>
          <w:tcPr>
            <w:tcW w:w="2115" w:type="dxa"/>
            <w:tcBorders>
              <w:bottom w:val="single" w:sz="4" w:space="0" w:color="auto"/>
            </w:tcBorders>
            <w:vAlign w:val="center"/>
          </w:tcPr>
          <w:p w14:paraId="20469D7F" w14:textId="77777777" w:rsidR="00271150" w:rsidRDefault="00000000">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sz w:val="24"/>
                <w:szCs w:val="24"/>
              </w:rPr>
              <w:t>upregulation</w:t>
            </w:r>
          </w:p>
        </w:tc>
      </w:tr>
    </w:tbl>
    <w:p w14:paraId="4A820D48" w14:textId="77777777" w:rsidR="00271150" w:rsidRDefault="00271150"/>
    <w:sectPr w:rsidR="0027115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88BB1E" w14:textId="77777777" w:rsidR="003169E4" w:rsidRDefault="003169E4">
      <w:pPr>
        <w:spacing w:line="240" w:lineRule="auto"/>
      </w:pPr>
      <w:r>
        <w:separator/>
      </w:r>
    </w:p>
  </w:endnote>
  <w:endnote w:type="continuationSeparator" w:id="0">
    <w:p w14:paraId="126035CD" w14:textId="77777777" w:rsidR="003169E4" w:rsidRDefault="003169E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Arial Unicode MS">
    <w:altName w:val="BIZ UDGothic"/>
    <w:panose1 w:val="020B0604020202020204"/>
    <w:charset w:val="80"/>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5BFB64" w14:textId="77777777" w:rsidR="003169E4" w:rsidRDefault="003169E4">
      <w:pPr>
        <w:spacing w:after="0"/>
      </w:pPr>
      <w:r>
        <w:separator/>
      </w:r>
    </w:p>
  </w:footnote>
  <w:footnote w:type="continuationSeparator" w:id="0">
    <w:p w14:paraId="4BEC08CD" w14:textId="77777777" w:rsidR="003169E4" w:rsidRDefault="003169E4">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ViY2JkMjU3NGYzZTEwMzZmMGFkZWViYmNkYWU3NDIifQ=="/>
  </w:docVars>
  <w:rsids>
    <w:rsidRoot w:val="02E572EB"/>
    <w:rsid w:val="000D0DED"/>
    <w:rsid w:val="001D5C31"/>
    <w:rsid w:val="00271150"/>
    <w:rsid w:val="003169E4"/>
    <w:rsid w:val="00554210"/>
    <w:rsid w:val="00585159"/>
    <w:rsid w:val="005F6EDF"/>
    <w:rsid w:val="00E5145F"/>
    <w:rsid w:val="02E572EB"/>
    <w:rsid w:val="0A8638D0"/>
    <w:rsid w:val="0DDD117E"/>
    <w:rsid w:val="209E3E6A"/>
    <w:rsid w:val="3E204FFC"/>
    <w:rsid w:val="5C3D02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A1501D"/>
  <w15:docId w15:val="{6EA07DAA-10B4-49CC-AD27-46C11F9E1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spacing w:after="160" w:line="259" w:lineRule="auto"/>
    </w:pPr>
    <w:rPr>
      <w:rFonts w:eastAsiaTheme="minorHAns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autoRedefine/>
    <w:qFormat/>
    <w:pPr>
      <w:spacing w:line="480" w:lineRule="exact"/>
      <w:ind w:firstLineChars="200" w:firstLine="640"/>
    </w:pPr>
    <w:rPr>
      <w:rFonts w:ascii="楷体_GB2312" w:eastAsia="楷体_GB2312"/>
      <w:sz w:val="32"/>
      <w:szCs w:val="20"/>
    </w:rPr>
  </w:style>
  <w:style w:type="table" w:styleId="a4">
    <w:name w:val="Table Grid"/>
    <w:basedOn w:val="a1"/>
    <w:autoRedefin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basedOn w:val="a0"/>
    <w:autoRedefine/>
    <w:qFormat/>
    <w:rPr>
      <w:color w:val="0000FF"/>
      <w:u w:val="single"/>
    </w:rPr>
  </w:style>
  <w:style w:type="paragraph" w:customStyle="1" w:styleId="Normal1">
    <w:name w:val="Normal 1"/>
    <w:autoRedefine/>
    <w:qFormat/>
    <w:pPr>
      <w:widowControl w:val="0"/>
      <w:jc w:val="both"/>
    </w:pPr>
    <w:rPr>
      <w:rFonts w:ascii="Times New Roman" w:eastAsia="Arial Unicode MS" w:hAnsi="Times New Roman" w:cs="Arial Unicode MS"/>
      <w:color w:val="000000"/>
      <w:kern w:val="2"/>
      <w:sz w:val="21"/>
      <w:szCs w:val="21"/>
      <w:u w:color="000000"/>
      <w:vertAlign w:val="superscript"/>
    </w:rPr>
  </w:style>
  <w:style w:type="paragraph" w:styleId="a6">
    <w:name w:val="List Paragraph"/>
    <w:basedOn w:val="a"/>
    <w:autoRedefine/>
    <w:uiPriority w:val="34"/>
    <w:qFormat/>
    <w:pPr>
      <w:ind w:left="720"/>
      <w:contextualSpacing/>
    </w:pPr>
  </w:style>
  <w:style w:type="paragraph" w:styleId="a7">
    <w:name w:val="header"/>
    <w:basedOn w:val="a"/>
    <w:link w:val="a8"/>
    <w:rsid w:val="005F6EDF"/>
    <w:pPr>
      <w:tabs>
        <w:tab w:val="center" w:pos="4153"/>
        <w:tab w:val="right" w:pos="8306"/>
      </w:tabs>
      <w:snapToGrid w:val="0"/>
      <w:spacing w:line="240" w:lineRule="auto"/>
      <w:jc w:val="center"/>
    </w:pPr>
    <w:rPr>
      <w:sz w:val="18"/>
      <w:szCs w:val="18"/>
    </w:rPr>
  </w:style>
  <w:style w:type="character" w:customStyle="1" w:styleId="a8">
    <w:name w:val="页眉 字符"/>
    <w:basedOn w:val="a0"/>
    <w:link w:val="a7"/>
    <w:rsid w:val="005F6EDF"/>
    <w:rPr>
      <w:rFonts w:eastAsiaTheme="minorHAnsi"/>
      <w:sz w:val="18"/>
      <w:szCs w:val="18"/>
      <w:lang w:eastAsia="en-US"/>
    </w:rPr>
  </w:style>
  <w:style w:type="paragraph" w:styleId="a9">
    <w:name w:val="footer"/>
    <w:basedOn w:val="a"/>
    <w:link w:val="aa"/>
    <w:rsid w:val="005F6EDF"/>
    <w:pPr>
      <w:tabs>
        <w:tab w:val="center" w:pos="4153"/>
        <w:tab w:val="right" w:pos="8306"/>
      </w:tabs>
      <w:snapToGrid w:val="0"/>
      <w:spacing w:line="240" w:lineRule="auto"/>
    </w:pPr>
    <w:rPr>
      <w:sz w:val="18"/>
      <w:szCs w:val="18"/>
    </w:rPr>
  </w:style>
  <w:style w:type="character" w:customStyle="1" w:styleId="aa">
    <w:name w:val="页脚 字符"/>
    <w:basedOn w:val="a0"/>
    <w:link w:val="a9"/>
    <w:rsid w:val="005F6EDF"/>
    <w:rPr>
      <w:rFonts w:eastAsiaTheme="minorHAns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ywujian@scut.edu.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11</Pages>
  <Words>2890</Words>
  <Characters>16477</Characters>
  <Application>Microsoft Office Word</Application>
  <DocSecurity>0</DocSecurity>
  <Lines>137</Lines>
  <Paragraphs>38</Paragraphs>
  <ScaleCrop>false</ScaleCrop>
  <Company/>
  <LinksUpToDate>false</LinksUpToDate>
  <CharactersWithSpaces>19329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林锦乐</dc:creator>
  <cp:lastModifiedBy>DELL</cp:lastModifiedBy>
  <cp:revision>4</cp:revision>
  <dcterms:created xsi:type="dcterms:W3CDTF">2023-07-05T14:39:00Z</dcterms:created>
  <dcterms:modified xsi:type="dcterms:W3CDTF">2024-06-02T03:59:00Z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A077F7E090C34ACEB6C19602D53315C4_13</vt:lpwstr>
  </property>
</Properties>
</file>