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4F73" w14:textId="4A87EE69" w:rsidR="00BA2873" w:rsidRPr="00C809A5" w:rsidRDefault="00C3376A" w:rsidP="001056FA">
      <w:pPr>
        <w:pStyle w:val="Ttulo"/>
        <w:ind w:firstLine="0"/>
        <w:jc w:val="center"/>
        <w:rPr>
          <w:lang w:val="en-US"/>
        </w:rPr>
      </w:pPr>
      <w:r w:rsidRPr="00C809A5">
        <w:rPr>
          <w:lang w:val="en-US"/>
        </w:rPr>
        <w:t>Supplementary material for</w:t>
      </w:r>
    </w:p>
    <w:p w14:paraId="0DA6918F" w14:textId="77777777" w:rsidR="00F4449A" w:rsidRPr="00F4449A" w:rsidRDefault="00F4449A" w:rsidP="00F4449A">
      <w:pPr>
        <w:pStyle w:val="Ttulo"/>
        <w:rPr>
          <w:sz w:val="28"/>
          <w:szCs w:val="28"/>
          <w:lang w:val="en-US"/>
        </w:rPr>
      </w:pPr>
      <w:r w:rsidRPr="00F4449A">
        <w:rPr>
          <w:sz w:val="28"/>
          <w:szCs w:val="28"/>
          <w:lang w:val="en-US"/>
        </w:rPr>
        <w:t xml:space="preserve">Iron’s role in soil organic carbon (de)stabilization in mangroves under land use change </w:t>
      </w:r>
    </w:p>
    <w:p w14:paraId="6DD6F092" w14:textId="77777777" w:rsidR="004646A5" w:rsidRPr="00D22F96" w:rsidRDefault="004646A5" w:rsidP="004646A5">
      <w:pPr>
        <w:rPr>
          <w:lang w:val="en-US"/>
        </w:rPr>
      </w:pPr>
    </w:p>
    <w:p w14:paraId="166D02B8" w14:textId="77777777" w:rsidR="001056FA" w:rsidRPr="009C7E79" w:rsidRDefault="001056FA" w:rsidP="001056FA">
      <w:pPr>
        <w:rPr>
          <w:vertAlign w:val="superscript"/>
        </w:rPr>
      </w:pPr>
      <w:r w:rsidRPr="009C7E79">
        <w:t xml:space="preserve">Francisco Ruiz </w:t>
      </w:r>
      <w:r w:rsidRPr="009C7E79">
        <w:rPr>
          <w:vertAlign w:val="superscript"/>
        </w:rPr>
        <w:t>a</w:t>
      </w:r>
      <w:r>
        <w:rPr>
          <w:vertAlign w:val="superscript"/>
        </w:rPr>
        <w:t>*</w:t>
      </w:r>
      <w:r w:rsidRPr="009C7E79">
        <w:t xml:space="preserve">, Cornelia </w:t>
      </w:r>
      <w:proofErr w:type="spellStart"/>
      <w:r w:rsidRPr="009C7E79">
        <w:t>Rumpel</w:t>
      </w:r>
      <w:proofErr w:type="spellEnd"/>
      <w:r w:rsidRPr="009C7E79">
        <w:t xml:space="preserve"> </w:t>
      </w:r>
      <w:r>
        <w:rPr>
          <w:vertAlign w:val="superscript"/>
        </w:rPr>
        <w:t>b</w:t>
      </w:r>
      <w:r w:rsidRPr="009C7E79">
        <w:t xml:space="preserve">, </w:t>
      </w:r>
      <w:proofErr w:type="spellStart"/>
      <w:r w:rsidRPr="009C7E79">
        <w:t>Xosé</w:t>
      </w:r>
      <w:proofErr w:type="spellEnd"/>
      <w:r w:rsidRPr="009C7E79">
        <w:t xml:space="preserve"> </w:t>
      </w:r>
      <w:proofErr w:type="spellStart"/>
      <w:r w:rsidRPr="009C7E79">
        <w:t>Luis</w:t>
      </w:r>
      <w:proofErr w:type="spellEnd"/>
      <w:r w:rsidRPr="009C7E79">
        <w:t xml:space="preserve"> Otero </w:t>
      </w:r>
      <w:sdt>
        <w:sdtPr>
          <w:tag w:val="goog_rdk_1"/>
          <w:id w:val="-112140906"/>
        </w:sdtPr>
        <w:sdtEndPr/>
        <w:sdtContent>
          <w:proofErr w:type="spellStart"/>
          <w:proofErr w:type="gramStart"/>
          <w:r>
            <w:rPr>
              <w:vertAlign w:val="superscript"/>
            </w:rPr>
            <w:t>c</w:t>
          </w:r>
          <w:r w:rsidRPr="009C7E79">
            <w:rPr>
              <w:vertAlign w:val="superscript"/>
            </w:rPr>
            <w:t>,</w:t>
          </w:r>
          <w:r>
            <w:rPr>
              <w:vertAlign w:val="superscript"/>
            </w:rPr>
            <w:t>d</w:t>
          </w:r>
          <w:proofErr w:type="spellEnd"/>
          <w:proofErr w:type="gramEnd"/>
        </w:sdtContent>
      </w:sdt>
      <w:r w:rsidRPr="009C7E79">
        <w:t xml:space="preserve">, </w:t>
      </w:r>
      <w:proofErr w:type="spellStart"/>
      <w:r w:rsidRPr="009C7E79">
        <w:t>Angelo</w:t>
      </w:r>
      <w:proofErr w:type="spellEnd"/>
      <w:r w:rsidRPr="009C7E79">
        <w:t xml:space="preserve"> Fraga Bernardino </w:t>
      </w:r>
      <w:r>
        <w:rPr>
          <w:vertAlign w:val="superscript"/>
        </w:rPr>
        <w:t>e</w:t>
      </w:r>
      <w:r w:rsidRPr="009C7E79">
        <w:t>,</w:t>
      </w:r>
      <w:r>
        <w:t xml:space="preserve"> Hermano Melo </w:t>
      </w:r>
      <w:proofErr w:type="spellStart"/>
      <w:r>
        <w:t>Queiroz</w:t>
      </w:r>
      <w:r>
        <w:rPr>
          <w:vertAlign w:val="superscript"/>
        </w:rPr>
        <w:t>f</w:t>
      </w:r>
      <w:proofErr w:type="spellEnd"/>
      <w:r>
        <w:t xml:space="preserve"> </w:t>
      </w:r>
      <w:r w:rsidRPr="009C7E79">
        <w:t xml:space="preserve">Tiago Osório Ferreira </w:t>
      </w:r>
      <w:proofErr w:type="spellStart"/>
      <w:r w:rsidRPr="009C7E79">
        <w:rPr>
          <w:vertAlign w:val="superscript"/>
        </w:rPr>
        <w:t>a</w:t>
      </w:r>
      <w:r>
        <w:rPr>
          <w:vertAlign w:val="superscript"/>
        </w:rPr>
        <w:t>,g</w:t>
      </w:r>
      <w:proofErr w:type="spellEnd"/>
      <w:r>
        <w:rPr>
          <w:vertAlign w:val="superscript"/>
        </w:rPr>
        <w:t>*</w:t>
      </w:r>
    </w:p>
    <w:p w14:paraId="6F0E1752" w14:textId="77777777" w:rsidR="001056FA" w:rsidRPr="009C7E79" w:rsidRDefault="001056FA" w:rsidP="001056F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6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0AA193C3" w14:textId="77777777" w:rsidR="001056FA" w:rsidRPr="007B3EED" w:rsidRDefault="001056FA" w:rsidP="001056FA">
      <w:pPr>
        <w:rPr>
          <w:lang w:val="en-US"/>
        </w:rPr>
      </w:pPr>
      <w:r w:rsidRPr="001056FA">
        <w:rPr>
          <w:vertAlign w:val="superscript"/>
          <w:lang w:val="en-US"/>
        </w:rPr>
        <w:t xml:space="preserve">a </w:t>
      </w:r>
      <w:r w:rsidRPr="001056FA">
        <w:rPr>
          <w:lang w:val="en-US"/>
        </w:rPr>
        <w:t xml:space="preserve">Department of Soil Science, “Luiz de Queiroz” College of Agriculture/University of São Paulo (ESALQ/USP), Av. </w:t>
      </w:r>
      <w:r w:rsidRPr="007B3EED">
        <w:rPr>
          <w:lang w:val="en-US"/>
        </w:rPr>
        <w:t>Pádua Dias 11, Piracicaba, São Paulo 13418-900, Brazil</w:t>
      </w:r>
    </w:p>
    <w:p w14:paraId="73AE53C3" w14:textId="77777777" w:rsidR="001056FA" w:rsidRPr="001056FA" w:rsidRDefault="00F4449A" w:rsidP="001056FA">
      <w:pPr>
        <w:rPr>
          <w:lang w:val="en-US"/>
        </w:rPr>
      </w:pPr>
      <w:sdt>
        <w:sdtPr>
          <w:tag w:val="goog_rdk_4"/>
          <w:id w:val="1710769333"/>
        </w:sdtPr>
        <w:sdtEndPr/>
        <w:sdtContent>
          <w:r w:rsidR="001056FA" w:rsidRPr="001056FA">
            <w:rPr>
              <w:vertAlign w:val="superscript"/>
              <w:lang w:val="en-US"/>
            </w:rPr>
            <w:t xml:space="preserve">b </w:t>
          </w:r>
          <w:r w:rsidR="001056FA" w:rsidRPr="001056FA">
            <w:rPr>
              <w:lang w:val="en-US"/>
            </w:rPr>
            <w:t>CNRS, Institute for Ecology and Ecological Sciences, (</w:t>
          </w:r>
          <w:proofErr w:type="spellStart"/>
          <w:r w:rsidR="001056FA" w:rsidRPr="001056FA">
            <w:rPr>
              <w:lang w:val="en-US"/>
            </w:rPr>
            <w:t>iEES</w:t>
          </w:r>
          <w:proofErr w:type="spellEnd"/>
          <w:r w:rsidR="001056FA" w:rsidRPr="001056FA">
            <w:rPr>
              <w:lang w:val="en-US"/>
            </w:rPr>
            <w:t xml:space="preserve"> Paris, UMR Sorbonne Université, CNRS, INRAE, UPEC, IRD), Paris, France</w:t>
          </w:r>
          <w:sdt>
            <w:sdtPr>
              <w:tag w:val="goog_rdk_3"/>
              <w:id w:val="347914308"/>
            </w:sdtPr>
            <w:sdtEndPr/>
            <w:sdtContent/>
          </w:sdt>
        </w:sdtContent>
      </w:sdt>
    </w:p>
    <w:p w14:paraId="01D05B53" w14:textId="77777777" w:rsidR="001056FA" w:rsidRPr="001056FA" w:rsidRDefault="00F4449A" w:rsidP="001056FA">
      <w:pPr>
        <w:rPr>
          <w:lang w:val="en-US"/>
        </w:rPr>
      </w:pPr>
      <w:sdt>
        <w:sdtPr>
          <w:tag w:val="goog_rdk_8"/>
          <w:id w:val="1638994924"/>
        </w:sdtPr>
        <w:sdtEndPr/>
        <w:sdtContent>
          <w:r w:rsidR="001056FA" w:rsidRPr="001056FA">
            <w:rPr>
              <w:vertAlign w:val="superscript"/>
              <w:lang w:val="en-US"/>
            </w:rPr>
            <w:t>c</w:t>
          </w:r>
        </w:sdtContent>
      </w:sdt>
      <w:r w:rsidR="001056FA" w:rsidRPr="001056FA">
        <w:rPr>
          <w:vertAlign w:val="superscript"/>
          <w:lang w:val="en-US"/>
        </w:rPr>
        <w:t xml:space="preserve"> </w:t>
      </w:r>
      <w:r w:rsidR="001056FA" w:rsidRPr="001056FA">
        <w:rPr>
          <w:lang w:val="en-US"/>
        </w:rPr>
        <w:t xml:space="preserve">CRETUS, Department of Edaphology and Agricultural Chemistry, Faculty of Biology, University of Santiago de Compostela – USC, Rúa Lope Gómez de </w:t>
      </w:r>
      <w:proofErr w:type="spellStart"/>
      <w:r w:rsidR="001056FA" w:rsidRPr="001056FA">
        <w:rPr>
          <w:lang w:val="en-US"/>
        </w:rPr>
        <w:t>Marzoa</w:t>
      </w:r>
      <w:proofErr w:type="spellEnd"/>
      <w:r w:rsidR="001056FA" w:rsidRPr="001056FA">
        <w:rPr>
          <w:lang w:val="en-US"/>
        </w:rPr>
        <w:t>, s/n. Campus sur, 15782, Santiago de Compostela, Spain</w:t>
      </w:r>
    </w:p>
    <w:p w14:paraId="314C3FD1" w14:textId="77777777" w:rsidR="001056FA" w:rsidRPr="001056FA" w:rsidRDefault="00F4449A" w:rsidP="001056FA">
      <w:pPr>
        <w:rPr>
          <w:lang w:val="en-US"/>
        </w:rPr>
      </w:pPr>
      <w:sdt>
        <w:sdtPr>
          <w:tag w:val="goog_rdk_11"/>
          <w:id w:val="974268473"/>
        </w:sdtPr>
        <w:sdtEndPr/>
        <w:sdtContent>
          <w:r w:rsidR="001056FA" w:rsidRPr="001056FA">
            <w:rPr>
              <w:vertAlign w:val="superscript"/>
              <w:lang w:val="en-US"/>
            </w:rPr>
            <w:t>d</w:t>
          </w:r>
        </w:sdtContent>
      </w:sdt>
      <w:r w:rsidR="001056FA" w:rsidRPr="001056FA">
        <w:rPr>
          <w:vertAlign w:val="superscript"/>
          <w:lang w:val="en-US"/>
        </w:rPr>
        <w:t xml:space="preserve"> </w:t>
      </w:r>
      <w:r w:rsidR="001056FA" w:rsidRPr="001056FA">
        <w:rPr>
          <w:lang w:val="en-US"/>
        </w:rPr>
        <w:t>REBUSC Network of Biological Stations of the University of Santiago de Compostela, A Graña Marine Biology Station, Ferrol, Spain</w:t>
      </w:r>
    </w:p>
    <w:p w14:paraId="55390566" w14:textId="77777777" w:rsidR="001056FA" w:rsidRPr="001020A6" w:rsidRDefault="001056FA" w:rsidP="001056FA">
      <w:r w:rsidRPr="001020A6">
        <w:rPr>
          <w:vertAlign w:val="superscript"/>
        </w:rPr>
        <w:t xml:space="preserve">e </w:t>
      </w:r>
      <w:proofErr w:type="spellStart"/>
      <w:r w:rsidRPr="001020A6">
        <w:t>Department</w:t>
      </w:r>
      <w:proofErr w:type="spellEnd"/>
      <w:r w:rsidRPr="001020A6">
        <w:t xml:space="preserve"> </w:t>
      </w:r>
      <w:proofErr w:type="spellStart"/>
      <w:r w:rsidRPr="001020A6">
        <w:t>of</w:t>
      </w:r>
      <w:proofErr w:type="spellEnd"/>
      <w:r w:rsidRPr="001020A6">
        <w:t xml:space="preserve"> </w:t>
      </w:r>
      <w:proofErr w:type="spellStart"/>
      <w:r w:rsidRPr="001020A6">
        <w:t>Oceanography</w:t>
      </w:r>
      <w:proofErr w:type="spellEnd"/>
      <w:r w:rsidRPr="001020A6">
        <w:t xml:space="preserve">, Federal </w:t>
      </w:r>
      <w:proofErr w:type="spellStart"/>
      <w:r w:rsidRPr="001020A6">
        <w:t>University</w:t>
      </w:r>
      <w:proofErr w:type="spellEnd"/>
      <w:r w:rsidRPr="001020A6">
        <w:t xml:space="preserve"> </w:t>
      </w:r>
      <w:proofErr w:type="spellStart"/>
      <w:r w:rsidRPr="001020A6">
        <w:t>of</w:t>
      </w:r>
      <w:proofErr w:type="spellEnd"/>
      <w:r w:rsidRPr="001020A6">
        <w:t xml:space="preserve"> Espírito Santo, Vitória, Espírito Santo, </w:t>
      </w:r>
      <w:proofErr w:type="spellStart"/>
      <w:r w:rsidRPr="001020A6">
        <w:t>Brazil</w:t>
      </w:r>
      <w:proofErr w:type="spellEnd"/>
    </w:p>
    <w:p w14:paraId="07910E0C" w14:textId="77777777" w:rsidR="001056FA" w:rsidRDefault="001056FA" w:rsidP="001056FA">
      <w:pPr>
        <w:pBdr>
          <w:top w:val="nil"/>
          <w:left w:val="nil"/>
          <w:bottom w:val="nil"/>
          <w:right w:val="nil"/>
          <w:between w:val="nil"/>
        </w:pBdr>
        <w:ind w:firstLine="566"/>
        <w:rPr>
          <w:rFonts w:cs="Arial"/>
          <w:color w:val="1F1F1F"/>
          <w:shd w:val="clear" w:color="auto" w:fill="FFFFFF"/>
        </w:rPr>
      </w:pPr>
      <w:r w:rsidRPr="001056FA">
        <w:rPr>
          <w:rFonts w:eastAsia="Times New Roman" w:cs="Times New Roman"/>
          <w:vertAlign w:val="superscript"/>
          <w:lang w:val="en-US"/>
        </w:rPr>
        <w:t>f</w:t>
      </w:r>
      <w:r w:rsidRPr="001056FA">
        <w:rPr>
          <w:rFonts w:eastAsia="Times New Roman" w:cs="Times New Roman"/>
          <w:color w:val="FF0000"/>
          <w:vertAlign w:val="superscript"/>
          <w:lang w:val="en-US"/>
        </w:rPr>
        <w:t xml:space="preserve"> </w:t>
      </w:r>
      <w:bookmarkStart w:id="0" w:name="_Hlk161046566"/>
      <w:r w:rsidRPr="001056FA">
        <w:rPr>
          <w:rFonts w:cs="Arial"/>
          <w:color w:val="1F1F1F"/>
          <w:shd w:val="clear" w:color="auto" w:fill="FFFFFF"/>
          <w:lang w:val="en-US"/>
        </w:rPr>
        <w:t xml:space="preserve">Department of Geography, University of São Paulo, Av. </w:t>
      </w:r>
      <w:r w:rsidRPr="00B668AE">
        <w:rPr>
          <w:rFonts w:cs="Arial"/>
          <w:color w:val="1F1F1F"/>
          <w:shd w:val="clear" w:color="auto" w:fill="FFFFFF"/>
        </w:rPr>
        <w:t xml:space="preserve">Prof. Lineu Prestes, 338, Cidade Universitária, 05508-900, São Paulo, SP, </w:t>
      </w:r>
      <w:proofErr w:type="spellStart"/>
      <w:r w:rsidRPr="00B668AE">
        <w:rPr>
          <w:rFonts w:cs="Arial"/>
          <w:color w:val="1F1F1F"/>
          <w:shd w:val="clear" w:color="auto" w:fill="FFFFFF"/>
        </w:rPr>
        <w:t>Brazil</w:t>
      </w:r>
      <w:bookmarkEnd w:id="0"/>
      <w:proofErr w:type="spellEnd"/>
    </w:p>
    <w:p w14:paraId="62D49CBA" w14:textId="77777777" w:rsidR="001056FA" w:rsidRDefault="001056FA" w:rsidP="001056FA">
      <w:pPr>
        <w:pBdr>
          <w:top w:val="nil"/>
          <w:left w:val="nil"/>
          <w:bottom w:val="nil"/>
          <w:right w:val="nil"/>
          <w:between w:val="nil"/>
        </w:pBdr>
        <w:ind w:firstLine="566"/>
        <w:rPr>
          <w:rFonts w:cs="Arial"/>
          <w:color w:val="1F1F1F"/>
          <w:shd w:val="clear" w:color="auto" w:fill="FFFFFF"/>
        </w:rPr>
      </w:pPr>
      <w:r>
        <w:rPr>
          <w:rFonts w:cs="Arial"/>
          <w:color w:val="1F1F1F"/>
          <w:shd w:val="clear" w:color="auto" w:fill="FFFFFF"/>
          <w:vertAlign w:val="superscript"/>
        </w:rPr>
        <w:t xml:space="preserve">g </w:t>
      </w:r>
      <w:r w:rsidRPr="000F1F48">
        <w:rPr>
          <w:rFonts w:cs="Arial"/>
          <w:color w:val="1F1F1F"/>
          <w:shd w:val="clear" w:color="auto" w:fill="FFFFFF"/>
        </w:rPr>
        <w:t xml:space="preserve">Center for Carbon </w:t>
      </w:r>
      <w:proofErr w:type="spellStart"/>
      <w:r w:rsidRPr="000F1F48">
        <w:rPr>
          <w:rFonts w:cs="Arial"/>
          <w:color w:val="1F1F1F"/>
          <w:shd w:val="clear" w:color="auto" w:fill="FFFFFF"/>
        </w:rPr>
        <w:t>Research</w:t>
      </w:r>
      <w:proofErr w:type="spellEnd"/>
      <w:r w:rsidRPr="000F1F48">
        <w:rPr>
          <w:rFonts w:cs="Arial"/>
          <w:color w:val="1F1F1F"/>
          <w:shd w:val="clear" w:color="auto" w:fill="FFFFFF"/>
        </w:rPr>
        <w:t xml:space="preserve"> in Tropical </w:t>
      </w:r>
      <w:proofErr w:type="spellStart"/>
      <w:r w:rsidRPr="000F1F48">
        <w:rPr>
          <w:rFonts w:cs="Arial"/>
          <w:color w:val="1F1F1F"/>
          <w:shd w:val="clear" w:color="auto" w:fill="FFFFFF"/>
        </w:rPr>
        <w:t>Agriculture</w:t>
      </w:r>
      <w:proofErr w:type="spellEnd"/>
      <w:r w:rsidRPr="000F1F48">
        <w:rPr>
          <w:rFonts w:cs="Arial"/>
          <w:color w:val="1F1F1F"/>
          <w:shd w:val="clear" w:color="auto" w:fill="FFFFFF"/>
        </w:rPr>
        <w:t xml:space="preserve"> (CCARBON) - </w:t>
      </w:r>
      <w:proofErr w:type="spellStart"/>
      <w:r w:rsidRPr="000F1F48">
        <w:rPr>
          <w:rFonts w:cs="Arial"/>
          <w:color w:val="1F1F1F"/>
          <w:shd w:val="clear" w:color="auto" w:fill="FFFFFF"/>
        </w:rPr>
        <w:t>University</w:t>
      </w:r>
      <w:proofErr w:type="spellEnd"/>
      <w:r w:rsidRPr="000F1F48">
        <w:rPr>
          <w:rFonts w:cs="Arial"/>
          <w:color w:val="1F1F1F"/>
          <w:shd w:val="clear" w:color="auto" w:fill="FFFFFF"/>
        </w:rPr>
        <w:t xml:space="preserve"> </w:t>
      </w:r>
      <w:proofErr w:type="spellStart"/>
      <w:r w:rsidRPr="000F1F48">
        <w:rPr>
          <w:rFonts w:cs="Arial"/>
          <w:color w:val="1F1F1F"/>
          <w:shd w:val="clear" w:color="auto" w:fill="FFFFFF"/>
        </w:rPr>
        <w:t>of</w:t>
      </w:r>
      <w:proofErr w:type="spellEnd"/>
      <w:r w:rsidRPr="000F1F48">
        <w:rPr>
          <w:rFonts w:cs="Arial"/>
          <w:color w:val="1F1F1F"/>
          <w:shd w:val="clear" w:color="auto" w:fill="FFFFFF"/>
        </w:rPr>
        <w:t xml:space="preserve"> São Paulo, Piracicaba, São Paulo, </w:t>
      </w:r>
      <w:proofErr w:type="spellStart"/>
      <w:r w:rsidRPr="000F1F48">
        <w:rPr>
          <w:rFonts w:cs="Arial"/>
          <w:color w:val="1F1F1F"/>
          <w:shd w:val="clear" w:color="auto" w:fill="FFFFFF"/>
        </w:rPr>
        <w:t>Brazil</w:t>
      </w:r>
      <w:proofErr w:type="spellEnd"/>
    </w:p>
    <w:p w14:paraId="118D7885" w14:textId="77777777" w:rsidR="001056FA" w:rsidRPr="000F1F48" w:rsidRDefault="001056FA" w:rsidP="001056FA">
      <w:pPr>
        <w:pBdr>
          <w:top w:val="nil"/>
          <w:left w:val="nil"/>
          <w:bottom w:val="nil"/>
          <w:right w:val="nil"/>
          <w:between w:val="nil"/>
        </w:pBdr>
        <w:ind w:firstLine="566"/>
        <w:rPr>
          <w:rFonts w:cs="Arial"/>
          <w:color w:val="1F1F1F"/>
          <w:shd w:val="clear" w:color="auto" w:fill="FFFFFF"/>
        </w:rPr>
      </w:pPr>
    </w:p>
    <w:p w14:paraId="6C57953B" w14:textId="7B553DD6" w:rsidR="00516F03" w:rsidRPr="001056FA" w:rsidRDefault="001056FA" w:rsidP="001056FA">
      <w:r w:rsidRPr="00AF0A25">
        <w:t xml:space="preserve">* </w:t>
      </w:r>
      <w:proofErr w:type="spellStart"/>
      <w:r w:rsidRPr="00AF0A25">
        <w:t>Corresponding</w:t>
      </w:r>
      <w:proofErr w:type="spellEnd"/>
      <w:r w:rsidRPr="00AF0A25">
        <w:t xml:space="preserve"> </w:t>
      </w:r>
      <w:proofErr w:type="spellStart"/>
      <w:r w:rsidRPr="00AF0A25">
        <w:t>authors</w:t>
      </w:r>
      <w:proofErr w:type="spellEnd"/>
      <w:r w:rsidRPr="00AF0A25">
        <w:t xml:space="preserve">: </w:t>
      </w:r>
      <w:hyperlink r:id="rId5" w:history="1">
        <w:r w:rsidRPr="00D429B2">
          <w:rPr>
            <w:rStyle w:val="Hyperlink"/>
          </w:rPr>
          <w:t>francisco.ruiz@usp.br</w:t>
        </w:r>
      </w:hyperlink>
      <w:r>
        <w:t xml:space="preserve">; </w:t>
      </w:r>
      <w:hyperlink r:id="rId6" w:history="1">
        <w:r w:rsidRPr="00D429B2">
          <w:rPr>
            <w:rStyle w:val="Hyperlink"/>
          </w:rPr>
          <w:t>toferreira@usp.br</w:t>
        </w:r>
      </w:hyperlink>
    </w:p>
    <w:p w14:paraId="3BC690C4" w14:textId="3AA879DB" w:rsidR="006A7A82" w:rsidRPr="001056FA" w:rsidRDefault="006A7A82" w:rsidP="00516F03">
      <w:r w:rsidRPr="001056FA">
        <w:br w:type="page"/>
      </w:r>
    </w:p>
    <w:p w14:paraId="25668564" w14:textId="77777777" w:rsidR="00E33DB6" w:rsidRPr="00E33DB6" w:rsidRDefault="00E33DB6" w:rsidP="00EA010B">
      <w:pPr>
        <w:pStyle w:val="Legenda"/>
        <w:keepNext/>
        <w:ind w:firstLine="0"/>
        <w:rPr>
          <w:i w:val="0"/>
          <w:iCs w:val="0"/>
          <w:color w:val="auto"/>
          <w:sz w:val="20"/>
          <w:szCs w:val="20"/>
          <w:lang w:val="en-US"/>
        </w:rPr>
      </w:pPr>
      <w:r w:rsidRPr="00E33DB6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lastRenderedPageBreak/>
        <w:t>Table S1</w:t>
      </w:r>
      <w:r w:rsidRPr="00E33DB6">
        <w:rPr>
          <w:i w:val="0"/>
          <w:iCs w:val="0"/>
          <w:color w:val="auto"/>
          <w:sz w:val="20"/>
          <w:szCs w:val="20"/>
          <w:lang w:val="en-US"/>
        </w:rPr>
        <w:t xml:space="preserve"> Parameters obtained after the sequential wet-chemical experiment using the MAOC fraction of a pristine mangrove.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1671"/>
        <w:gridCol w:w="1133"/>
        <w:gridCol w:w="1175"/>
        <w:gridCol w:w="37"/>
        <w:gridCol w:w="947"/>
        <w:gridCol w:w="37"/>
        <w:gridCol w:w="1165"/>
        <w:gridCol w:w="50"/>
        <w:gridCol w:w="1347"/>
        <w:gridCol w:w="36"/>
      </w:tblGrid>
      <w:tr w:rsidR="00E33DB6" w:rsidRPr="00AF13A4" w14:paraId="03A09DDB" w14:textId="77777777" w:rsidTr="008F7378">
        <w:trPr>
          <w:gridAfter w:val="1"/>
          <w:wAfter w:w="21" w:type="pct"/>
          <w:trHeight w:val="288"/>
        </w:trPr>
        <w:tc>
          <w:tcPr>
            <w:tcW w:w="533" w:type="pct"/>
            <w:tcBorders>
              <w:top w:val="single" w:sz="4" w:space="0" w:color="auto"/>
            </w:tcBorders>
            <w:noWrap/>
            <w:hideMark/>
          </w:tcPr>
          <w:p w14:paraId="691818A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Depth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</w:tcBorders>
            <w:noWrap/>
            <w:hideMark/>
          </w:tcPr>
          <w:p w14:paraId="5C75C76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2D6ECDD9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Fe</w:t>
            </w:r>
          </w:p>
        </w:tc>
        <w:tc>
          <w:tcPr>
            <w:tcW w:w="691" w:type="pct"/>
            <w:tcBorders>
              <w:top w:val="single" w:sz="4" w:space="0" w:color="auto"/>
            </w:tcBorders>
            <w:noWrap/>
            <w:hideMark/>
          </w:tcPr>
          <w:p w14:paraId="0EDBD01B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OC:Fe</w:t>
            </w:r>
            <w:proofErr w:type="spellEnd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579" w:type="pct"/>
            <w:gridSpan w:val="2"/>
            <w:tcBorders>
              <w:top w:val="single" w:sz="4" w:space="0" w:color="auto"/>
            </w:tcBorders>
            <w:noWrap/>
            <w:hideMark/>
          </w:tcPr>
          <w:p w14:paraId="21CB603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ED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</w:tcBorders>
            <w:noWrap/>
            <w:hideMark/>
          </w:tcPr>
          <w:p w14:paraId="123717F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DSC-T</w:t>
            </w:r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</w:tcBorders>
            <w:noWrap/>
            <w:hideMark/>
          </w:tcPr>
          <w:p w14:paraId="669F2D7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CH:COO</w:t>
            </w:r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  <w:vertAlign w:val="superscript"/>
              </w:rPr>
              <w:t>-</w:t>
            </w:r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ratio</w:t>
            </w:r>
            <w:proofErr w:type="spellEnd"/>
          </w:p>
        </w:tc>
      </w:tr>
      <w:tr w:rsidR="00E33DB6" w:rsidRPr="00AF13A4" w14:paraId="646DD77E" w14:textId="77777777" w:rsidTr="008F7378">
        <w:trPr>
          <w:gridAfter w:val="1"/>
          <w:wAfter w:w="21" w:type="pct"/>
          <w:trHeight w:val="288"/>
        </w:trPr>
        <w:tc>
          <w:tcPr>
            <w:tcW w:w="533" w:type="pct"/>
            <w:tcBorders>
              <w:bottom w:val="single" w:sz="4" w:space="0" w:color="auto"/>
            </w:tcBorders>
            <w:noWrap/>
            <w:hideMark/>
          </w:tcPr>
          <w:p w14:paraId="43D489B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cm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noWrap/>
            <w:hideMark/>
          </w:tcPr>
          <w:p w14:paraId="4BB3087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2E57B948" w14:textId="77777777" w:rsidR="00E33DB6" w:rsidRPr="00B0678C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g kg </w:t>
            </w:r>
            <w:r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noWrap/>
            <w:hideMark/>
          </w:tcPr>
          <w:p w14:paraId="766BDE0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mol mol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233117A5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J mgC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707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2D64E6D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ºC</w:t>
            </w:r>
          </w:p>
        </w:tc>
        <w:tc>
          <w:tcPr>
            <w:tcW w:w="821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2F88E0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E33DB6" w:rsidRPr="00AF13A4" w14:paraId="4D2E3837" w14:textId="77777777" w:rsidTr="008F7378">
        <w:trPr>
          <w:trHeight w:val="288"/>
        </w:trPr>
        <w:tc>
          <w:tcPr>
            <w:tcW w:w="533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4F0F00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0-10</w:t>
            </w:r>
          </w:p>
        </w:tc>
        <w:tc>
          <w:tcPr>
            <w:tcW w:w="982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348AD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extraction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C03015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01496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69E1F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0E89A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329.8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C301F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1.7</w:t>
            </w:r>
          </w:p>
        </w:tc>
      </w:tr>
      <w:tr w:rsidR="00E33DB6" w:rsidRPr="00AF13A4" w14:paraId="78184EC6" w14:textId="77777777" w:rsidTr="008F7378">
        <w:trPr>
          <w:trHeight w:val="288"/>
        </w:trPr>
        <w:tc>
          <w:tcPr>
            <w:tcW w:w="533" w:type="pct"/>
            <w:vMerge/>
            <w:noWrap/>
            <w:vAlign w:val="center"/>
            <w:hideMark/>
          </w:tcPr>
          <w:p w14:paraId="012F82A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noWrap/>
            <w:hideMark/>
          </w:tcPr>
          <w:p w14:paraId="16B31C8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cit</w:t>
            </w:r>
            <w:proofErr w:type="spellEnd"/>
          </w:p>
        </w:tc>
        <w:tc>
          <w:tcPr>
            <w:tcW w:w="666" w:type="pct"/>
          </w:tcPr>
          <w:p w14:paraId="7059355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4.3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713" w:type="pct"/>
            <w:gridSpan w:val="2"/>
            <w:noWrap/>
            <w:hideMark/>
          </w:tcPr>
          <w:p w14:paraId="295F2919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579" w:type="pct"/>
            <w:gridSpan w:val="2"/>
            <w:noWrap/>
            <w:hideMark/>
          </w:tcPr>
          <w:p w14:paraId="42B87D06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14" w:type="pct"/>
            <w:gridSpan w:val="2"/>
            <w:noWrap/>
            <w:hideMark/>
          </w:tcPr>
          <w:p w14:paraId="3AA119F5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343.6</w:t>
            </w:r>
          </w:p>
        </w:tc>
        <w:tc>
          <w:tcPr>
            <w:tcW w:w="813" w:type="pct"/>
            <w:gridSpan w:val="2"/>
            <w:noWrap/>
            <w:hideMark/>
          </w:tcPr>
          <w:p w14:paraId="516DB07B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2.5</w:t>
            </w:r>
          </w:p>
        </w:tc>
      </w:tr>
      <w:tr w:rsidR="00E33DB6" w:rsidRPr="00AF13A4" w14:paraId="0468BAD0" w14:textId="77777777" w:rsidTr="008F7378">
        <w:trPr>
          <w:trHeight w:val="288"/>
        </w:trPr>
        <w:tc>
          <w:tcPr>
            <w:tcW w:w="533" w:type="pct"/>
            <w:vMerge/>
            <w:noWrap/>
            <w:vAlign w:val="center"/>
            <w:hideMark/>
          </w:tcPr>
          <w:p w14:paraId="5792F7F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noWrap/>
            <w:hideMark/>
          </w:tcPr>
          <w:p w14:paraId="3C3EB5B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asc</w:t>
            </w:r>
            <w:proofErr w:type="spellEnd"/>
          </w:p>
        </w:tc>
        <w:tc>
          <w:tcPr>
            <w:tcW w:w="666" w:type="pct"/>
          </w:tcPr>
          <w:p w14:paraId="4CCCF24F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1.1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0.02</w:t>
            </w:r>
          </w:p>
        </w:tc>
        <w:tc>
          <w:tcPr>
            <w:tcW w:w="713" w:type="pct"/>
            <w:gridSpan w:val="2"/>
            <w:noWrap/>
            <w:hideMark/>
          </w:tcPr>
          <w:p w14:paraId="6D78A494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12.5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9" w:type="pct"/>
            <w:gridSpan w:val="2"/>
            <w:noWrap/>
            <w:hideMark/>
          </w:tcPr>
          <w:p w14:paraId="484EA07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714" w:type="pct"/>
            <w:gridSpan w:val="2"/>
            <w:noWrap/>
            <w:hideMark/>
          </w:tcPr>
          <w:p w14:paraId="0B6F3294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352.3</w:t>
            </w:r>
          </w:p>
        </w:tc>
        <w:tc>
          <w:tcPr>
            <w:tcW w:w="813" w:type="pct"/>
            <w:gridSpan w:val="2"/>
            <w:noWrap/>
            <w:hideMark/>
          </w:tcPr>
          <w:p w14:paraId="43F40B7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4.0</w:t>
            </w:r>
          </w:p>
        </w:tc>
      </w:tr>
      <w:tr w:rsidR="00E33DB6" w:rsidRPr="00AF13A4" w14:paraId="66B20760" w14:textId="77777777" w:rsidTr="008F7378">
        <w:trPr>
          <w:trHeight w:val="288"/>
        </w:trPr>
        <w:tc>
          <w:tcPr>
            <w:tcW w:w="53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0D3643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noWrap/>
            <w:hideMark/>
          </w:tcPr>
          <w:p w14:paraId="08B8D46C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cbd</w:t>
            </w:r>
            <w:proofErr w:type="spellEnd"/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35B9F46C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1.2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0.08</w:t>
            </w:r>
          </w:p>
        </w:tc>
        <w:tc>
          <w:tcPr>
            <w:tcW w:w="71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9E2AE2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4.7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483EC1C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2A9C424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347.9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47A6D7CF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3.0</w:t>
            </w:r>
          </w:p>
        </w:tc>
      </w:tr>
      <w:tr w:rsidR="00E33DB6" w:rsidRPr="00AF13A4" w14:paraId="43061C99" w14:textId="77777777" w:rsidTr="008F7378">
        <w:trPr>
          <w:trHeight w:val="288"/>
        </w:trPr>
        <w:tc>
          <w:tcPr>
            <w:tcW w:w="533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6D1CC49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982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96E14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extraction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4CB1E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51368B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A64D9B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FC2EB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330.8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99029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1.7</w:t>
            </w:r>
          </w:p>
        </w:tc>
      </w:tr>
      <w:tr w:rsidR="00E33DB6" w:rsidRPr="00AF13A4" w14:paraId="7DAC9FEF" w14:textId="77777777" w:rsidTr="008F7378">
        <w:trPr>
          <w:trHeight w:val="288"/>
        </w:trPr>
        <w:tc>
          <w:tcPr>
            <w:tcW w:w="533" w:type="pct"/>
            <w:vMerge/>
            <w:noWrap/>
            <w:vAlign w:val="center"/>
            <w:hideMark/>
          </w:tcPr>
          <w:p w14:paraId="5C83F21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noWrap/>
            <w:hideMark/>
          </w:tcPr>
          <w:p w14:paraId="4CEAA13D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cit</w:t>
            </w:r>
            <w:proofErr w:type="spellEnd"/>
          </w:p>
        </w:tc>
        <w:tc>
          <w:tcPr>
            <w:tcW w:w="666" w:type="pct"/>
          </w:tcPr>
          <w:p w14:paraId="60386EEF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5.1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713" w:type="pct"/>
            <w:gridSpan w:val="2"/>
            <w:noWrap/>
            <w:hideMark/>
          </w:tcPr>
          <w:p w14:paraId="7004B57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79" w:type="pct"/>
            <w:gridSpan w:val="2"/>
            <w:noWrap/>
            <w:hideMark/>
          </w:tcPr>
          <w:p w14:paraId="7FB38779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14" w:type="pct"/>
            <w:gridSpan w:val="2"/>
            <w:noWrap/>
            <w:hideMark/>
          </w:tcPr>
          <w:p w14:paraId="256131F5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344.5</w:t>
            </w:r>
          </w:p>
        </w:tc>
        <w:tc>
          <w:tcPr>
            <w:tcW w:w="813" w:type="pct"/>
            <w:gridSpan w:val="2"/>
            <w:noWrap/>
            <w:hideMark/>
          </w:tcPr>
          <w:p w14:paraId="1CC6475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3.6</w:t>
            </w:r>
          </w:p>
        </w:tc>
      </w:tr>
      <w:tr w:rsidR="00E33DB6" w:rsidRPr="00AF13A4" w14:paraId="7A7B88AC" w14:textId="77777777" w:rsidTr="008F7378">
        <w:trPr>
          <w:trHeight w:val="288"/>
        </w:trPr>
        <w:tc>
          <w:tcPr>
            <w:tcW w:w="533" w:type="pct"/>
            <w:vMerge/>
            <w:noWrap/>
            <w:vAlign w:val="center"/>
            <w:hideMark/>
          </w:tcPr>
          <w:p w14:paraId="62809C44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noWrap/>
            <w:hideMark/>
          </w:tcPr>
          <w:p w14:paraId="7AF7D41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asc</w:t>
            </w:r>
            <w:proofErr w:type="spellEnd"/>
          </w:p>
        </w:tc>
        <w:tc>
          <w:tcPr>
            <w:tcW w:w="666" w:type="pct"/>
          </w:tcPr>
          <w:p w14:paraId="108F513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1.4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0.03</w:t>
            </w:r>
          </w:p>
        </w:tc>
        <w:tc>
          <w:tcPr>
            <w:tcW w:w="713" w:type="pct"/>
            <w:gridSpan w:val="2"/>
            <w:noWrap/>
            <w:hideMark/>
          </w:tcPr>
          <w:p w14:paraId="652B77E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13.4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79" w:type="pct"/>
            <w:gridSpan w:val="2"/>
            <w:noWrap/>
            <w:hideMark/>
          </w:tcPr>
          <w:p w14:paraId="4FA4D434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14" w:type="pct"/>
            <w:gridSpan w:val="2"/>
            <w:noWrap/>
            <w:hideMark/>
          </w:tcPr>
          <w:p w14:paraId="016DBA9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352.5</w:t>
            </w:r>
          </w:p>
        </w:tc>
        <w:tc>
          <w:tcPr>
            <w:tcW w:w="813" w:type="pct"/>
            <w:gridSpan w:val="2"/>
            <w:noWrap/>
            <w:hideMark/>
          </w:tcPr>
          <w:p w14:paraId="699B00D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5.3</w:t>
            </w:r>
          </w:p>
        </w:tc>
      </w:tr>
      <w:tr w:rsidR="00E33DB6" w:rsidRPr="00AF13A4" w14:paraId="77651C4A" w14:textId="77777777" w:rsidTr="008F7378">
        <w:trPr>
          <w:trHeight w:val="288"/>
        </w:trPr>
        <w:tc>
          <w:tcPr>
            <w:tcW w:w="53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0373AF9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noWrap/>
            <w:hideMark/>
          </w:tcPr>
          <w:p w14:paraId="11DE527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cbd</w:t>
            </w:r>
            <w:proofErr w:type="spellEnd"/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190EDB14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0.5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0.05</w:t>
            </w:r>
          </w:p>
        </w:tc>
        <w:tc>
          <w:tcPr>
            <w:tcW w:w="71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69F7500D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4.6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4FC6EEF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DCB722C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340.0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20E7CB0B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2.8</w:t>
            </w:r>
          </w:p>
        </w:tc>
      </w:tr>
      <w:tr w:rsidR="00E33DB6" w:rsidRPr="00AF13A4" w14:paraId="18530B46" w14:textId="77777777" w:rsidTr="008F7378">
        <w:trPr>
          <w:trHeight w:val="288"/>
        </w:trPr>
        <w:tc>
          <w:tcPr>
            <w:tcW w:w="533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CFB450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982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94316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extraction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37184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AA2A1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1C875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812B8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337.6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6F13B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1.7</w:t>
            </w:r>
          </w:p>
        </w:tc>
      </w:tr>
      <w:tr w:rsidR="00E33DB6" w:rsidRPr="00AF13A4" w14:paraId="0C03A99A" w14:textId="77777777" w:rsidTr="008F7378">
        <w:trPr>
          <w:trHeight w:val="288"/>
        </w:trPr>
        <w:tc>
          <w:tcPr>
            <w:tcW w:w="533" w:type="pct"/>
            <w:vMerge/>
            <w:noWrap/>
            <w:hideMark/>
          </w:tcPr>
          <w:p w14:paraId="44E44915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noWrap/>
            <w:hideMark/>
          </w:tcPr>
          <w:p w14:paraId="04D47D81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cit</w:t>
            </w:r>
            <w:proofErr w:type="spellEnd"/>
          </w:p>
        </w:tc>
        <w:tc>
          <w:tcPr>
            <w:tcW w:w="666" w:type="pct"/>
          </w:tcPr>
          <w:p w14:paraId="66DF6D4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3.8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0.04</w:t>
            </w:r>
          </w:p>
        </w:tc>
        <w:tc>
          <w:tcPr>
            <w:tcW w:w="713" w:type="pct"/>
            <w:gridSpan w:val="2"/>
            <w:noWrap/>
            <w:hideMark/>
          </w:tcPr>
          <w:p w14:paraId="2470AF4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2.9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579" w:type="pct"/>
            <w:gridSpan w:val="2"/>
            <w:noWrap/>
            <w:hideMark/>
          </w:tcPr>
          <w:p w14:paraId="12006F1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14" w:type="pct"/>
            <w:gridSpan w:val="2"/>
            <w:noWrap/>
            <w:hideMark/>
          </w:tcPr>
          <w:p w14:paraId="35B27F5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348.8</w:t>
            </w:r>
          </w:p>
        </w:tc>
        <w:tc>
          <w:tcPr>
            <w:tcW w:w="813" w:type="pct"/>
            <w:gridSpan w:val="2"/>
            <w:noWrap/>
            <w:hideMark/>
          </w:tcPr>
          <w:p w14:paraId="1BCC69CD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3.2</w:t>
            </w:r>
          </w:p>
        </w:tc>
      </w:tr>
      <w:tr w:rsidR="00E33DB6" w:rsidRPr="00AF13A4" w14:paraId="1F7448BD" w14:textId="77777777" w:rsidTr="008F7378">
        <w:trPr>
          <w:trHeight w:val="288"/>
        </w:trPr>
        <w:tc>
          <w:tcPr>
            <w:tcW w:w="533" w:type="pct"/>
            <w:vMerge/>
            <w:noWrap/>
            <w:hideMark/>
          </w:tcPr>
          <w:p w14:paraId="038E416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noWrap/>
            <w:hideMark/>
          </w:tcPr>
          <w:p w14:paraId="036FD8B3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asc</w:t>
            </w:r>
            <w:proofErr w:type="spellEnd"/>
          </w:p>
        </w:tc>
        <w:tc>
          <w:tcPr>
            <w:tcW w:w="666" w:type="pct"/>
          </w:tcPr>
          <w:p w14:paraId="74D8FB0E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0.6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0.01</w:t>
            </w:r>
          </w:p>
        </w:tc>
        <w:tc>
          <w:tcPr>
            <w:tcW w:w="713" w:type="pct"/>
            <w:gridSpan w:val="2"/>
            <w:noWrap/>
            <w:hideMark/>
          </w:tcPr>
          <w:p w14:paraId="4324327C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579" w:type="pct"/>
            <w:gridSpan w:val="2"/>
            <w:noWrap/>
            <w:hideMark/>
          </w:tcPr>
          <w:p w14:paraId="5EB19630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14" w:type="pct"/>
            <w:gridSpan w:val="2"/>
            <w:noWrap/>
            <w:hideMark/>
          </w:tcPr>
          <w:p w14:paraId="5DDB92C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354.1</w:t>
            </w:r>
          </w:p>
        </w:tc>
        <w:tc>
          <w:tcPr>
            <w:tcW w:w="813" w:type="pct"/>
            <w:gridSpan w:val="2"/>
            <w:noWrap/>
            <w:hideMark/>
          </w:tcPr>
          <w:p w14:paraId="4B9B4A0A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4.5</w:t>
            </w:r>
          </w:p>
        </w:tc>
      </w:tr>
      <w:tr w:rsidR="00E33DB6" w:rsidRPr="00AF13A4" w14:paraId="749E25BC" w14:textId="77777777" w:rsidTr="008F7378">
        <w:trPr>
          <w:trHeight w:val="288"/>
        </w:trPr>
        <w:tc>
          <w:tcPr>
            <w:tcW w:w="533" w:type="pct"/>
            <w:vMerge/>
            <w:tcBorders>
              <w:bottom w:val="single" w:sz="4" w:space="0" w:color="auto"/>
            </w:tcBorders>
            <w:noWrap/>
            <w:hideMark/>
          </w:tcPr>
          <w:p w14:paraId="4B172BBD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noWrap/>
            <w:hideMark/>
          </w:tcPr>
          <w:p w14:paraId="52F5CA86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proofErr w:type="spellStart"/>
            <w:r w:rsidRPr="00AF13A4">
              <w:rPr>
                <w:rFonts w:ascii="Abadi" w:eastAsia="Times New Roman" w:hAnsi="Abadi" w:cs="Calibri"/>
                <w:color w:val="000000"/>
                <w:sz w:val="20"/>
                <w:szCs w:val="20"/>
              </w:rPr>
              <w:t>cbd</w:t>
            </w:r>
            <w:proofErr w:type="spellEnd"/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3A6760DB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2.0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0.2</w:t>
            </w:r>
          </w:p>
        </w:tc>
        <w:tc>
          <w:tcPr>
            <w:tcW w:w="71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2AFB73CC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B962278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9B50267" w14:textId="77777777" w:rsidR="00E33DB6" w:rsidRPr="00AF13A4" w:rsidRDefault="00E33DB6" w:rsidP="008F7378">
            <w:pPr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338.2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5029F4B8" w14:textId="77777777" w:rsidR="00E33DB6" w:rsidRPr="00AF13A4" w:rsidRDefault="00E33DB6" w:rsidP="008F7378">
            <w:pPr>
              <w:keepNext/>
              <w:spacing w:line="240" w:lineRule="auto"/>
              <w:ind w:firstLine="0"/>
              <w:contextualSpacing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F13A4">
              <w:rPr>
                <w:rFonts w:eastAsia="Times New Roman" w:cs="Calibri"/>
                <w:color w:val="000000"/>
                <w:sz w:val="20"/>
                <w:szCs w:val="20"/>
              </w:rPr>
              <w:t>1.1</w:t>
            </w:r>
          </w:p>
        </w:tc>
      </w:tr>
    </w:tbl>
    <w:p w14:paraId="721A96E7" w14:textId="77777777" w:rsidR="00E33DB6" w:rsidRPr="00E33DB6" w:rsidRDefault="00E33DB6" w:rsidP="00E33DB6">
      <w:pPr>
        <w:pStyle w:val="Legenda"/>
        <w:rPr>
          <w:i w:val="0"/>
          <w:iCs w:val="0"/>
          <w:color w:val="auto"/>
          <w:sz w:val="20"/>
          <w:szCs w:val="20"/>
          <w:lang w:val="en-US"/>
        </w:rPr>
      </w:pPr>
      <w:r w:rsidRPr="00E33DB6">
        <w:rPr>
          <w:i w:val="0"/>
          <w:iCs w:val="0"/>
          <w:color w:val="auto"/>
          <w:sz w:val="20"/>
          <w:szCs w:val="20"/>
          <w:lang w:val="en-US"/>
        </w:rPr>
        <w:t xml:space="preserve">ED: Energy density; DSC-T50: the temperature at which half of the exothermic energy is released; </w:t>
      </w:r>
      <w:proofErr w:type="spellStart"/>
      <w:r w:rsidRPr="00E33DB6">
        <w:rPr>
          <w:i w:val="0"/>
          <w:iCs w:val="0"/>
          <w:color w:val="auto"/>
          <w:sz w:val="20"/>
          <w:szCs w:val="20"/>
          <w:lang w:val="en-US"/>
        </w:rPr>
        <w:t>cit</w:t>
      </w:r>
      <w:proofErr w:type="spellEnd"/>
      <w:r w:rsidRPr="00E33DB6">
        <w:rPr>
          <w:i w:val="0"/>
          <w:iCs w:val="0"/>
          <w:color w:val="auto"/>
          <w:sz w:val="20"/>
          <w:szCs w:val="20"/>
          <w:lang w:val="en-US"/>
        </w:rPr>
        <w:t xml:space="preserve">: Na-citrate pH 6; </w:t>
      </w:r>
      <w:proofErr w:type="spellStart"/>
      <w:r w:rsidRPr="00E33DB6">
        <w:rPr>
          <w:i w:val="0"/>
          <w:iCs w:val="0"/>
          <w:color w:val="auto"/>
          <w:sz w:val="20"/>
          <w:szCs w:val="20"/>
          <w:lang w:val="en-US"/>
        </w:rPr>
        <w:t>asc</w:t>
      </w:r>
      <w:proofErr w:type="spellEnd"/>
      <w:r w:rsidRPr="00E33DB6">
        <w:rPr>
          <w:i w:val="0"/>
          <w:iCs w:val="0"/>
          <w:color w:val="auto"/>
          <w:sz w:val="20"/>
          <w:szCs w:val="20"/>
          <w:lang w:val="en-US"/>
        </w:rPr>
        <w:t xml:space="preserve">: Citrate-ascorbate pH 6; </w:t>
      </w:r>
      <w:proofErr w:type="spellStart"/>
      <w:r w:rsidRPr="00E33DB6">
        <w:rPr>
          <w:i w:val="0"/>
          <w:iCs w:val="0"/>
          <w:color w:val="auto"/>
          <w:sz w:val="20"/>
          <w:szCs w:val="20"/>
          <w:lang w:val="en-US"/>
        </w:rPr>
        <w:t>cbd</w:t>
      </w:r>
      <w:proofErr w:type="spellEnd"/>
      <w:r w:rsidRPr="00E33DB6">
        <w:rPr>
          <w:i w:val="0"/>
          <w:iCs w:val="0"/>
          <w:color w:val="auto"/>
          <w:sz w:val="20"/>
          <w:szCs w:val="20"/>
          <w:lang w:val="en-US"/>
        </w:rPr>
        <w:t xml:space="preserve">: citrate bicarbonate dithionite. </w:t>
      </w:r>
    </w:p>
    <w:p w14:paraId="7EBFF6A8" w14:textId="77777777" w:rsidR="00E33DB6" w:rsidRPr="00516F03" w:rsidRDefault="00E33DB6" w:rsidP="00516F03">
      <w:pPr>
        <w:rPr>
          <w:lang w:val="en-US"/>
        </w:rPr>
      </w:pPr>
    </w:p>
    <w:p w14:paraId="67826536" w14:textId="77777777" w:rsidR="00421A17" w:rsidRDefault="00627215" w:rsidP="00421A17">
      <w:pPr>
        <w:keepNext/>
        <w:spacing w:after="160"/>
        <w:ind w:firstLine="0"/>
        <w:contextualSpacing w:val="0"/>
      </w:pPr>
      <w:r>
        <w:rPr>
          <w:noProof/>
        </w:rPr>
        <w:drawing>
          <wp:inline distT="0" distB="0" distL="0" distR="0" wp14:anchorId="7D68E149" wp14:editId="0B428BE1">
            <wp:extent cx="5396230" cy="4045585"/>
            <wp:effectExtent l="0" t="0" r="0" b="0"/>
            <wp:docPr id="476887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1BEC8" w14:textId="0BF1DB2E" w:rsidR="00421A17" w:rsidRPr="00671D51" w:rsidRDefault="00421A17" w:rsidP="00664028">
      <w:pPr>
        <w:pStyle w:val="Legenda"/>
        <w:ind w:firstLine="0"/>
        <w:rPr>
          <w:i w:val="0"/>
          <w:iCs w:val="0"/>
          <w:color w:val="auto"/>
          <w:sz w:val="20"/>
          <w:szCs w:val="20"/>
          <w:lang w:val="en-US"/>
        </w:rPr>
      </w:pPr>
      <w:r w:rsidRPr="00671D51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>Fig S1.</w:t>
      </w:r>
      <w:r w:rsidRPr="00671D51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AC79EB">
        <w:rPr>
          <w:i w:val="0"/>
          <w:iCs w:val="0"/>
          <w:color w:val="auto"/>
          <w:sz w:val="20"/>
          <w:szCs w:val="20"/>
          <w:lang w:val="en-US"/>
        </w:rPr>
        <w:t xml:space="preserve">Illustration of the </w:t>
      </w:r>
      <w:r w:rsidR="00AC79EB" w:rsidRPr="00AC79EB">
        <w:rPr>
          <w:i w:val="0"/>
          <w:iCs w:val="0"/>
          <w:color w:val="auto"/>
          <w:sz w:val="20"/>
          <w:szCs w:val="20"/>
          <w:lang w:val="en-US"/>
        </w:rPr>
        <w:t xml:space="preserve">experimental scheme involving wet-chemical extractions. Subsamples from the MAOC fraction </w:t>
      </w:r>
      <w:r w:rsidR="00ED0E2A">
        <w:rPr>
          <w:i w:val="0"/>
          <w:iCs w:val="0"/>
          <w:color w:val="auto"/>
          <w:sz w:val="20"/>
          <w:szCs w:val="20"/>
          <w:lang w:val="en-US"/>
        </w:rPr>
        <w:t>of a pristine mangrove</w:t>
      </w:r>
      <w:r w:rsidR="00285E94">
        <w:rPr>
          <w:i w:val="0"/>
          <w:iCs w:val="0"/>
          <w:color w:val="auto"/>
          <w:sz w:val="20"/>
          <w:szCs w:val="20"/>
          <w:lang w:val="en-US"/>
        </w:rPr>
        <w:t>,</w:t>
      </w:r>
      <w:r w:rsidR="00ED0E2A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285E94">
        <w:rPr>
          <w:i w:val="0"/>
          <w:iCs w:val="0"/>
          <w:color w:val="auto"/>
          <w:sz w:val="20"/>
          <w:szCs w:val="20"/>
          <w:lang w:val="en-US"/>
        </w:rPr>
        <w:t xml:space="preserve">at depths of 0-10, 40-50 and 80-100 cm, </w:t>
      </w:r>
      <w:r w:rsidR="001A19B3">
        <w:rPr>
          <w:i w:val="0"/>
          <w:iCs w:val="0"/>
          <w:color w:val="auto"/>
          <w:sz w:val="20"/>
          <w:szCs w:val="20"/>
          <w:lang w:val="en-US"/>
        </w:rPr>
        <w:t xml:space="preserve">in duplicate, </w:t>
      </w:r>
      <w:r w:rsidR="00AC79EB" w:rsidRPr="00AC79EB">
        <w:rPr>
          <w:i w:val="0"/>
          <w:iCs w:val="0"/>
          <w:color w:val="auto"/>
          <w:sz w:val="20"/>
          <w:szCs w:val="20"/>
          <w:lang w:val="en-US"/>
        </w:rPr>
        <w:t>underwent distinct sequences of chemical extractions. Following these chemical treatments, the subsamples were then analyzed for Total Organic Carbon (TOC), as well as through infrared and thermal analysis.</w:t>
      </w:r>
    </w:p>
    <w:p w14:paraId="52DF7ADB" w14:textId="5617BB89" w:rsidR="00B15C05" w:rsidRPr="00421A17" w:rsidRDefault="00B15C05">
      <w:pPr>
        <w:spacing w:after="160"/>
        <w:ind w:firstLine="0"/>
        <w:contextualSpacing w:val="0"/>
        <w:rPr>
          <w:noProof/>
          <w:lang w:val="en-US"/>
        </w:rPr>
      </w:pPr>
      <w:r w:rsidRPr="00421A17">
        <w:rPr>
          <w:noProof/>
          <w:lang w:val="en-US"/>
        </w:rPr>
        <w:br w:type="page"/>
      </w:r>
    </w:p>
    <w:p w14:paraId="20C27365" w14:textId="7DAC62D9" w:rsidR="005F6B2C" w:rsidRPr="009E14C3" w:rsidRDefault="005F6B2C" w:rsidP="0099435D">
      <w:pPr>
        <w:pStyle w:val="Legenda"/>
        <w:ind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0D9AA7E" wp14:editId="1049D062">
            <wp:extent cx="4605866" cy="3519996"/>
            <wp:effectExtent l="0" t="0" r="4445" b="4445"/>
            <wp:docPr id="1079106590" name="Imagem 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06590" name="Imagem 5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43" cy="35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9E71" w14:textId="77777777" w:rsidR="00474761" w:rsidRDefault="00474761" w:rsidP="005F6B2C">
      <w:pPr>
        <w:pStyle w:val="Legenda"/>
        <w:rPr>
          <w:rFonts w:ascii="Abadi" w:hAnsi="Abadi"/>
          <w:i w:val="0"/>
          <w:iCs w:val="0"/>
          <w:color w:val="auto"/>
          <w:sz w:val="20"/>
          <w:szCs w:val="20"/>
          <w:lang w:val="en-US"/>
        </w:rPr>
      </w:pPr>
    </w:p>
    <w:p w14:paraId="5ED19BE4" w14:textId="5BDF5178" w:rsidR="005F6B2C" w:rsidRDefault="005F6B2C" w:rsidP="005F6B2C">
      <w:pPr>
        <w:pStyle w:val="Legenda"/>
        <w:rPr>
          <w:i w:val="0"/>
          <w:iCs w:val="0"/>
          <w:color w:val="auto"/>
          <w:sz w:val="20"/>
          <w:szCs w:val="20"/>
          <w:lang w:val="en-US"/>
        </w:rPr>
      </w:pPr>
      <w:r w:rsidRPr="00FE054E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>Fig</w:t>
      </w:r>
      <w:r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 xml:space="preserve"> S</w:t>
      </w:r>
      <w:r w:rsidR="003336DF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>2</w:t>
      </w:r>
      <w:r w:rsidRPr="00FE054E">
        <w:rPr>
          <w:i w:val="0"/>
          <w:iCs w:val="0"/>
          <w:color w:val="auto"/>
          <w:sz w:val="20"/>
          <w:szCs w:val="20"/>
          <w:lang w:val="en-US"/>
        </w:rPr>
        <w:t xml:space="preserve"> PCA biplot showing the relationship among </w:t>
      </w:r>
      <w:r>
        <w:rPr>
          <w:i w:val="0"/>
          <w:iCs w:val="0"/>
          <w:color w:val="auto"/>
          <w:sz w:val="20"/>
          <w:szCs w:val="20"/>
          <w:lang w:val="en-US"/>
        </w:rPr>
        <w:t>FTIR and TG-DSC parameters of pristine mangrove samples after the sequential wet-chemical extractions</w:t>
      </w:r>
      <w:r w:rsidRPr="00FE054E">
        <w:rPr>
          <w:i w:val="0"/>
          <w:iCs w:val="0"/>
          <w:color w:val="auto"/>
          <w:sz w:val="20"/>
          <w:szCs w:val="20"/>
          <w:lang w:val="en-US"/>
        </w:rPr>
        <w:t>.</w:t>
      </w:r>
      <w:r w:rsidR="00933B67">
        <w:rPr>
          <w:i w:val="0"/>
          <w:iCs w:val="0"/>
          <w:color w:val="auto"/>
          <w:sz w:val="20"/>
          <w:szCs w:val="20"/>
          <w:lang w:val="en-US"/>
        </w:rPr>
        <w:t xml:space="preserve"> </w:t>
      </w:r>
    </w:p>
    <w:p w14:paraId="22037B0A" w14:textId="77777777" w:rsidR="00AC4957" w:rsidRDefault="00D22F96" w:rsidP="00AC4957">
      <w:pPr>
        <w:pStyle w:val="Legenda"/>
        <w:jc w:val="center"/>
        <w:rPr>
          <w:rFonts w:ascii="Abadi" w:hAnsi="Abadi"/>
          <w:i w:val="0"/>
          <w:iCs w:val="0"/>
          <w:color w:val="auto"/>
          <w:sz w:val="20"/>
          <w:szCs w:val="2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BA5629D" wp14:editId="3548C296">
            <wp:extent cx="3349503" cy="8115300"/>
            <wp:effectExtent l="0" t="0" r="3810" b="0"/>
            <wp:docPr id="2113957188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57188" name="Imagem 1" descr="Diagram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602" cy="812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57" w:rsidRPr="00AC4957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 xml:space="preserve"> </w:t>
      </w:r>
    </w:p>
    <w:p w14:paraId="6877B39E" w14:textId="7D343E67" w:rsidR="00AC4957" w:rsidRPr="003E2468" w:rsidRDefault="00AC4957" w:rsidP="00AC4957">
      <w:pPr>
        <w:pStyle w:val="Legenda"/>
        <w:jc w:val="center"/>
        <w:rPr>
          <w:i w:val="0"/>
          <w:iCs w:val="0"/>
          <w:color w:val="auto"/>
          <w:sz w:val="20"/>
          <w:szCs w:val="20"/>
          <w:lang w:val="en-US"/>
        </w:rPr>
      </w:pPr>
      <w:proofErr w:type="gramStart"/>
      <w:r w:rsidRPr="003E2468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>Fig .S</w:t>
      </w:r>
      <w:proofErr w:type="gramEnd"/>
      <w:r w:rsidR="003336DF">
        <w:rPr>
          <w:rFonts w:ascii="Abadi" w:hAnsi="Abadi"/>
          <w:i w:val="0"/>
          <w:iCs w:val="0"/>
          <w:color w:val="auto"/>
          <w:sz w:val="20"/>
          <w:szCs w:val="20"/>
          <w:lang w:val="en-US"/>
        </w:rPr>
        <w:t>3</w:t>
      </w:r>
      <w:r w:rsidRPr="003E2468">
        <w:rPr>
          <w:i w:val="0"/>
          <w:iCs w:val="0"/>
          <w:color w:val="auto"/>
          <w:sz w:val="20"/>
          <w:szCs w:val="20"/>
          <w:lang w:val="en-US"/>
        </w:rPr>
        <w:t xml:space="preserve"> FTIR spectra obtained from the MAOC of the studied soils. Peaks at 3695, 3648, 3620, 1100, 1030, 1008 and 912 cm</w:t>
      </w:r>
      <w:r w:rsidRPr="003E2468">
        <w:rPr>
          <w:i w:val="0"/>
          <w:iCs w:val="0"/>
          <w:color w:val="auto"/>
          <w:sz w:val="20"/>
          <w:szCs w:val="20"/>
          <w:vertAlign w:val="superscript"/>
          <w:lang w:val="en-US"/>
        </w:rPr>
        <w:t>-1</w:t>
      </w:r>
      <w:r w:rsidRPr="003E2468">
        <w:rPr>
          <w:i w:val="0"/>
          <w:iCs w:val="0"/>
          <w:color w:val="auto"/>
          <w:sz w:val="20"/>
          <w:szCs w:val="20"/>
          <w:lang w:val="en-US"/>
        </w:rPr>
        <w:t xml:space="preserve"> are typical of kaolinite </w:t>
      </w:r>
      <w:sdt>
        <w:sdtPr>
          <w:rPr>
            <w:i w:val="0"/>
            <w:iCs w:val="0"/>
            <w:color w:val="000000"/>
            <w:sz w:val="20"/>
            <w:szCs w:val="20"/>
            <w:lang w:val="en-US"/>
          </w:rPr>
          <w:tag w:val="MENDELEY_CITATION_v3_eyJjaXRhdGlvbklEIjoiTUVOREVMRVlfQ0lUQVRJT05fOGE4MjY2OTEtNGVjMy00YjVmLTk3MDEtOWMwMTVjOTUxMjEzIiwicHJvcGVydGllcyI6eyJub3RlSW5kZXgiOjB9LCJpc0VkaXRlZCI6ZmFsc2UsIm1hbnVhbE92ZXJyaWRlIjp7ImlzTWFudWFsbHlPdmVycmlkZGVuIjpmYWxzZSwiY2l0ZXByb2NUZXh0IjoiKENodWthbm92LCAyMDEzKSIsIm1hbnVhbE92ZXJyaWRlVGV4dCI6IiJ9LCJjaXRhdGlvbkl0ZW1zIjpbeyJpZCI6ImQ5OGE3YWExLTgyMmEtMzY4Mi04OGI0LTJiNTdkM2U5NDJmZiIsIml0ZW1EYXRhIjp7InR5cGUiOiJib29rIiwiaWQiOiJkOThhN2FhMS04MjJhLTM2ODItODhiNC0yYjU3ZDNlOTQyZmYiLCJ0aXRsZSI6IkluZnJhcmVkIHNwZWN0cmEgb2YgbWluZXJhbCBzcGVjaWVzOiBleHRlbmRlZCBsaWJyYXJ5IiwiYXV0aG9yIjpbeyJmYW1pbHkiOiJDaHVrYW5vdiIsImdpdmVuIjoiTmlraXRhIiwicGFyc2UtbmFtZXMiOmZhbHNlLCJkcm9wcGluZy1wYXJ0aWNsZSI6IlYiLCJub24tZHJvcHBpbmctcGFydGljbGUiOiIifV0sIklTQk4iOiI5NDAwNzcxMjgyIiwiaXNzdWVkIjp7ImRhdGUtcGFydHMiOltbMjAxM11dfSwicHVibGlzaGVyIjoiU3ByaW5nZXIgU2NpZW5jZSAmIEJ1c2luZXNzIE1lZGlhIiwiY29udGFpbmVyLXRpdGxlLXNob3J0IjoiIn0sImlzVGVtcG9yYXJ5IjpmYWxzZX1dfQ=="/>
          <w:id w:val="947434869"/>
          <w:placeholder>
            <w:docPart w:val="C1C48CC4F1B24824959B40166C9B7729"/>
          </w:placeholder>
        </w:sdtPr>
        <w:sdtEndPr/>
        <w:sdtContent>
          <w:r w:rsidR="00561A6A" w:rsidRPr="00561A6A">
            <w:rPr>
              <w:i w:val="0"/>
              <w:iCs w:val="0"/>
              <w:color w:val="000000"/>
              <w:sz w:val="20"/>
              <w:szCs w:val="20"/>
              <w:lang w:val="en-US"/>
            </w:rPr>
            <w:t>(</w:t>
          </w:r>
          <w:proofErr w:type="spellStart"/>
          <w:r w:rsidR="00561A6A" w:rsidRPr="00561A6A">
            <w:rPr>
              <w:i w:val="0"/>
              <w:iCs w:val="0"/>
              <w:color w:val="000000"/>
              <w:sz w:val="20"/>
              <w:szCs w:val="20"/>
              <w:lang w:val="en-US"/>
            </w:rPr>
            <w:t>Chukanov</w:t>
          </w:r>
          <w:proofErr w:type="spellEnd"/>
          <w:r w:rsidR="00561A6A" w:rsidRPr="00561A6A">
            <w:rPr>
              <w:i w:val="0"/>
              <w:iCs w:val="0"/>
              <w:color w:val="000000"/>
              <w:sz w:val="20"/>
              <w:szCs w:val="20"/>
              <w:lang w:val="en-US"/>
            </w:rPr>
            <w:t>, 2013)</w:t>
          </w:r>
        </w:sdtContent>
      </w:sdt>
      <w:r w:rsidRPr="003E2468">
        <w:rPr>
          <w:i w:val="0"/>
          <w:iCs w:val="0"/>
          <w:color w:val="auto"/>
          <w:sz w:val="20"/>
          <w:szCs w:val="20"/>
          <w:lang w:val="en-US"/>
        </w:rPr>
        <w:t>.</w:t>
      </w:r>
    </w:p>
    <w:p w14:paraId="5336D3B3" w14:textId="53329E6C" w:rsidR="00D22F96" w:rsidRPr="00D22F96" w:rsidRDefault="00D22F96" w:rsidP="00D22F96">
      <w:pPr>
        <w:rPr>
          <w:lang w:val="en-US"/>
        </w:rPr>
      </w:pPr>
    </w:p>
    <w:p w14:paraId="0AC30E72" w14:textId="76FF075A" w:rsidR="00EA5EBB" w:rsidRDefault="00C85F7A" w:rsidP="00C85F7A">
      <w:pPr>
        <w:ind w:firstLine="0"/>
        <w:rPr>
          <w:rFonts w:ascii="Abadi" w:hAnsi="Abadi"/>
          <w:lang w:val="en-US"/>
        </w:rPr>
      </w:pPr>
      <w:r w:rsidRPr="00C85F7A">
        <w:rPr>
          <w:rFonts w:ascii="Abadi" w:hAnsi="Abadi"/>
          <w:lang w:val="en-US"/>
        </w:rPr>
        <w:lastRenderedPageBreak/>
        <w:t>References</w:t>
      </w:r>
    </w:p>
    <w:sdt>
      <w:sdtPr>
        <w:rPr>
          <w:rFonts w:ascii="Abadi" w:hAnsi="Abadi"/>
          <w:lang w:val="en-US"/>
        </w:rPr>
        <w:tag w:val="MENDELEY_BIBLIOGRAPHY"/>
        <w:id w:val="900341105"/>
        <w:placeholder>
          <w:docPart w:val="DefaultPlaceholder_-1854013440"/>
        </w:placeholder>
      </w:sdtPr>
      <w:sdtEndPr/>
      <w:sdtContent>
        <w:p w14:paraId="34DD09D2" w14:textId="77777777" w:rsidR="00561A6A" w:rsidRDefault="00561A6A">
          <w:pPr>
            <w:autoSpaceDE w:val="0"/>
            <w:autoSpaceDN w:val="0"/>
            <w:ind w:hanging="480"/>
            <w:divId w:val="1219590107"/>
            <w:rPr>
              <w:rFonts w:eastAsia="Times New Roman"/>
              <w:kern w:val="0"/>
              <w:szCs w:val="24"/>
              <w14:ligatures w14:val="none"/>
            </w:rPr>
          </w:pPr>
          <w:r w:rsidRPr="00561A6A">
            <w:rPr>
              <w:rFonts w:eastAsia="Times New Roman"/>
              <w:lang w:val="en-US"/>
            </w:rPr>
            <w:t xml:space="preserve">Chukanov, N. V, 2013. Infrared spectra of mineral species: extended library. </w:t>
          </w:r>
          <w:r>
            <w:rPr>
              <w:rFonts w:eastAsia="Times New Roman"/>
            </w:rPr>
            <w:t>Springer Science &amp; Business Media.</w:t>
          </w:r>
        </w:p>
        <w:p w14:paraId="5DA1CFDA" w14:textId="1ECE79FC" w:rsidR="00C85F7A" w:rsidRPr="00C85F7A" w:rsidRDefault="00561A6A" w:rsidP="00C85F7A">
          <w:pPr>
            <w:ind w:firstLine="0"/>
            <w:rPr>
              <w:rFonts w:ascii="Abadi" w:hAnsi="Abadi"/>
              <w:lang w:val="en-US"/>
            </w:rPr>
          </w:pPr>
          <w:r>
            <w:rPr>
              <w:rFonts w:eastAsia="Times New Roman"/>
            </w:rPr>
            <w:t> </w:t>
          </w:r>
        </w:p>
      </w:sdtContent>
    </w:sdt>
    <w:sectPr w:rsidR="00C85F7A" w:rsidRPr="00C85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BF"/>
    <w:rsid w:val="00080E95"/>
    <w:rsid w:val="000823F9"/>
    <w:rsid w:val="000A16A6"/>
    <w:rsid w:val="000D06B3"/>
    <w:rsid w:val="001056FA"/>
    <w:rsid w:val="00126A61"/>
    <w:rsid w:val="00127D0F"/>
    <w:rsid w:val="00141B2E"/>
    <w:rsid w:val="001514C5"/>
    <w:rsid w:val="001A19B3"/>
    <w:rsid w:val="001B5576"/>
    <w:rsid w:val="001D3A63"/>
    <w:rsid w:val="00236D65"/>
    <w:rsid w:val="00247023"/>
    <w:rsid w:val="00276F00"/>
    <w:rsid w:val="00285E94"/>
    <w:rsid w:val="002A32B2"/>
    <w:rsid w:val="002C79BE"/>
    <w:rsid w:val="002F397F"/>
    <w:rsid w:val="00314B86"/>
    <w:rsid w:val="003336DF"/>
    <w:rsid w:val="00347EF9"/>
    <w:rsid w:val="0035031D"/>
    <w:rsid w:val="00361953"/>
    <w:rsid w:val="003A2FEC"/>
    <w:rsid w:val="003E2468"/>
    <w:rsid w:val="004123FF"/>
    <w:rsid w:val="00421A17"/>
    <w:rsid w:val="004646A5"/>
    <w:rsid w:val="00474761"/>
    <w:rsid w:val="004758E1"/>
    <w:rsid w:val="004779E0"/>
    <w:rsid w:val="00483981"/>
    <w:rsid w:val="004D1148"/>
    <w:rsid w:val="004E11C8"/>
    <w:rsid w:val="004F6E03"/>
    <w:rsid w:val="00516F03"/>
    <w:rsid w:val="00561A6A"/>
    <w:rsid w:val="00575E92"/>
    <w:rsid w:val="005D75D9"/>
    <w:rsid w:val="005F6B2C"/>
    <w:rsid w:val="00607EDC"/>
    <w:rsid w:val="00627215"/>
    <w:rsid w:val="006314A7"/>
    <w:rsid w:val="00664028"/>
    <w:rsid w:val="00671D51"/>
    <w:rsid w:val="0069264E"/>
    <w:rsid w:val="006A7A82"/>
    <w:rsid w:val="006F6A32"/>
    <w:rsid w:val="007140CA"/>
    <w:rsid w:val="00742841"/>
    <w:rsid w:val="00746E37"/>
    <w:rsid w:val="0076412C"/>
    <w:rsid w:val="007B4BE8"/>
    <w:rsid w:val="00805346"/>
    <w:rsid w:val="00813341"/>
    <w:rsid w:val="00826110"/>
    <w:rsid w:val="00846321"/>
    <w:rsid w:val="0085281F"/>
    <w:rsid w:val="00855165"/>
    <w:rsid w:val="008768FD"/>
    <w:rsid w:val="009065FA"/>
    <w:rsid w:val="00933B67"/>
    <w:rsid w:val="00977545"/>
    <w:rsid w:val="00980009"/>
    <w:rsid w:val="00985171"/>
    <w:rsid w:val="0099435D"/>
    <w:rsid w:val="009E14C3"/>
    <w:rsid w:val="009E19BF"/>
    <w:rsid w:val="009E3FD1"/>
    <w:rsid w:val="009E5412"/>
    <w:rsid w:val="009F7EE7"/>
    <w:rsid w:val="00A10ADD"/>
    <w:rsid w:val="00A43E11"/>
    <w:rsid w:val="00A647EE"/>
    <w:rsid w:val="00A64F9C"/>
    <w:rsid w:val="00AA07D0"/>
    <w:rsid w:val="00AA12ED"/>
    <w:rsid w:val="00AB03FD"/>
    <w:rsid w:val="00AC4957"/>
    <w:rsid w:val="00AC79EB"/>
    <w:rsid w:val="00AD46DE"/>
    <w:rsid w:val="00B15C05"/>
    <w:rsid w:val="00B40BE8"/>
    <w:rsid w:val="00B45ADA"/>
    <w:rsid w:val="00B60D63"/>
    <w:rsid w:val="00B71106"/>
    <w:rsid w:val="00B969E6"/>
    <w:rsid w:val="00BA2873"/>
    <w:rsid w:val="00BB057A"/>
    <w:rsid w:val="00BC5E2F"/>
    <w:rsid w:val="00BD44BC"/>
    <w:rsid w:val="00C3376A"/>
    <w:rsid w:val="00C479D3"/>
    <w:rsid w:val="00C56E18"/>
    <w:rsid w:val="00C809A5"/>
    <w:rsid w:val="00C85F7A"/>
    <w:rsid w:val="00CC4912"/>
    <w:rsid w:val="00CE3918"/>
    <w:rsid w:val="00D01086"/>
    <w:rsid w:val="00D14421"/>
    <w:rsid w:val="00D22F96"/>
    <w:rsid w:val="00D879B9"/>
    <w:rsid w:val="00D92A16"/>
    <w:rsid w:val="00D933AE"/>
    <w:rsid w:val="00D9514E"/>
    <w:rsid w:val="00DA6C09"/>
    <w:rsid w:val="00DC4EC5"/>
    <w:rsid w:val="00DC6C22"/>
    <w:rsid w:val="00DF02B1"/>
    <w:rsid w:val="00DF5E22"/>
    <w:rsid w:val="00E239CF"/>
    <w:rsid w:val="00E33DB6"/>
    <w:rsid w:val="00EA010B"/>
    <w:rsid w:val="00EA5EBB"/>
    <w:rsid w:val="00ED0E2A"/>
    <w:rsid w:val="00ED1812"/>
    <w:rsid w:val="00ED32EE"/>
    <w:rsid w:val="00EF377C"/>
    <w:rsid w:val="00F0655C"/>
    <w:rsid w:val="00F06779"/>
    <w:rsid w:val="00F4449A"/>
    <w:rsid w:val="00F76712"/>
    <w:rsid w:val="00F833C7"/>
    <w:rsid w:val="00FD348B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66694"/>
  <w15:chartTrackingRefBased/>
  <w15:docId w15:val="{2F4DD952-0C88-49C3-BDA9-F1653871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65"/>
    <w:pPr>
      <w:spacing w:after="0"/>
      <w:ind w:firstLine="709"/>
      <w:contextualSpacing/>
    </w:pPr>
    <w:rPr>
      <w:rFonts w:ascii="Abadi Extra Light" w:hAnsi="Abadi Extra Light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1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1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1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19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19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19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19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55165"/>
    <w:rPr>
      <w:rFonts w:ascii="Abadi" w:eastAsiaTheme="majorEastAsia" w:hAnsi="Abadi" w:cstheme="majorBidi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5165"/>
    <w:rPr>
      <w:rFonts w:ascii="Abadi" w:eastAsiaTheme="majorEastAsia" w:hAnsi="Abadi" w:cstheme="majorBidi"/>
      <w:spacing w:val="-10"/>
      <w:kern w:val="28"/>
      <w:sz w:val="24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E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19B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19BF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19B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19BF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19B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19BF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19B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1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19BF"/>
    <w:rPr>
      <w:rFonts w:ascii="Abadi Extra Light" w:hAnsi="Abadi Extra Light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9E19BF"/>
    <w:pPr>
      <w:ind w:left="720"/>
    </w:pPr>
  </w:style>
  <w:style w:type="character" w:styleId="nfaseIntensa">
    <w:name w:val="Intense Emphasis"/>
    <w:basedOn w:val="Fontepargpadro"/>
    <w:uiPriority w:val="21"/>
    <w:qFormat/>
    <w:rsid w:val="009E19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19BF"/>
    <w:rPr>
      <w:rFonts w:ascii="Abadi Extra Light" w:hAnsi="Abadi Extra Light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9E19BF"/>
    <w:rPr>
      <w:b/>
      <w:bCs/>
      <w:smallCaps/>
      <w:color w:val="0F4761" w:themeColor="accent1" w:themeShade="BF"/>
      <w:spacing w:val="5"/>
    </w:rPr>
  </w:style>
  <w:style w:type="table" w:styleId="TabeladeGradeClara">
    <w:name w:val="Grid Table Light"/>
    <w:basedOn w:val="Tabelanormal"/>
    <w:uiPriority w:val="40"/>
    <w:rsid w:val="009E19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41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C337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6314A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985171"/>
    <w:rPr>
      <w:color w:val="666666"/>
    </w:rPr>
  </w:style>
  <w:style w:type="paragraph" w:styleId="Reviso">
    <w:name w:val="Revision"/>
    <w:hidden/>
    <w:uiPriority w:val="99"/>
    <w:semiHidden/>
    <w:rsid w:val="009065FA"/>
    <w:pPr>
      <w:spacing w:after="0" w:line="240" w:lineRule="auto"/>
      <w:jc w:val="left"/>
    </w:pPr>
    <w:rPr>
      <w:rFonts w:ascii="Abadi Extra Light" w:hAnsi="Abadi Extra Light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41B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1B2E"/>
    <w:pPr>
      <w:spacing w:after="160" w:line="240" w:lineRule="auto"/>
    </w:pPr>
    <w:rPr>
      <w:rFonts w:eastAsia="Abadi Extra Light" w:cs="Abadi Extra Light"/>
      <w:kern w:val="0"/>
      <w:sz w:val="20"/>
      <w:szCs w:val="20"/>
      <w:lang w:val="en-US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1B2E"/>
    <w:rPr>
      <w:rFonts w:ascii="Abadi Extra Light" w:eastAsia="Abadi Extra Light" w:hAnsi="Abadi Extra Light" w:cs="Abadi Extra Light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516F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09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9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64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8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ferreira@usp.br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mailto:francisco.ruiz@usp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310C1-E800-4FDF-9438-1D95879B05D6}"/>
      </w:docPartPr>
      <w:docPartBody>
        <w:p w:rsidR="00AE0B39" w:rsidRDefault="0002617A">
          <w:r w:rsidRPr="00D82F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C48CC4F1B24824959B40166C9B7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2310D-818F-4E31-B68B-73B66C0592BA}"/>
      </w:docPartPr>
      <w:docPartBody>
        <w:p w:rsidR="00A61485" w:rsidRDefault="00B34D6F" w:rsidP="00B34D6F">
          <w:pPr>
            <w:pStyle w:val="C1C48CC4F1B24824959B40166C9B7729"/>
          </w:pPr>
          <w:r w:rsidRPr="00D82FF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D6"/>
    <w:rsid w:val="0002617A"/>
    <w:rsid w:val="001D3A63"/>
    <w:rsid w:val="00232D8A"/>
    <w:rsid w:val="00240591"/>
    <w:rsid w:val="004777E2"/>
    <w:rsid w:val="004A682A"/>
    <w:rsid w:val="005A247B"/>
    <w:rsid w:val="006C48C0"/>
    <w:rsid w:val="0076412C"/>
    <w:rsid w:val="007C7ED6"/>
    <w:rsid w:val="00842103"/>
    <w:rsid w:val="009A7BA9"/>
    <w:rsid w:val="00A61485"/>
    <w:rsid w:val="00A7768A"/>
    <w:rsid w:val="00AE0B39"/>
    <w:rsid w:val="00B16875"/>
    <w:rsid w:val="00B34D6F"/>
    <w:rsid w:val="00C14765"/>
    <w:rsid w:val="00C56E18"/>
    <w:rsid w:val="00E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4D6F"/>
    <w:rPr>
      <w:color w:val="666666"/>
    </w:rPr>
  </w:style>
  <w:style w:type="paragraph" w:customStyle="1" w:styleId="C1C48CC4F1B24824959B40166C9B7729">
    <w:name w:val="C1C48CC4F1B24824959B40166C9B7729"/>
    <w:rsid w:val="00B34D6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51A93C-38A3-4BF2-82B7-886FAC92AF41}">
  <we:reference id="wa104382081" version="1.55.1.0" store="pt-BR" storeType="OMEX"/>
  <we:alternateReferences>
    <we:reference id="wa104382081" version="1.55.1.0" store="pt-BR" storeType="OMEX"/>
  </we:alternateReferences>
  <we:properties>
    <we:property name="MENDELEY_CITATIONS" value="[{&quot;citationID&quot;:&quot;MENDELEY_CITATION_8a826691-4ec3-4b5f-9701-9c015c951213&quot;,&quot;properties&quot;:{&quot;noteIndex&quot;:0},&quot;isEdited&quot;:false,&quot;manualOverride&quot;:{&quot;isManuallyOverridden&quot;:false,&quot;citeprocText&quot;:&quot;(Chukanov, 2013)&quot;,&quot;manualOverrideText&quot;:&quot;&quot;},&quot;citationTag&quot;:&quot;MENDELEY_CITATION_v3_eyJjaXRhdGlvbklEIjoiTUVOREVMRVlfQ0lUQVRJT05fOGE4MjY2OTEtNGVjMy00YjVmLTk3MDEtOWMwMTVjOTUxMjEzIiwicHJvcGVydGllcyI6eyJub3RlSW5kZXgiOjB9LCJpc0VkaXRlZCI6ZmFsc2UsIm1hbnVhbE92ZXJyaWRlIjp7ImlzTWFudWFsbHlPdmVycmlkZGVuIjpmYWxzZSwiY2l0ZXByb2NUZXh0IjoiKENodWthbm92LCAyMDEzKSIsIm1hbnVhbE92ZXJyaWRlVGV4dCI6IiJ9LCJjaXRhdGlvbkl0ZW1zIjpbeyJpZCI6ImQ5OGE3YWExLTgyMmEtMzY4Mi04OGI0LTJiNTdkM2U5NDJmZiIsIml0ZW1EYXRhIjp7InR5cGUiOiJib29rIiwiaWQiOiJkOThhN2FhMS04MjJhLTM2ODItODhiNC0yYjU3ZDNlOTQyZmYiLCJ0aXRsZSI6IkluZnJhcmVkIHNwZWN0cmEgb2YgbWluZXJhbCBzcGVjaWVzOiBleHRlbmRlZCBsaWJyYXJ5IiwiYXV0aG9yIjpbeyJmYW1pbHkiOiJDaHVrYW5vdiIsImdpdmVuIjoiTmlraXRhIiwicGFyc2UtbmFtZXMiOmZhbHNlLCJkcm9wcGluZy1wYXJ0aWNsZSI6IlYiLCJub24tZHJvcHBpbmctcGFydGljbGUiOiIifV0sIklTQk4iOiI5NDAwNzcxMjgyIiwiaXNzdWVkIjp7ImRhdGUtcGFydHMiOltbMjAxM11dfSwicHVibGlzaGVyIjoiU3ByaW5nZXIgU2NpZW5jZSAmIEJ1c2luZXNzIE1lZGlhIiwiY29udGFpbmVyLXRpdGxlLXNob3J0IjoiIn0sImlzVGVtcG9yYXJ5IjpmYWxzZX1dfQ==&quot;,&quot;citationItems&quot;:[{&quot;id&quot;:&quot;d98a7aa1-822a-3682-88b4-2b57d3e942ff&quot;,&quot;itemData&quot;:{&quot;type&quot;:&quot;book&quot;,&quot;id&quot;:&quot;d98a7aa1-822a-3682-88b4-2b57d3e942ff&quot;,&quot;title&quot;:&quot;Infrared spectra of mineral species: extended library&quot;,&quot;author&quot;:[{&quot;family&quot;:&quot;Chukanov&quot;,&quot;given&quot;:&quot;Nikita&quot;,&quot;parse-names&quot;:false,&quot;dropping-particle&quot;:&quot;V&quot;,&quot;non-dropping-particle&quot;:&quot;&quot;}],&quot;ISBN&quot;:&quot;9400771282&quot;,&quot;issued&quot;:{&quot;date-parts&quot;:[[2013]]},&quot;publisher&quot;:&quot;Springer Science &amp; Business Media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catena&quot;,&quot;title&quot;:&quot;Catena&quot;,&quot;format&quot;:&quot;author-date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DB42-C57B-4C33-8D1A-8428EFDC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Ruiz</dc:creator>
  <cp:keywords/>
  <dc:description/>
  <cp:lastModifiedBy>Francisco Ruiz</cp:lastModifiedBy>
  <cp:revision>12</cp:revision>
  <dcterms:created xsi:type="dcterms:W3CDTF">2024-05-09T20:56:00Z</dcterms:created>
  <dcterms:modified xsi:type="dcterms:W3CDTF">2024-06-12T13:27:00Z</dcterms:modified>
</cp:coreProperties>
</file>