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12CEA" w14:textId="77777777" w:rsidR="00B22ACF" w:rsidRDefault="00000000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Supporting information</w:t>
      </w:r>
    </w:p>
    <w:p w14:paraId="2754D2C5" w14:textId="77777777" w:rsidR="00B22ACF" w:rsidRDefault="00B22ACF">
      <w:pPr>
        <w:pStyle w:val="ac"/>
      </w:pPr>
    </w:p>
    <w:p w14:paraId="6D1C278D" w14:textId="05CD0519" w:rsidR="00B22ACF" w:rsidRDefault="00F61C6D">
      <w:pPr>
        <w:pStyle w:val="ac"/>
        <w:rPr>
          <w:sz w:val="28"/>
          <w:szCs w:val="28"/>
        </w:rPr>
      </w:pPr>
      <w:r w:rsidRPr="00F61C6D">
        <w:rPr>
          <w:sz w:val="28"/>
          <w:szCs w:val="28"/>
        </w:rPr>
        <w:t xml:space="preserve">An electrochemical biosensor for sensitive detection of live Salmonella in food via </w:t>
      </w:r>
      <w:proofErr w:type="spellStart"/>
      <w:r w:rsidRPr="00F61C6D">
        <w:rPr>
          <w:sz w:val="28"/>
          <w:szCs w:val="28"/>
        </w:rPr>
        <w:t>MXene</w:t>
      </w:r>
      <w:proofErr w:type="spellEnd"/>
      <w:r w:rsidRPr="00F61C6D">
        <w:rPr>
          <w:sz w:val="28"/>
          <w:szCs w:val="28"/>
        </w:rPr>
        <w:t xml:space="preserve"> amplified methylene blue signals and electrostatic immobilization of bacteriophages</w:t>
      </w:r>
    </w:p>
    <w:p w14:paraId="2C9A17EF" w14:textId="77777777" w:rsidR="00F61C6D" w:rsidRDefault="00F61C6D">
      <w:pPr>
        <w:pStyle w:val="ac"/>
        <w:rPr>
          <w:rFonts w:eastAsiaTheme="majorEastAsia"/>
          <w:sz w:val="32"/>
          <w:szCs w:val="32"/>
        </w:rPr>
      </w:pPr>
    </w:p>
    <w:p w14:paraId="6C264F92" w14:textId="77777777" w:rsidR="00B22ACF" w:rsidRDefault="00000000">
      <w:pPr>
        <w:jc w:val="center"/>
        <w:rPr>
          <w:i/>
          <w:iCs/>
          <w:shd w:val="clear" w:color="auto" w:fill="auto"/>
        </w:rPr>
      </w:pPr>
      <w:r>
        <w:rPr>
          <w:rFonts w:hint="eastAsia"/>
          <w:shd w:val="clear" w:color="auto" w:fill="auto"/>
        </w:rPr>
        <w:t xml:space="preserve">Jingjing </w:t>
      </w:r>
      <w:proofErr w:type="spellStart"/>
      <w:r>
        <w:rPr>
          <w:rFonts w:hint="eastAsia"/>
          <w:shd w:val="clear" w:color="auto" w:fill="auto"/>
        </w:rPr>
        <w:t>Zhou</w:t>
      </w:r>
      <w:r>
        <w:rPr>
          <w:rFonts w:hint="eastAsia"/>
          <w:i/>
          <w:iCs/>
          <w:shd w:val="clear" w:color="auto" w:fill="auto"/>
          <w:vertAlign w:val="superscript"/>
        </w:rPr>
        <w:t>a</w:t>
      </w:r>
      <w:proofErr w:type="spellEnd"/>
      <w:r>
        <w:rPr>
          <w:rFonts w:hint="eastAsia"/>
          <w:shd w:val="clear" w:color="auto" w:fill="auto"/>
        </w:rPr>
        <w:t xml:space="preserve">, </w:t>
      </w:r>
      <w:proofErr w:type="spellStart"/>
      <w:r>
        <w:rPr>
          <w:shd w:val="clear" w:color="auto" w:fill="auto"/>
        </w:rPr>
        <w:t>Tingliu</w:t>
      </w:r>
      <w:proofErr w:type="spellEnd"/>
      <w:r>
        <w:rPr>
          <w:shd w:val="clear" w:color="auto" w:fill="auto"/>
        </w:rPr>
        <w:t xml:space="preserve"> </w:t>
      </w:r>
      <w:proofErr w:type="spellStart"/>
      <w:r>
        <w:rPr>
          <w:shd w:val="clear" w:color="auto" w:fill="auto"/>
        </w:rPr>
        <w:t>Deng</w:t>
      </w:r>
      <w:r>
        <w:rPr>
          <w:i/>
          <w:iCs/>
          <w:shd w:val="clear" w:color="auto" w:fill="auto"/>
          <w:vertAlign w:val="superscript"/>
        </w:rPr>
        <w:t>b</w:t>
      </w:r>
      <w:proofErr w:type="spellEnd"/>
      <w:r>
        <w:rPr>
          <w:shd w:val="clear" w:color="auto" w:fill="auto"/>
        </w:rPr>
        <w:t xml:space="preserve">, </w:t>
      </w:r>
      <w:r>
        <w:rPr>
          <w:rFonts w:hint="eastAsia"/>
          <w:shd w:val="clear" w:color="auto" w:fill="auto"/>
        </w:rPr>
        <w:t>Q</w:t>
      </w:r>
      <w:r>
        <w:rPr>
          <w:shd w:val="clear" w:color="auto" w:fill="auto"/>
        </w:rPr>
        <w:t>in Zeng</w:t>
      </w:r>
      <w:r>
        <w:rPr>
          <w:i/>
          <w:iCs/>
          <w:shd w:val="clear" w:color="auto" w:fill="auto"/>
          <w:vertAlign w:val="superscript"/>
        </w:rPr>
        <w:t>b</w:t>
      </w:r>
      <w:r>
        <w:rPr>
          <w:shd w:val="clear" w:color="auto" w:fill="auto"/>
        </w:rPr>
        <w:t>,</w:t>
      </w:r>
      <w:r>
        <w:rPr>
          <w:rFonts w:hint="eastAsia"/>
          <w:shd w:val="clear" w:color="auto" w:fill="auto"/>
        </w:rPr>
        <w:t xml:space="preserve"> </w:t>
      </w:r>
      <w:r>
        <w:t>Heye Wang</w:t>
      </w:r>
      <w:r>
        <w:rPr>
          <w:shd w:val="clear" w:color="auto" w:fill="auto"/>
        </w:rPr>
        <w:t>*</w:t>
      </w:r>
      <w:r>
        <w:rPr>
          <w:rFonts w:hint="eastAsia"/>
          <w:i/>
          <w:iCs/>
          <w:vertAlign w:val="superscript"/>
        </w:rPr>
        <w:t>c</w:t>
      </w:r>
      <w:r>
        <w:rPr>
          <w:rFonts w:hint="eastAsia"/>
          <w:i/>
          <w:iCs/>
        </w:rPr>
        <w:t>,</w:t>
      </w:r>
      <w:r>
        <w:rPr>
          <w:rFonts w:hint="eastAsia"/>
          <w:vertAlign w:val="superscript"/>
        </w:rPr>
        <w:t xml:space="preserve"> </w:t>
      </w:r>
      <w:proofErr w:type="spellStart"/>
      <w:r>
        <w:rPr>
          <w:rFonts w:hint="eastAsia"/>
          <w:shd w:val="clear" w:color="auto" w:fill="auto"/>
        </w:rPr>
        <w:t>Chunyan</w:t>
      </w:r>
      <w:proofErr w:type="spellEnd"/>
      <w:r>
        <w:rPr>
          <w:rFonts w:hint="eastAsia"/>
          <w:shd w:val="clear" w:color="auto" w:fill="auto"/>
        </w:rPr>
        <w:t xml:space="preserve"> Deng</w:t>
      </w:r>
      <w:r>
        <w:rPr>
          <w:shd w:val="clear" w:color="auto" w:fill="auto"/>
        </w:rPr>
        <w:t>*</w:t>
      </w:r>
      <w:r>
        <w:rPr>
          <w:i/>
          <w:iCs/>
          <w:shd w:val="clear" w:color="auto" w:fill="auto"/>
          <w:vertAlign w:val="superscript"/>
        </w:rPr>
        <w:t>b</w:t>
      </w:r>
    </w:p>
    <w:p w14:paraId="14C77DEA" w14:textId="77777777" w:rsidR="00B22ACF" w:rsidRDefault="00B22ACF">
      <w:pPr>
        <w:jc w:val="center"/>
        <w:rPr>
          <w:shd w:val="clear" w:color="auto" w:fill="auto"/>
        </w:rPr>
      </w:pPr>
    </w:p>
    <w:p w14:paraId="443646CF" w14:textId="77777777" w:rsidR="00B22ACF" w:rsidRDefault="00000000">
      <w:pPr>
        <w:spacing w:line="360" w:lineRule="auto"/>
        <w:rPr>
          <w:i/>
          <w:iCs/>
          <w:shd w:val="clear" w:color="auto" w:fill="auto"/>
        </w:rPr>
      </w:pPr>
      <w:proofErr w:type="spellStart"/>
      <w:r>
        <w:rPr>
          <w:i/>
          <w:iCs/>
          <w:shd w:val="clear" w:color="auto" w:fill="auto"/>
          <w:vertAlign w:val="superscript"/>
        </w:rPr>
        <w:t>a</w:t>
      </w:r>
      <w:r>
        <w:rPr>
          <w:i/>
          <w:iCs/>
          <w:shd w:val="clear" w:color="auto" w:fill="auto"/>
        </w:rPr>
        <w:t>Beijing</w:t>
      </w:r>
      <w:proofErr w:type="spellEnd"/>
      <w:r>
        <w:rPr>
          <w:i/>
          <w:iCs/>
          <w:shd w:val="clear" w:color="auto" w:fill="auto"/>
        </w:rPr>
        <w:t xml:space="preserve"> Key Laboratory</w:t>
      </w:r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of Maternal-</w:t>
      </w:r>
      <w:proofErr w:type="spellStart"/>
      <w:r>
        <w:rPr>
          <w:i/>
          <w:iCs/>
          <w:shd w:val="clear" w:color="auto" w:fill="auto"/>
        </w:rPr>
        <w:t>FetalMedicine</w:t>
      </w:r>
      <w:proofErr w:type="spellEnd"/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 xml:space="preserve">and Fetal Heart </w:t>
      </w:r>
      <w:proofErr w:type="spellStart"/>
      <w:r>
        <w:rPr>
          <w:i/>
          <w:iCs/>
          <w:shd w:val="clear" w:color="auto" w:fill="auto"/>
        </w:rPr>
        <w:t>Disease&amp;Echocardiography</w:t>
      </w:r>
      <w:proofErr w:type="spellEnd"/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Department,</w:t>
      </w:r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Beijing</w:t>
      </w:r>
      <w:r>
        <w:rPr>
          <w:rFonts w:hint="eastAsia"/>
          <w:i/>
          <w:iCs/>
          <w:shd w:val="clear" w:color="auto" w:fill="auto"/>
        </w:rPr>
        <w:t xml:space="preserve"> </w:t>
      </w:r>
      <w:proofErr w:type="spellStart"/>
      <w:r>
        <w:rPr>
          <w:i/>
          <w:iCs/>
          <w:shd w:val="clear" w:color="auto" w:fill="auto"/>
        </w:rPr>
        <w:t>Anzhen</w:t>
      </w:r>
      <w:proofErr w:type="spellEnd"/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Hospital,</w:t>
      </w:r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Capital</w:t>
      </w:r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Medical</w:t>
      </w:r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University,</w:t>
      </w:r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Beijing 100069,</w:t>
      </w:r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China</w:t>
      </w:r>
    </w:p>
    <w:p w14:paraId="71475401" w14:textId="77777777" w:rsidR="00B22ACF" w:rsidRDefault="00000000">
      <w:pPr>
        <w:spacing w:line="360" w:lineRule="auto"/>
        <w:rPr>
          <w:i/>
          <w:iCs/>
          <w:shd w:val="clear" w:color="auto" w:fill="auto"/>
        </w:rPr>
      </w:pPr>
      <w:proofErr w:type="spellStart"/>
      <w:r>
        <w:rPr>
          <w:rFonts w:hint="eastAsia"/>
          <w:i/>
          <w:iCs/>
          <w:shd w:val="clear" w:color="auto" w:fill="auto"/>
          <w:vertAlign w:val="superscript"/>
        </w:rPr>
        <w:t>b</w:t>
      </w:r>
      <w:r>
        <w:rPr>
          <w:i/>
          <w:iCs/>
          <w:shd w:val="clear" w:color="auto" w:fill="auto"/>
        </w:rPr>
        <w:t>Hunan</w:t>
      </w:r>
      <w:proofErr w:type="spellEnd"/>
      <w:r>
        <w:rPr>
          <w:i/>
          <w:iCs/>
          <w:shd w:val="clear" w:color="auto" w:fill="auto"/>
        </w:rPr>
        <w:t xml:space="preserve"> Provincial Key Laboratory of Micro &amp; Nano Materials Interface Science, College of</w:t>
      </w:r>
      <w:r>
        <w:rPr>
          <w:rFonts w:hint="eastAsia"/>
          <w:i/>
          <w:iCs/>
          <w:shd w:val="clear" w:color="auto" w:fill="auto"/>
        </w:rPr>
        <w:t xml:space="preserve"> </w:t>
      </w:r>
      <w:r>
        <w:rPr>
          <w:i/>
          <w:iCs/>
          <w:shd w:val="clear" w:color="auto" w:fill="auto"/>
        </w:rPr>
        <w:t>Chemistry and Chemical Engineering, Central South University, Changsha, 410083, P. R. China</w:t>
      </w:r>
    </w:p>
    <w:p w14:paraId="586E9E47" w14:textId="77777777" w:rsidR="00B22ACF" w:rsidRDefault="00000000">
      <w:pPr>
        <w:pStyle w:val="RSCB01ARTAbstract"/>
        <w:spacing w:line="360" w:lineRule="auto"/>
        <w:rPr>
          <w:rFonts w:ascii="Times New Roman" w:hAnsi="Times New Roman"/>
          <w:i/>
          <w:iCs/>
          <w:sz w:val="21"/>
        </w:rPr>
      </w:pPr>
      <w:bookmarkStart w:id="0" w:name="_Hlk164177376"/>
      <w:r>
        <w:rPr>
          <w:rFonts w:ascii="Times New Roman" w:hAnsi="Times New Roman" w:hint="eastAsia"/>
          <w:i/>
          <w:iCs/>
          <w:sz w:val="21"/>
          <w:vertAlign w:val="superscript"/>
          <w:lang w:val="en-US" w:eastAsia="zh-CN"/>
        </w:rPr>
        <w:t>c</w:t>
      </w:r>
      <w:r>
        <w:rPr>
          <w:rFonts w:ascii="Times New Roman" w:hAnsi="Times New Roman"/>
          <w:i/>
          <w:iCs/>
          <w:sz w:val="21"/>
        </w:rPr>
        <w:t>Key Laboratory of Food Quality and Safety of Jiangsu Province-State Key Laboratory Breeding Base, Institute of Food Safety and Nutrition, Jiangsu Academy of Agricultural Sciences, Nanjing, 210000, China</w:t>
      </w:r>
      <w:bookmarkEnd w:id="0"/>
    </w:p>
    <w:p w14:paraId="26BAE3A2" w14:textId="77777777" w:rsidR="00B22ACF" w:rsidRDefault="00B22ACF">
      <w:pPr>
        <w:pStyle w:val="ac"/>
        <w:jc w:val="center"/>
        <w:rPr>
          <w:rFonts w:eastAsiaTheme="majorEastAsia"/>
          <w:sz w:val="32"/>
          <w:szCs w:val="32"/>
        </w:rPr>
      </w:pPr>
    </w:p>
    <w:p w14:paraId="6ABB8F85" w14:textId="77777777" w:rsidR="00B22ACF" w:rsidRDefault="00B22ACF">
      <w:pPr>
        <w:pStyle w:val="ac"/>
        <w:jc w:val="center"/>
        <w:rPr>
          <w:rFonts w:eastAsiaTheme="majorEastAsia"/>
          <w:sz w:val="32"/>
          <w:szCs w:val="32"/>
        </w:rPr>
      </w:pPr>
    </w:p>
    <w:p w14:paraId="387DE112" w14:textId="77777777" w:rsidR="00B22ACF" w:rsidRDefault="00B22ACF">
      <w:pPr>
        <w:pStyle w:val="ac"/>
        <w:jc w:val="center"/>
        <w:rPr>
          <w:rFonts w:eastAsiaTheme="majorEastAsia"/>
          <w:sz w:val="32"/>
          <w:szCs w:val="32"/>
        </w:rPr>
      </w:pPr>
    </w:p>
    <w:p w14:paraId="50303DC3" w14:textId="77777777" w:rsidR="00B22ACF" w:rsidRDefault="00B22ACF">
      <w:pPr>
        <w:pStyle w:val="ac"/>
        <w:jc w:val="center"/>
        <w:rPr>
          <w:rFonts w:eastAsiaTheme="majorEastAsia"/>
          <w:sz w:val="32"/>
          <w:szCs w:val="32"/>
        </w:rPr>
      </w:pPr>
    </w:p>
    <w:p w14:paraId="65BE53F4" w14:textId="77777777" w:rsidR="00B22ACF" w:rsidRDefault="00000000">
      <w:r>
        <w:rPr>
          <w:rStyle w:val="ab"/>
          <w:rFonts w:ascii="宋体" w:hAnsi="宋体" w:cs="宋体" w:hint="eastAsia"/>
          <w:i w:val="0"/>
          <w:vertAlign w:val="superscript"/>
        </w:rPr>
        <w:t>＃</w:t>
      </w:r>
      <w:r>
        <w:rPr>
          <w:rStyle w:val="ab"/>
          <w:rFonts w:ascii="宋体" w:hAnsi="宋体" w:cs="宋体" w:hint="eastAsia"/>
          <w:i w:val="0"/>
        </w:rPr>
        <w:t>:</w:t>
      </w:r>
      <w:r>
        <w:rPr>
          <w:rFonts w:hint="eastAsia"/>
          <w:shd w:val="clear" w:color="auto" w:fill="auto"/>
        </w:rPr>
        <w:t>Jingjing Zhou</w:t>
      </w:r>
      <w:r>
        <w:rPr>
          <w:rStyle w:val="ab"/>
          <w:rFonts w:hint="eastAsia"/>
          <w:i w:val="0"/>
        </w:rPr>
        <w:t xml:space="preserve"> and </w:t>
      </w:r>
      <w:proofErr w:type="spellStart"/>
      <w:r>
        <w:rPr>
          <w:shd w:val="clear" w:color="auto" w:fill="auto"/>
        </w:rPr>
        <w:t>Tingliu</w:t>
      </w:r>
      <w:proofErr w:type="spellEnd"/>
      <w:r>
        <w:rPr>
          <w:shd w:val="clear" w:color="auto" w:fill="auto"/>
        </w:rPr>
        <w:t xml:space="preserve"> Deng</w:t>
      </w:r>
      <w:r>
        <w:rPr>
          <w:rStyle w:val="ab"/>
          <w:rFonts w:hint="eastAsia"/>
          <w:i w:val="0"/>
        </w:rPr>
        <w:t xml:space="preserve"> </w:t>
      </w:r>
      <w:r>
        <w:rPr>
          <w:rStyle w:val="ab"/>
          <w:i w:val="0"/>
        </w:rPr>
        <w:t xml:space="preserve">contribute equally to </w:t>
      </w:r>
      <w:r>
        <w:rPr>
          <w:rStyle w:val="ab"/>
          <w:rFonts w:hint="eastAsia"/>
          <w:i w:val="0"/>
        </w:rPr>
        <w:t>this</w:t>
      </w:r>
      <w:r>
        <w:rPr>
          <w:rStyle w:val="ab"/>
          <w:i w:val="0"/>
        </w:rPr>
        <w:t xml:space="preserve"> </w:t>
      </w:r>
      <w:r>
        <w:rPr>
          <w:rStyle w:val="ab"/>
          <w:rFonts w:hint="eastAsia"/>
          <w:i w:val="0"/>
        </w:rPr>
        <w:t xml:space="preserve">work. </w:t>
      </w:r>
    </w:p>
    <w:p w14:paraId="51A7A9FB" w14:textId="77777777" w:rsidR="00B22ACF" w:rsidRDefault="00B22ACF">
      <w:pPr>
        <w:pStyle w:val="ac"/>
        <w:jc w:val="center"/>
        <w:rPr>
          <w:rFonts w:eastAsiaTheme="majorEastAsia"/>
          <w:sz w:val="32"/>
          <w:szCs w:val="32"/>
        </w:rPr>
      </w:pPr>
    </w:p>
    <w:p w14:paraId="2830E311" w14:textId="77777777" w:rsidR="00B22ACF" w:rsidRDefault="00000000">
      <w:pPr>
        <w:pStyle w:val="BIEmailAddress"/>
        <w:spacing w:after="60"/>
        <w:rPr>
          <w:rFonts w:ascii="Times New Roman" w:eastAsia="宋体" w:hAnsi="Times New Roman"/>
          <w:bCs/>
          <w:sz w:val="21"/>
          <w:szCs w:val="21"/>
          <w:lang w:eastAsia="zh-CN"/>
        </w:rPr>
      </w:pPr>
      <w:r>
        <w:rPr>
          <w:rFonts w:ascii="Times New Roman" w:eastAsia="宋体" w:hAnsi="Times New Roman"/>
          <w:b/>
          <w:sz w:val="21"/>
          <w:szCs w:val="21"/>
          <w:lang w:eastAsia="zh-CN"/>
        </w:rPr>
        <w:t>*Corresponding Autho</w:t>
      </w:r>
      <w:r>
        <w:rPr>
          <w:rFonts w:ascii="Times New Roman" w:eastAsia="宋体" w:hAnsi="Times New Roman" w:hint="eastAsia"/>
          <w:b/>
          <w:sz w:val="21"/>
          <w:szCs w:val="21"/>
          <w:lang w:eastAsia="zh-CN"/>
        </w:rPr>
        <w:t>r</w:t>
      </w:r>
      <w:r>
        <w:rPr>
          <w:rFonts w:ascii="Times New Roman" w:eastAsia="宋体" w:hAnsi="Times New Roman"/>
          <w:b/>
          <w:sz w:val="21"/>
          <w:szCs w:val="21"/>
          <w:lang w:eastAsia="zh-CN"/>
        </w:rPr>
        <w:t>:</w:t>
      </w:r>
      <w:r>
        <w:rPr>
          <w:rFonts w:ascii="Times New Roman" w:eastAsia="宋体" w:hAnsi="Times New Roman"/>
          <w:bCs/>
          <w:sz w:val="21"/>
          <w:szCs w:val="21"/>
          <w:lang w:eastAsia="zh-CN"/>
        </w:rPr>
        <w:t xml:space="preserve"> </w:t>
      </w:r>
      <w:proofErr w:type="spellStart"/>
      <w:r>
        <w:rPr>
          <w:rFonts w:ascii="Times New Roman" w:eastAsia="宋体" w:hAnsi="Times New Roman"/>
          <w:bCs/>
          <w:sz w:val="21"/>
          <w:szCs w:val="21"/>
          <w:lang w:eastAsia="zh-CN"/>
        </w:rPr>
        <w:t>Chunyan</w:t>
      </w:r>
      <w:proofErr w:type="spellEnd"/>
      <w:r>
        <w:rPr>
          <w:rFonts w:ascii="Times New Roman" w:eastAsia="宋体" w:hAnsi="Times New Roman"/>
          <w:bCs/>
          <w:sz w:val="21"/>
          <w:szCs w:val="21"/>
          <w:lang w:eastAsia="zh-CN"/>
        </w:rPr>
        <w:t xml:space="preserve"> Deng</w:t>
      </w:r>
    </w:p>
    <w:p w14:paraId="7683D7B1" w14:textId="77777777" w:rsidR="00B22ACF" w:rsidRDefault="00000000">
      <w:pPr>
        <w:pStyle w:val="BIEmailAddress"/>
        <w:spacing w:after="60"/>
        <w:rPr>
          <w:rFonts w:ascii="Times New Roman" w:eastAsia="宋体" w:hAnsi="Times New Roman"/>
          <w:bCs/>
          <w:sz w:val="21"/>
          <w:szCs w:val="21"/>
          <w:lang w:eastAsia="zh-CN"/>
        </w:rPr>
      </w:pPr>
      <w:r>
        <w:rPr>
          <w:rFonts w:ascii="Times New Roman" w:eastAsia="宋体" w:hAnsi="Times New Roman"/>
          <w:bCs/>
          <w:sz w:val="21"/>
          <w:szCs w:val="21"/>
          <w:lang w:eastAsia="zh-CN"/>
        </w:rPr>
        <w:t xml:space="preserve">Phone: +86-731-88876490. Fax: +86-731-88879616. </w:t>
      </w:r>
    </w:p>
    <w:p w14:paraId="3AF69D4F" w14:textId="77777777" w:rsidR="00B22ACF" w:rsidRDefault="00000000">
      <w:pPr>
        <w:pStyle w:val="BIEmailAddress"/>
        <w:spacing w:after="60"/>
        <w:sectPr w:rsidR="00B22ACF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lnNumType w:countBy="1"/>
          <w:cols w:space="720"/>
          <w:docGrid w:type="lines" w:linePitch="312"/>
        </w:sectPr>
      </w:pPr>
      <w:r>
        <w:rPr>
          <w:rFonts w:ascii="Times New Roman" w:eastAsia="宋体" w:hAnsi="Times New Roman"/>
          <w:bCs/>
          <w:sz w:val="21"/>
          <w:szCs w:val="21"/>
          <w:lang w:eastAsia="zh-CN"/>
        </w:rPr>
        <w:t>E-mail: dengchunyan@csu.edu.c</w:t>
      </w:r>
      <w:r>
        <w:rPr>
          <w:rFonts w:ascii="Times New Roman" w:eastAsia="宋体" w:hAnsi="Times New Roman" w:hint="eastAsia"/>
          <w:bCs/>
          <w:sz w:val="21"/>
          <w:szCs w:val="21"/>
          <w:lang w:eastAsia="zh-CN"/>
        </w:rPr>
        <w:t>n</w:t>
      </w:r>
    </w:p>
    <w:p w14:paraId="21FDAADB" w14:textId="77777777" w:rsidR="00B22ACF" w:rsidRDefault="00000000">
      <w:pPr>
        <w:pStyle w:val="ac"/>
        <w:jc w:val="center"/>
        <w:rPr>
          <w:rFonts w:eastAsiaTheme="majorEastAsia"/>
          <w:sz w:val="32"/>
          <w:szCs w:val="32"/>
        </w:rPr>
      </w:pPr>
      <w:r>
        <w:rPr>
          <w:rFonts w:eastAsiaTheme="majorEastAsia"/>
          <w:sz w:val="32"/>
          <w:szCs w:val="32"/>
        </w:rPr>
        <w:lastRenderedPageBreak/>
        <w:t>Table of Contents</w:t>
      </w:r>
    </w:p>
    <w:p w14:paraId="1B904E28" w14:textId="77777777" w:rsidR="00B22ACF" w:rsidRDefault="00B22ACF">
      <w:pPr>
        <w:pStyle w:val="ac"/>
      </w:pPr>
    </w:p>
    <w:p w14:paraId="0A1309A9" w14:textId="77777777" w:rsidR="00B22ACF" w:rsidRDefault="00000000">
      <w:pPr>
        <w:pStyle w:val="ac"/>
        <w:numPr>
          <w:ilvl w:val="0"/>
          <w:numId w:val="1"/>
        </w:numPr>
        <w:spacing w:line="480" w:lineRule="auto"/>
        <w:ind w:left="442" w:firstLine="0"/>
        <w:rPr>
          <w:sz w:val="21"/>
          <w:szCs w:val="21"/>
          <w:shd w:val="clear" w:color="auto" w:fill="FFFFFF"/>
        </w:rPr>
      </w:pPr>
      <w:r>
        <w:rPr>
          <w:rFonts w:hint="eastAsia"/>
          <w:b/>
          <w:bCs/>
          <w:sz w:val="21"/>
          <w:szCs w:val="21"/>
          <w:shd w:val="clear" w:color="auto" w:fill="FFFFFF"/>
        </w:rPr>
        <w:t>Table S</w:t>
      </w:r>
      <w:r>
        <w:rPr>
          <w:b/>
          <w:bCs/>
          <w:sz w:val="21"/>
          <w:szCs w:val="21"/>
          <w:shd w:val="clear" w:color="auto" w:fill="FFFFFF"/>
        </w:rPr>
        <w:t xml:space="preserve">1. </w:t>
      </w:r>
      <w:r>
        <w:rPr>
          <w:sz w:val="21"/>
          <w:szCs w:val="21"/>
          <w:shd w:val="clear" w:color="auto" w:fill="FFFFFF"/>
        </w:rPr>
        <w:t>Comparison of bacteria detection performances with the proposed sensor and other methods.</w:t>
      </w:r>
    </w:p>
    <w:p w14:paraId="1766438E" w14:textId="77777777" w:rsidR="00B22ACF" w:rsidRDefault="00000000">
      <w:pPr>
        <w:pStyle w:val="ac"/>
        <w:numPr>
          <w:ilvl w:val="0"/>
          <w:numId w:val="1"/>
        </w:numPr>
        <w:spacing w:line="480" w:lineRule="auto"/>
        <w:ind w:left="442" w:firstLine="0"/>
        <w:rPr>
          <w:sz w:val="21"/>
          <w:szCs w:val="21"/>
        </w:rPr>
      </w:pPr>
      <w:r>
        <w:rPr>
          <w:b/>
          <w:bCs/>
          <w:sz w:val="21"/>
          <w:szCs w:val="21"/>
        </w:rPr>
        <w:t>Figure S</w:t>
      </w:r>
      <w:r>
        <w:rPr>
          <w:rFonts w:hint="eastAsia"/>
          <w:b/>
          <w:bCs/>
          <w:sz w:val="21"/>
          <w:szCs w:val="21"/>
        </w:rPr>
        <w:t>1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 xml:space="preserve"> Cyclic voltammograms responses of the different electrodes.</w:t>
      </w:r>
    </w:p>
    <w:p w14:paraId="493A6A0A" w14:textId="77777777" w:rsidR="00B22ACF" w:rsidRDefault="00000000">
      <w:r>
        <w:br w:type="page"/>
      </w:r>
    </w:p>
    <w:p w14:paraId="6102D819" w14:textId="77777777" w:rsidR="00B22ACF" w:rsidRDefault="00B22ACF"/>
    <w:p w14:paraId="45292873" w14:textId="77777777" w:rsidR="00B22ACF" w:rsidRDefault="00000000">
      <w:pPr>
        <w:rPr>
          <w:color w:val="2E2E2E"/>
          <w:kern w:val="0"/>
        </w:rPr>
      </w:pPr>
      <w:r>
        <w:rPr>
          <w:rFonts w:hint="eastAsia"/>
          <w:b/>
          <w:bCs/>
        </w:rPr>
        <w:t>Table S1</w:t>
      </w:r>
      <w:r>
        <w:rPr>
          <w:b/>
          <w:bCs/>
        </w:rPr>
        <w:t>.</w:t>
      </w:r>
      <w:r>
        <w:t xml:space="preserve"> Comparison of bacteria detection performances with the proposed sensor and other methods.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583"/>
        <w:gridCol w:w="1346"/>
        <w:gridCol w:w="1532"/>
        <w:gridCol w:w="1861"/>
      </w:tblGrid>
      <w:tr w:rsidR="00B22ACF" w14:paraId="54F1E808" w14:textId="77777777">
        <w:trPr>
          <w:trHeight w:val="326"/>
        </w:trPr>
        <w:tc>
          <w:tcPr>
            <w:tcW w:w="11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196CC" w14:textId="77777777" w:rsidR="00B22ACF" w:rsidRDefault="00000000">
            <w:pPr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lang w:bidi="ar"/>
              </w:rPr>
              <w:t>Ref</w:t>
            </w:r>
          </w:p>
        </w:tc>
        <w:tc>
          <w:tcPr>
            <w:tcW w:w="9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2F3D6" w14:textId="77777777" w:rsidR="00B22ACF" w:rsidRDefault="00000000">
            <w:pPr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lang w:bidi="ar"/>
              </w:rPr>
              <w:t>analytical method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514FE1" w14:textId="77777777" w:rsidR="00B22ACF" w:rsidRDefault="00000000">
            <w:pPr>
              <w:jc w:val="center"/>
              <w:rPr>
                <w:b/>
                <w:bCs/>
                <w:lang w:bidi="ar"/>
              </w:rPr>
            </w:pPr>
            <w:r>
              <w:rPr>
                <w:b/>
                <w:bCs/>
                <w:lang w:bidi="ar"/>
              </w:rPr>
              <w:t>LOD</w:t>
            </w:r>
          </w:p>
          <w:p w14:paraId="71723D62" w14:textId="77777777" w:rsidR="00B22ACF" w:rsidRDefault="00000000">
            <w:pPr>
              <w:jc w:val="center"/>
              <w:rPr>
                <w:b/>
                <w:bCs/>
                <w:lang w:bidi="ar"/>
              </w:rPr>
            </w:pPr>
            <w:r>
              <w:rPr>
                <w:b/>
                <w:bCs/>
                <w:lang w:bidi="ar"/>
              </w:rPr>
              <w:t>(CFU</w:t>
            </w:r>
            <w:r>
              <w:rPr>
                <w:rFonts w:hint="eastAsia"/>
                <w:b/>
                <w:bCs/>
                <w:lang w:bidi="ar"/>
              </w:rPr>
              <w:t xml:space="preserve"> </w:t>
            </w:r>
            <w:r>
              <w:rPr>
                <w:b/>
                <w:bCs/>
                <w:lang w:bidi="ar"/>
              </w:rPr>
              <w:t>mL</w:t>
            </w:r>
            <w:r>
              <w:rPr>
                <w:rFonts w:hint="eastAsia"/>
                <w:b/>
                <w:bCs/>
                <w:vertAlign w:val="superscript"/>
                <w:lang w:bidi="ar"/>
              </w:rPr>
              <w:t>-1</w:t>
            </w:r>
            <w:r>
              <w:rPr>
                <w:b/>
                <w:bCs/>
                <w:lang w:bidi="ar"/>
              </w:rPr>
              <w:t>)</w:t>
            </w:r>
          </w:p>
        </w:tc>
        <w:tc>
          <w:tcPr>
            <w:tcW w:w="9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9BFDA" w14:textId="77777777" w:rsidR="00B22ACF" w:rsidRDefault="00000000">
            <w:pPr>
              <w:jc w:val="center"/>
              <w:rPr>
                <w:b/>
                <w:bCs/>
                <w:lang w:bidi="ar"/>
              </w:rPr>
            </w:pPr>
            <w:r>
              <w:rPr>
                <w:b/>
                <w:bCs/>
                <w:lang w:bidi="ar"/>
              </w:rPr>
              <w:t>Linearity region</w:t>
            </w:r>
          </w:p>
          <w:p w14:paraId="7931F3B8" w14:textId="77777777" w:rsidR="00B22ACF" w:rsidRDefault="00000000">
            <w:pPr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lang w:bidi="ar"/>
              </w:rPr>
              <w:t>(CFU</w:t>
            </w:r>
            <w:r>
              <w:rPr>
                <w:rFonts w:hint="eastAsia"/>
                <w:b/>
                <w:bCs/>
                <w:lang w:bidi="ar"/>
              </w:rPr>
              <w:t xml:space="preserve"> </w:t>
            </w:r>
            <w:r>
              <w:rPr>
                <w:b/>
                <w:bCs/>
                <w:lang w:bidi="ar"/>
              </w:rPr>
              <w:t>mL</w:t>
            </w:r>
            <w:r>
              <w:rPr>
                <w:rFonts w:hint="eastAsia"/>
                <w:b/>
                <w:bCs/>
                <w:vertAlign w:val="superscript"/>
                <w:lang w:bidi="ar"/>
              </w:rPr>
              <w:t>-1</w:t>
            </w:r>
            <w:r>
              <w:rPr>
                <w:b/>
                <w:bCs/>
                <w:lang w:bidi="ar"/>
              </w:rPr>
              <w:t>)</w:t>
            </w:r>
          </w:p>
        </w:tc>
        <w:tc>
          <w:tcPr>
            <w:tcW w:w="11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5FDEC5" w14:textId="77777777" w:rsidR="00B22ACF" w:rsidRDefault="00000000">
            <w:pPr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lang w:bidi="ar"/>
              </w:rPr>
              <w:t>Live/dead cells discrimination</w:t>
            </w:r>
          </w:p>
        </w:tc>
      </w:tr>
      <w:tr w:rsidR="00B22ACF" w14:paraId="531BD2DB" w14:textId="77777777">
        <w:trPr>
          <w:trHeight w:val="326"/>
        </w:trPr>
        <w:tc>
          <w:tcPr>
            <w:tcW w:w="1194" w:type="pct"/>
            <w:tcBorders>
              <w:top w:val="single" w:sz="12" w:space="0" w:color="auto"/>
            </w:tcBorders>
            <w:vAlign w:val="center"/>
          </w:tcPr>
          <w:p w14:paraId="5F5F6B26" w14:textId="77777777" w:rsidR="00B22ACF" w:rsidRDefault="00000000">
            <w:pPr>
              <w:jc w:val="center"/>
            </w:pPr>
            <w:proofErr w:type="spellStart"/>
            <w:r>
              <w:rPr>
                <w:lang w:bidi="ar"/>
              </w:rPr>
              <w:t>Biosens</w:t>
            </w:r>
            <w:proofErr w:type="spellEnd"/>
            <w:r>
              <w:rPr>
                <w:lang w:bidi="ar"/>
              </w:rPr>
              <w:t xml:space="preserve">. </w:t>
            </w:r>
            <w:proofErr w:type="spellStart"/>
            <w:r>
              <w:rPr>
                <w:lang w:bidi="ar"/>
              </w:rPr>
              <w:t>Bioelectron</w:t>
            </w:r>
            <w:proofErr w:type="spellEnd"/>
            <w:r>
              <w:rPr>
                <w:lang w:bidi="ar"/>
              </w:rPr>
              <w:t>. 2015, 74, 872-877</w:t>
            </w:r>
          </w:p>
        </w:tc>
        <w:tc>
          <w:tcPr>
            <w:tcW w:w="953" w:type="pct"/>
            <w:tcBorders>
              <w:top w:val="single" w:sz="12" w:space="0" w:color="auto"/>
            </w:tcBorders>
            <w:vAlign w:val="center"/>
          </w:tcPr>
          <w:p w14:paraId="6A9E6E63" w14:textId="77777777" w:rsidR="00B22ACF" w:rsidRDefault="00000000">
            <w:pPr>
              <w:jc w:val="center"/>
            </w:pPr>
            <w:r>
              <w:rPr>
                <w:lang w:bidi="ar"/>
              </w:rPr>
              <w:t>SERS</w:t>
            </w:r>
          </w:p>
        </w:tc>
        <w:tc>
          <w:tcPr>
            <w:tcW w:w="810" w:type="pct"/>
            <w:tcBorders>
              <w:top w:val="single" w:sz="12" w:space="0" w:color="auto"/>
            </w:tcBorders>
            <w:vAlign w:val="center"/>
          </w:tcPr>
          <w:p w14:paraId="5AFDC725" w14:textId="77777777" w:rsidR="00B22ACF" w:rsidRDefault="00000000">
            <w:pPr>
              <w:jc w:val="center"/>
            </w:pPr>
            <w:r>
              <w:t>15</w:t>
            </w:r>
          </w:p>
        </w:tc>
        <w:tc>
          <w:tcPr>
            <w:tcW w:w="922" w:type="pct"/>
            <w:tcBorders>
              <w:top w:val="single" w:sz="12" w:space="0" w:color="auto"/>
            </w:tcBorders>
            <w:vAlign w:val="center"/>
          </w:tcPr>
          <w:p w14:paraId="54CDC7F5" w14:textId="77777777" w:rsidR="00B22ACF" w:rsidRDefault="00000000">
            <w:pPr>
              <w:jc w:val="center"/>
              <w:rPr>
                <w:sz w:val="20"/>
              </w:rPr>
            </w:pPr>
            <w:r>
              <w:rPr>
                <w:rStyle w:val="font21"/>
                <w:b w:val="0"/>
                <w:bCs w:val="0"/>
                <w:kern w:val="0"/>
                <w:sz w:val="21"/>
                <w:szCs w:val="21"/>
                <w:lang w:bidi="ar"/>
              </w:rPr>
              <w:t>10</w:t>
            </w:r>
            <w:r>
              <w:rPr>
                <w:rStyle w:val="font11"/>
                <w:b w:val="0"/>
                <w:bCs w:val="0"/>
                <w:kern w:val="0"/>
                <w:sz w:val="21"/>
                <w:szCs w:val="21"/>
                <w:lang w:bidi="ar"/>
              </w:rPr>
              <w:t>2</w:t>
            </w:r>
            <w:r>
              <w:rPr>
                <w:rStyle w:val="font21"/>
                <w:b w:val="0"/>
                <w:bCs w:val="0"/>
                <w:kern w:val="0"/>
                <w:sz w:val="21"/>
                <w:szCs w:val="21"/>
                <w:lang w:bidi="ar"/>
              </w:rPr>
              <w:t>-10</w:t>
            </w:r>
            <w:r>
              <w:rPr>
                <w:rStyle w:val="font11"/>
                <w:b w:val="0"/>
                <w:bCs w:val="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120" w:type="pct"/>
            <w:tcBorders>
              <w:top w:val="single" w:sz="12" w:space="0" w:color="auto"/>
            </w:tcBorders>
            <w:vAlign w:val="center"/>
          </w:tcPr>
          <w:p w14:paraId="757CE2F5" w14:textId="77777777" w:rsidR="00B22ACF" w:rsidRDefault="00000000">
            <w:pPr>
              <w:jc w:val="center"/>
            </w:pPr>
            <w:r>
              <w:rPr>
                <w:lang w:bidi="ar"/>
              </w:rPr>
              <w:t>NO</w:t>
            </w:r>
          </w:p>
        </w:tc>
      </w:tr>
      <w:tr w:rsidR="00B22ACF" w14:paraId="2C3D4CCD" w14:textId="77777777">
        <w:trPr>
          <w:trHeight w:val="326"/>
        </w:trPr>
        <w:tc>
          <w:tcPr>
            <w:tcW w:w="1194" w:type="pct"/>
            <w:vAlign w:val="center"/>
          </w:tcPr>
          <w:p w14:paraId="6D74ED27" w14:textId="77777777" w:rsidR="00B22ACF" w:rsidRDefault="00000000">
            <w:pPr>
              <w:jc w:val="center"/>
            </w:pPr>
            <w:r>
              <w:rPr>
                <w:lang w:bidi="ar"/>
              </w:rPr>
              <w:t>ACS Appl. Mater. Interfaces. 2020, 12 (8), 8989-8999</w:t>
            </w:r>
          </w:p>
        </w:tc>
        <w:tc>
          <w:tcPr>
            <w:tcW w:w="953" w:type="pct"/>
            <w:vAlign w:val="center"/>
          </w:tcPr>
          <w:p w14:paraId="39BAE9F4" w14:textId="77777777" w:rsidR="00B22ACF" w:rsidRDefault="00000000">
            <w:pPr>
              <w:jc w:val="center"/>
            </w:pPr>
            <w:r>
              <w:rPr>
                <w:lang w:bidi="ar"/>
              </w:rPr>
              <w:t>Colorimetric</w:t>
            </w:r>
          </w:p>
        </w:tc>
        <w:tc>
          <w:tcPr>
            <w:tcW w:w="810" w:type="pct"/>
            <w:vAlign w:val="center"/>
          </w:tcPr>
          <w:p w14:paraId="52AE07FC" w14:textId="77777777" w:rsidR="00B22ACF" w:rsidRDefault="00000000">
            <w:pPr>
              <w:jc w:val="center"/>
            </w:pPr>
            <w:r>
              <w:t>24</w:t>
            </w:r>
          </w:p>
        </w:tc>
        <w:tc>
          <w:tcPr>
            <w:tcW w:w="922" w:type="pct"/>
            <w:vAlign w:val="center"/>
          </w:tcPr>
          <w:p w14:paraId="79754049" w14:textId="77777777" w:rsidR="00B22ACF" w:rsidRDefault="00000000">
            <w:pPr>
              <w:jc w:val="center"/>
            </w:pPr>
            <w:r>
              <w:rPr>
                <w:lang w:bidi="ar"/>
              </w:rPr>
              <w:t>10</w:t>
            </w:r>
            <w:r>
              <w:rPr>
                <w:vertAlign w:val="superscript"/>
                <w:lang w:bidi="ar"/>
              </w:rPr>
              <w:t>2</w:t>
            </w:r>
            <w:r>
              <w:rPr>
                <w:lang w:bidi="ar"/>
              </w:rPr>
              <w:t>-10</w:t>
            </w:r>
            <w:r>
              <w:rPr>
                <w:vertAlign w:val="superscript"/>
                <w:lang w:bidi="ar"/>
              </w:rPr>
              <w:t>7</w:t>
            </w:r>
          </w:p>
        </w:tc>
        <w:tc>
          <w:tcPr>
            <w:tcW w:w="1120" w:type="pct"/>
            <w:vAlign w:val="center"/>
          </w:tcPr>
          <w:p w14:paraId="22302662" w14:textId="77777777" w:rsidR="00B22ACF" w:rsidRDefault="00000000">
            <w:pPr>
              <w:jc w:val="center"/>
            </w:pPr>
            <w:r>
              <w:rPr>
                <w:lang w:bidi="ar"/>
              </w:rPr>
              <w:t>NO</w:t>
            </w:r>
          </w:p>
        </w:tc>
      </w:tr>
      <w:tr w:rsidR="00B22ACF" w14:paraId="090ECC5A" w14:textId="77777777">
        <w:trPr>
          <w:trHeight w:val="326"/>
        </w:trPr>
        <w:tc>
          <w:tcPr>
            <w:tcW w:w="1194" w:type="pct"/>
            <w:vAlign w:val="center"/>
          </w:tcPr>
          <w:p w14:paraId="46B82E16" w14:textId="77777777" w:rsidR="00B22ACF" w:rsidRDefault="00000000">
            <w:pPr>
              <w:jc w:val="center"/>
            </w:pPr>
            <w:r>
              <w:rPr>
                <w:lang w:bidi="ar"/>
              </w:rPr>
              <w:t>Anal. Chem. 2020, 92 (4), 3340-3345</w:t>
            </w:r>
          </w:p>
        </w:tc>
        <w:tc>
          <w:tcPr>
            <w:tcW w:w="953" w:type="pct"/>
            <w:vAlign w:val="center"/>
          </w:tcPr>
          <w:p w14:paraId="22CCE520" w14:textId="77777777" w:rsidR="00B22ACF" w:rsidRDefault="00000000">
            <w:pPr>
              <w:jc w:val="center"/>
            </w:pPr>
            <w:r>
              <w:rPr>
                <w:lang w:bidi="ar"/>
              </w:rPr>
              <w:t>Flow cytometry</w:t>
            </w:r>
          </w:p>
        </w:tc>
        <w:tc>
          <w:tcPr>
            <w:tcW w:w="810" w:type="pct"/>
            <w:vAlign w:val="center"/>
          </w:tcPr>
          <w:p w14:paraId="297EBC04" w14:textId="77777777" w:rsidR="00B22ACF" w:rsidRDefault="00000000">
            <w:pPr>
              <w:jc w:val="center"/>
            </w:pPr>
            <w:r>
              <w:t>40</w:t>
            </w:r>
          </w:p>
        </w:tc>
        <w:tc>
          <w:tcPr>
            <w:tcW w:w="922" w:type="pct"/>
            <w:vAlign w:val="center"/>
          </w:tcPr>
          <w:p w14:paraId="7DFFB28D" w14:textId="77777777" w:rsidR="00B22ACF" w:rsidRDefault="00000000">
            <w:pPr>
              <w:jc w:val="center"/>
            </w:pPr>
            <w:r>
              <w:rPr>
                <w:lang w:bidi="ar"/>
              </w:rPr>
              <w:t>1.5 × 10</w:t>
            </w:r>
            <w:r>
              <w:rPr>
                <w:vertAlign w:val="superscript"/>
                <w:lang w:bidi="ar"/>
              </w:rPr>
              <w:t>2</w:t>
            </w:r>
            <w:r>
              <w:rPr>
                <w:lang w:bidi="ar"/>
              </w:rPr>
              <w:t>-1.5 × 10</w:t>
            </w:r>
            <w:r>
              <w:rPr>
                <w:vertAlign w:val="superscript"/>
                <w:lang w:bidi="ar"/>
              </w:rPr>
              <w:t>6</w:t>
            </w:r>
          </w:p>
        </w:tc>
        <w:tc>
          <w:tcPr>
            <w:tcW w:w="1120" w:type="pct"/>
            <w:vAlign w:val="center"/>
          </w:tcPr>
          <w:p w14:paraId="5571C7E7" w14:textId="77777777" w:rsidR="00B22ACF" w:rsidRDefault="00000000">
            <w:pPr>
              <w:jc w:val="center"/>
            </w:pPr>
            <w:r>
              <w:rPr>
                <w:lang w:bidi="ar"/>
              </w:rPr>
              <w:t>NO</w:t>
            </w:r>
          </w:p>
        </w:tc>
      </w:tr>
      <w:tr w:rsidR="00B22ACF" w14:paraId="5DABC0F6" w14:textId="77777777">
        <w:trPr>
          <w:trHeight w:val="326"/>
        </w:trPr>
        <w:tc>
          <w:tcPr>
            <w:tcW w:w="1194" w:type="pct"/>
            <w:vAlign w:val="center"/>
          </w:tcPr>
          <w:p w14:paraId="17C24D99" w14:textId="77777777" w:rsidR="00B22ACF" w:rsidRDefault="00000000">
            <w:pPr>
              <w:jc w:val="center"/>
            </w:pPr>
            <w:r>
              <w:rPr>
                <w:lang w:bidi="ar"/>
              </w:rPr>
              <w:t>Anal. Chem. 2019, 91 (22), 14681-14690</w:t>
            </w:r>
          </w:p>
        </w:tc>
        <w:tc>
          <w:tcPr>
            <w:tcW w:w="953" w:type="pct"/>
            <w:vAlign w:val="center"/>
          </w:tcPr>
          <w:p w14:paraId="1427A334" w14:textId="77777777" w:rsidR="00B22ACF" w:rsidRDefault="00000000">
            <w:pPr>
              <w:jc w:val="center"/>
            </w:pPr>
            <w:r>
              <w:rPr>
                <w:lang w:bidi="ar"/>
              </w:rPr>
              <w:t>Fluorescent</w:t>
            </w:r>
          </w:p>
        </w:tc>
        <w:tc>
          <w:tcPr>
            <w:tcW w:w="810" w:type="pct"/>
            <w:vAlign w:val="center"/>
          </w:tcPr>
          <w:p w14:paraId="4FACB358" w14:textId="77777777" w:rsidR="00B22ACF" w:rsidRDefault="00000000">
            <w:pPr>
              <w:jc w:val="center"/>
            </w:pPr>
            <w:r>
              <w:t>8</w:t>
            </w:r>
          </w:p>
        </w:tc>
        <w:tc>
          <w:tcPr>
            <w:tcW w:w="922" w:type="pct"/>
            <w:vAlign w:val="center"/>
          </w:tcPr>
          <w:p w14:paraId="2F690C50" w14:textId="77777777" w:rsidR="00B22ACF" w:rsidRDefault="00000000">
            <w:pPr>
              <w:jc w:val="center"/>
            </w:pPr>
            <w:r>
              <w:rPr>
                <w:lang w:bidi="ar"/>
              </w:rPr>
              <w:t>50-10</w:t>
            </w:r>
            <w:r>
              <w:rPr>
                <w:vertAlign w:val="superscript"/>
                <w:lang w:bidi="ar"/>
              </w:rPr>
              <w:t>7</w:t>
            </w:r>
          </w:p>
        </w:tc>
        <w:tc>
          <w:tcPr>
            <w:tcW w:w="1120" w:type="pct"/>
            <w:vAlign w:val="center"/>
          </w:tcPr>
          <w:p w14:paraId="6C0A2EA1" w14:textId="77777777" w:rsidR="00B22ACF" w:rsidRDefault="00000000">
            <w:pPr>
              <w:jc w:val="center"/>
            </w:pPr>
            <w:r>
              <w:rPr>
                <w:lang w:bidi="ar"/>
              </w:rPr>
              <w:t>NO</w:t>
            </w:r>
          </w:p>
        </w:tc>
      </w:tr>
      <w:tr w:rsidR="00B22ACF" w14:paraId="4F2ACF89" w14:textId="77777777">
        <w:trPr>
          <w:trHeight w:val="326"/>
        </w:trPr>
        <w:tc>
          <w:tcPr>
            <w:tcW w:w="1194" w:type="pct"/>
            <w:vAlign w:val="center"/>
          </w:tcPr>
          <w:p w14:paraId="21167B8E" w14:textId="77777777" w:rsidR="00B22ACF" w:rsidRDefault="00000000">
            <w:pPr>
              <w:jc w:val="center"/>
            </w:pPr>
            <w:r>
              <w:rPr>
                <w:lang w:bidi="ar"/>
              </w:rPr>
              <w:t>Anal. Chem. 2021, 93, 24,8544-8552</w:t>
            </w:r>
          </w:p>
        </w:tc>
        <w:tc>
          <w:tcPr>
            <w:tcW w:w="953" w:type="pct"/>
            <w:vAlign w:val="center"/>
          </w:tcPr>
          <w:p w14:paraId="768EB66C" w14:textId="77777777" w:rsidR="00B22ACF" w:rsidRDefault="00000000">
            <w:pPr>
              <w:jc w:val="center"/>
            </w:pPr>
            <w:r>
              <w:rPr>
                <w:lang w:bidi="ar"/>
              </w:rPr>
              <w:t>Electrochemical</w:t>
            </w:r>
          </w:p>
        </w:tc>
        <w:tc>
          <w:tcPr>
            <w:tcW w:w="810" w:type="pct"/>
            <w:vAlign w:val="center"/>
          </w:tcPr>
          <w:p w14:paraId="5BF94425" w14:textId="77777777" w:rsidR="00B22ACF" w:rsidRDefault="00000000">
            <w:pPr>
              <w:jc w:val="center"/>
            </w:pPr>
            <w:r>
              <w:t>6</w:t>
            </w:r>
          </w:p>
        </w:tc>
        <w:tc>
          <w:tcPr>
            <w:tcW w:w="922" w:type="pct"/>
            <w:vAlign w:val="center"/>
          </w:tcPr>
          <w:p w14:paraId="04B8237A" w14:textId="77777777" w:rsidR="00B22ACF" w:rsidRDefault="00000000">
            <w:pPr>
              <w:jc w:val="center"/>
            </w:pPr>
            <w:r>
              <w:rPr>
                <w:lang w:bidi="ar"/>
              </w:rPr>
              <w:t>10-7.5 × 10</w:t>
            </w:r>
            <w:r>
              <w:rPr>
                <w:vertAlign w:val="superscript"/>
                <w:lang w:bidi="ar"/>
              </w:rPr>
              <w:t>5</w:t>
            </w:r>
          </w:p>
        </w:tc>
        <w:tc>
          <w:tcPr>
            <w:tcW w:w="1120" w:type="pct"/>
            <w:vAlign w:val="center"/>
          </w:tcPr>
          <w:p w14:paraId="27359F3E" w14:textId="77777777" w:rsidR="00B22ACF" w:rsidRDefault="00000000">
            <w:pPr>
              <w:jc w:val="center"/>
            </w:pPr>
            <w:r>
              <w:rPr>
                <w:lang w:bidi="ar"/>
              </w:rPr>
              <w:t>NO</w:t>
            </w:r>
          </w:p>
        </w:tc>
      </w:tr>
      <w:tr w:rsidR="00B22ACF" w14:paraId="2E897F36" w14:textId="77777777">
        <w:trPr>
          <w:trHeight w:val="337"/>
        </w:trPr>
        <w:tc>
          <w:tcPr>
            <w:tcW w:w="1194" w:type="pct"/>
            <w:tcBorders>
              <w:bottom w:val="single" w:sz="12" w:space="0" w:color="auto"/>
            </w:tcBorders>
            <w:vAlign w:val="center"/>
          </w:tcPr>
          <w:p w14:paraId="38689595" w14:textId="77777777" w:rsidR="00B22ACF" w:rsidRDefault="00000000">
            <w:pPr>
              <w:jc w:val="center"/>
            </w:pPr>
            <w:r>
              <w:rPr>
                <w:lang w:bidi="ar"/>
              </w:rPr>
              <w:t>this work</w:t>
            </w:r>
          </w:p>
        </w:tc>
        <w:tc>
          <w:tcPr>
            <w:tcW w:w="953" w:type="pct"/>
            <w:tcBorders>
              <w:bottom w:val="single" w:sz="12" w:space="0" w:color="auto"/>
            </w:tcBorders>
            <w:vAlign w:val="center"/>
          </w:tcPr>
          <w:p w14:paraId="1F3F54AA" w14:textId="77777777" w:rsidR="00B22ACF" w:rsidRDefault="00000000">
            <w:pPr>
              <w:jc w:val="center"/>
            </w:pPr>
            <w:r>
              <w:rPr>
                <w:lang w:bidi="ar"/>
              </w:rPr>
              <w:t>Electrochemical</w:t>
            </w:r>
          </w:p>
        </w:tc>
        <w:tc>
          <w:tcPr>
            <w:tcW w:w="810" w:type="pct"/>
            <w:tcBorders>
              <w:bottom w:val="single" w:sz="12" w:space="0" w:color="auto"/>
            </w:tcBorders>
            <w:vAlign w:val="center"/>
          </w:tcPr>
          <w:p w14:paraId="5B9FC7EF" w14:textId="77777777" w:rsidR="00B22ACF" w:rsidRDefault="00000000">
            <w:pPr>
              <w:jc w:val="center"/>
            </w:pPr>
            <w:r>
              <w:t>5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14:paraId="1BC61549" w14:textId="77777777" w:rsidR="00B22ACF" w:rsidRDefault="00000000">
            <w:pPr>
              <w:jc w:val="center"/>
            </w:pPr>
            <w:r>
              <w:rPr>
                <w:lang w:bidi="ar"/>
              </w:rPr>
              <w:t>2.4×10</w:t>
            </w:r>
            <w:r>
              <w:rPr>
                <w:vertAlign w:val="superscript"/>
                <w:lang w:bidi="ar"/>
              </w:rPr>
              <w:t>1</w:t>
            </w:r>
            <w:r>
              <w:rPr>
                <w:lang w:bidi="ar"/>
              </w:rPr>
              <w:t>-2.4×10</w:t>
            </w:r>
            <w:r>
              <w:rPr>
                <w:vertAlign w:val="superscript"/>
                <w:lang w:bidi="ar"/>
              </w:rPr>
              <w:t>7</w:t>
            </w:r>
          </w:p>
        </w:tc>
        <w:tc>
          <w:tcPr>
            <w:tcW w:w="1120" w:type="pct"/>
            <w:tcBorders>
              <w:bottom w:val="single" w:sz="12" w:space="0" w:color="auto"/>
            </w:tcBorders>
            <w:vAlign w:val="center"/>
          </w:tcPr>
          <w:p w14:paraId="192B55DB" w14:textId="77777777" w:rsidR="00B22ACF" w:rsidRDefault="00000000">
            <w:pPr>
              <w:jc w:val="center"/>
            </w:pPr>
            <w:r>
              <w:rPr>
                <w:lang w:bidi="ar"/>
              </w:rPr>
              <w:t>YES</w:t>
            </w:r>
          </w:p>
        </w:tc>
      </w:tr>
    </w:tbl>
    <w:p w14:paraId="6BE20D7C" w14:textId="77777777" w:rsidR="00B22ACF" w:rsidRDefault="00B22ACF">
      <w:pPr>
        <w:rPr>
          <w:shd w:val="clear" w:color="auto" w:fill="FFFFFF"/>
        </w:rPr>
      </w:pPr>
    </w:p>
    <w:p w14:paraId="5A2C4A34" w14:textId="77777777" w:rsidR="00B22ACF" w:rsidRDefault="00B22ACF">
      <w:pPr>
        <w:rPr>
          <w:shd w:val="clear" w:color="auto" w:fill="FFFFFF"/>
        </w:rPr>
      </w:pPr>
    </w:p>
    <w:p w14:paraId="702785FA" w14:textId="77777777" w:rsidR="00B22ACF" w:rsidRDefault="00000000">
      <w:r>
        <w:br w:type="page"/>
      </w:r>
    </w:p>
    <w:p w14:paraId="374BC6E6" w14:textId="77777777" w:rsidR="00B22ACF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26620D4" wp14:editId="730626CD">
            <wp:extent cx="2832100" cy="2320290"/>
            <wp:effectExtent l="0" t="0" r="6350" b="3810"/>
            <wp:docPr id="1913758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5874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9159" cy="232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41CA" w14:textId="77777777" w:rsidR="00B22ACF" w:rsidRDefault="00000000">
      <w:bookmarkStart w:id="1" w:name="_Hlk164527055"/>
      <w:r>
        <w:rPr>
          <w:b/>
          <w:bCs/>
        </w:rPr>
        <w:t>Figure S</w:t>
      </w:r>
      <w:bookmarkEnd w:id="1"/>
      <w:r>
        <w:rPr>
          <w:rFonts w:hint="eastAsia"/>
          <w:b/>
          <w:bCs/>
        </w:rPr>
        <w:t>1</w:t>
      </w:r>
      <w:r>
        <w:rPr>
          <w:b/>
          <w:bCs/>
        </w:rPr>
        <w:t>.</w:t>
      </w:r>
      <w:r>
        <w:t xml:space="preserve"> </w:t>
      </w:r>
      <w:r>
        <w:rPr>
          <w:rFonts w:hint="eastAsia"/>
        </w:rPr>
        <w:t>C</w:t>
      </w:r>
      <w:r>
        <w:t>yclic voltammograms responses of</w:t>
      </w:r>
      <w:r>
        <w:rPr>
          <w:rFonts w:hint="eastAsia"/>
        </w:rPr>
        <w:t xml:space="preserve"> the </w:t>
      </w:r>
      <w:r>
        <w:t xml:space="preserve">bare GC (curve a), </w:t>
      </w:r>
      <w:proofErr w:type="spellStart"/>
      <w:r>
        <w:t>Mxene@MB</w:t>
      </w:r>
      <w:proofErr w:type="spellEnd"/>
      <w:r>
        <w:t>/GCE (curve b), PDDA/</w:t>
      </w:r>
      <w:proofErr w:type="spellStart"/>
      <w:r>
        <w:t>Mxene@MB</w:t>
      </w:r>
      <w:proofErr w:type="spellEnd"/>
      <w:r>
        <w:t>/GCE (curve c), Phage/PDDA/</w:t>
      </w:r>
      <w:proofErr w:type="spellStart"/>
      <w:r>
        <w:t>Mxene@MB</w:t>
      </w:r>
      <w:proofErr w:type="spellEnd"/>
      <w:r>
        <w:t>/GCE (line d), bacteria/Phage/PDDA/</w:t>
      </w:r>
      <w:proofErr w:type="spellStart"/>
      <w:r>
        <w:t>Mxene@MB</w:t>
      </w:r>
      <w:proofErr w:type="spellEnd"/>
      <w:r>
        <w:t>/GCE (line e) of 2.4 × 10</w:t>
      </w:r>
      <w:r>
        <w:rPr>
          <w:vertAlign w:val="superscript"/>
        </w:rPr>
        <w:t>5</w:t>
      </w:r>
      <w:r>
        <w:t xml:space="preserve"> CFU mL</w:t>
      </w:r>
      <w:r>
        <w:rPr>
          <w:vertAlign w:val="superscript"/>
        </w:rPr>
        <w:t>-1</w:t>
      </w:r>
      <w:r>
        <w:t>. The current density measurements at 0</w:t>
      </w:r>
      <w:r>
        <w:rPr>
          <w:rFonts w:hint="eastAsia"/>
        </w:rPr>
        <w:t>-</w:t>
      </w:r>
      <w:r>
        <w:t>0.6 V in 5.0 mM [Fe (CN)</w:t>
      </w:r>
      <w:r>
        <w:rPr>
          <w:vertAlign w:val="subscript"/>
        </w:rPr>
        <w:t>6</w:t>
      </w:r>
      <w:r>
        <w:t>]</w:t>
      </w:r>
      <w:r>
        <w:rPr>
          <w:vertAlign w:val="superscript"/>
        </w:rPr>
        <w:t>3-</w:t>
      </w:r>
      <w:r>
        <w:t xml:space="preserve"> / [Fe (CN)</w:t>
      </w:r>
      <w:r>
        <w:rPr>
          <w:vertAlign w:val="subscript"/>
        </w:rPr>
        <w:t>6</w:t>
      </w:r>
      <w:r>
        <w:t>]</w:t>
      </w:r>
      <w:r>
        <w:rPr>
          <w:vertAlign w:val="superscript"/>
        </w:rPr>
        <w:t>4-</w:t>
      </w:r>
      <w:r>
        <w:t xml:space="preserve"> (1:1) containing 0.1 M </w:t>
      </w:r>
      <w:proofErr w:type="spellStart"/>
      <w:r>
        <w:t>KCl</w:t>
      </w:r>
      <w:proofErr w:type="spellEnd"/>
      <w:r>
        <w:t>, scan rate: 100 mV s</w:t>
      </w:r>
      <w:r>
        <w:rPr>
          <w:vertAlign w:val="superscript"/>
        </w:rPr>
        <w:t>-1</w:t>
      </w:r>
      <w:r>
        <w:t xml:space="preserve"> (Ag/AgCl electrode as the reference electrode)</w:t>
      </w:r>
      <w:r>
        <w:rPr>
          <w:rFonts w:hint="eastAsia"/>
        </w:rPr>
        <w:t>.</w:t>
      </w:r>
    </w:p>
    <w:p w14:paraId="175AD33A" w14:textId="77777777" w:rsidR="00B22ACF" w:rsidRDefault="00B22ACF"/>
    <w:sectPr w:rsidR="00B22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EBFB2" w14:textId="77777777" w:rsidR="00465DB3" w:rsidRDefault="00465DB3">
      <w:r>
        <w:separator/>
      </w:r>
    </w:p>
  </w:endnote>
  <w:endnote w:type="continuationSeparator" w:id="0">
    <w:p w14:paraId="10A93B55" w14:textId="77777777" w:rsidR="00465DB3" w:rsidRDefault="0046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46703" w14:textId="77777777" w:rsidR="00B22ACF" w:rsidRDefault="00B22ACF">
    <w:pPr>
      <w:pStyle w:val="a3"/>
      <w:ind w:firstLine="360"/>
    </w:pPr>
  </w:p>
  <w:p w14:paraId="55C090AA" w14:textId="77777777" w:rsidR="00B22ACF" w:rsidRDefault="00B22ACF"/>
  <w:p w14:paraId="577ABAE6" w14:textId="77777777" w:rsidR="00B22ACF" w:rsidRDefault="00B22ACF"/>
  <w:p w14:paraId="1A60EE09" w14:textId="77777777" w:rsidR="00B22ACF" w:rsidRDefault="00B22ACF"/>
  <w:p w14:paraId="13989901" w14:textId="77777777" w:rsidR="00B22ACF" w:rsidRDefault="00B22ACF"/>
  <w:p w14:paraId="603264A6" w14:textId="77777777" w:rsidR="00B22ACF" w:rsidRDefault="00B22ACF"/>
  <w:p w14:paraId="084C115F" w14:textId="77777777" w:rsidR="00B22ACF" w:rsidRDefault="00B22ACF"/>
  <w:p w14:paraId="69430D8D" w14:textId="77777777" w:rsidR="00B22ACF" w:rsidRDefault="00B22ACF"/>
  <w:p w14:paraId="4C6BC239" w14:textId="77777777" w:rsidR="00B22ACF" w:rsidRDefault="00B22ACF"/>
  <w:p w14:paraId="5D06E30A" w14:textId="77777777" w:rsidR="00B22ACF" w:rsidRDefault="00B22ACF"/>
  <w:p w14:paraId="6C40EAC5" w14:textId="77777777" w:rsidR="00B22ACF" w:rsidRDefault="00B22ACF"/>
  <w:p w14:paraId="117B763D" w14:textId="77777777" w:rsidR="00B22ACF" w:rsidRDefault="00B22ACF"/>
  <w:p w14:paraId="4873C093" w14:textId="77777777" w:rsidR="00B22ACF" w:rsidRDefault="00B22ACF"/>
  <w:p w14:paraId="1BAFAD02" w14:textId="77777777" w:rsidR="00B22ACF" w:rsidRDefault="00B22A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5DD63" w14:textId="77777777" w:rsidR="00B22ACF" w:rsidRDefault="00000000">
    <w:pPr>
      <w:pStyle w:val="a3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07DD3C" wp14:editId="53BEFA1F">
              <wp:simplePos x="0" y="0"/>
              <wp:positionH relativeFrom="margin">
                <wp:posOffset>2388870</wp:posOffset>
              </wp:positionH>
              <wp:positionV relativeFrom="paragraph">
                <wp:posOffset>-1905</wp:posOffset>
              </wp:positionV>
              <wp:extent cx="3962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141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E615C" w14:textId="77777777" w:rsidR="00B22ACF" w:rsidRDefault="00000000">
                          <w:pPr>
                            <w:pStyle w:val="a3"/>
                            <w:ind w:firstLine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7DD3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188.1pt;margin-top:-.15pt;width:31.2pt;height:2in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" filled="f" stroked="f" strokeweight=".5pt">
              <v:textbox style="mso-fit-shape-to-text:t" inset="0,0,0,0">
                <w:txbxContent>
                  <w:p w14:paraId="608E615C" w14:textId="77777777" w:rsidR="00B22ACF" w:rsidRDefault="00000000">
                    <w:pPr>
                      <w:pStyle w:val="a3"/>
                      <w:ind w:firstLine="360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A7B01A5" w14:textId="77777777" w:rsidR="00B22ACF" w:rsidRDefault="00B22A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7966B" w14:textId="77777777" w:rsidR="00B22ACF" w:rsidRDefault="00B22AC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8925E" w14:textId="77777777" w:rsidR="00465DB3" w:rsidRDefault="00465DB3">
      <w:r>
        <w:separator/>
      </w:r>
    </w:p>
  </w:footnote>
  <w:footnote w:type="continuationSeparator" w:id="0">
    <w:p w14:paraId="3FA651E1" w14:textId="77777777" w:rsidR="00465DB3" w:rsidRDefault="00465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D3D6D" w14:textId="77777777" w:rsidR="00B22ACF" w:rsidRDefault="00B22ACF">
    <w:pPr>
      <w:pStyle w:val="a5"/>
      <w:ind w:firstLine="360"/>
    </w:pPr>
  </w:p>
  <w:p w14:paraId="71DA6CD1" w14:textId="77777777" w:rsidR="00B22ACF" w:rsidRDefault="00B22ACF"/>
  <w:p w14:paraId="638D6F2E" w14:textId="77777777" w:rsidR="00B22ACF" w:rsidRDefault="00B22ACF"/>
  <w:p w14:paraId="43EF2F39" w14:textId="77777777" w:rsidR="00B22ACF" w:rsidRDefault="00B22ACF"/>
  <w:p w14:paraId="49F36CAE" w14:textId="77777777" w:rsidR="00B22ACF" w:rsidRDefault="00B22ACF"/>
  <w:p w14:paraId="1A9D3A49" w14:textId="77777777" w:rsidR="00B22ACF" w:rsidRDefault="00B22ACF"/>
  <w:p w14:paraId="1CD1CBA7" w14:textId="77777777" w:rsidR="00B22ACF" w:rsidRDefault="00B22ACF"/>
  <w:p w14:paraId="377E83EF" w14:textId="77777777" w:rsidR="00B22ACF" w:rsidRDefault="00B22ACF"/>
  <w:p w14:paraId="0B983F7E" w14:textId="77777777" w:rsidR="00B22ACF" w:rsidRDefault="00B22ACF"/>
  <w:p w14:paraId="6AC88C2E" w14:textId="77777777" w:rsidR="00B22ACF" w:rsidRDefault="00B22ACF"/>
  <w:p w14:paraId="2AB69E86" w14:textId="77777777" w:rsidR="00B22ACF" w:rsidRDefault="00B22ACF"/>
  <w:p w14:paraId="3AEC3E0A" w14:textId="77777777" w:rsidR="00B22ACF" w:rsidRDefault="00B22ACF"/>
  <w:p w14:paraId="1414EACA" w14:textId="77777777" w:rsidR="00B22ACF" w:rsidRDefault="00B22ACF"/>
  <w:p w14:paraId="0180031B" w14:textId="77777777" w:rsidR="00B22ACF" w:rsidRDefault="00B22AC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8CBB7" w14:textId="77777777" w:rsidR="00B22ACF" w:rsidRDefault="00B22AC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0B6A99"/>
    <w:multiLevelType w:val="multilevel"/>
    <w:tmpl w:val="5C0B6A99"/>
    <w:lvl w:ilvl="0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33020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g5ZDNkYzQyMGM3ZWFkY2Y5MWJhMTQzMzhlNGMxZTEifQ=="/>
  </w:docVars>
  <w:rsids>
    <w:rsidRoot w:val="005336E6"/>
    <w:rsid w:val="0000205B"/>
    <w:rsid w:val="000158E8"/>
    <w:rsid w:val="000212DE"/>
    <w:rsid w:val="00027201"/>
    <w:rsid w:val="0005564B"/>
    <w:rsid w:val="0006055E"/>
    <w:rsid w:val="000605FB"/>
    <w:rsid w:val="00064EC4"/>
    <w:rsid w:val="000700F6"/>
    <w:rsid w:val="00080292"/>
    <w:rsid w:val="000900F5"/>
    <w:rsid w:val="00090375"/>
    <w:rsid w:val="00092DB4"/>
    <w:rsid w:val="000A2FCB"/>
    <w:rsid w:val="000C78CA"/>
    <w:rsid w:val="000E7A04"/>
    <w:rsid w:val="000F3535"/>
    <w:rsid w:val="00125295"/>
    <w:rsid w:val="00130CD2"/>
    <w:rsid w:val="00130FEB"/>
    <w:rsid w:val="0014122A"/>
    <w:rsid w:val="00161A2E"/>
    <w:rsid w:val="00173789"/>
    <w:rsid w:val="001A6803"/>
    <w:rsid w:val="001D03DA"/>
    <w:rsid w:val="001E1F72"/>
    <w:rsid w:val="00221543"/>
    <w:rsid w:val="002225A5"/>
    <w:rsid w:val="00227CD8"/>
    <w:rsid w:val="00233BF9"/>
    <w:rsid w:val="002434B6"/>
    <w:rsid w:val="00294800"/>
    <w:rsid w:val="002B401D"/>
    <w:rsid w:val="002C68A1"/>
    <w:rsid w:val="0032496B"/>
    <w:rsid w:val="00337DA6"/>
    <w:rsid w:val="0036037F"/>
    <w:rsid w:val="003902F5"/>
    <w:rsid w:val="003919E3"/>
    <w:rsid w:val="00391EFE"/>
    <w:rsid w:val="003A08FB"/>
    <w:rsid w:val="003B719E"/>
    <w:rsid w:val="004056B4"/>
    <w:rsid w:val="00411FA3"/>
    <w:rsid w:val="004222F7"/>
    <w:rsid w:val="004304E6"/>
    <w:rsid w:val="00434B2B"/>
    <w:rsid w:val="00465DB3"/>
    <w:rsid w:val="004B798F"/>
    <w:rsid w:val="004D654E"/>
    <w:rsid w:val="004F1236"/>
    <w:rsid w:val="004F7C22"/>
    <w:rsid w:val="005027B6"/>
    <w:rsid w:val="005142C8"/>
    <w:rsid w:val="005336E6"/>
    <w:rsid w:val="00540CF6"/>
    <w:rsid w:val="00544701"/>
    <w:rsid w:val="005566E4"/>
    <w:rsid w:val="005E52DE"/>
    <w:rsid w:val="006016CB"/>
    <w:rsid w:val="00613E0F"/>
    <w:rsid w:val="00642F1F"/>
    <w:rsid w:val="0069213E"/>
    <w:rsid w:val="006A12FD"/>
    <w:rsid w:val="006B4631"/>
    <w:rsid w:val="006C32F7"/>
    <w:rsid w:val="006F04BE"/>
    <w:rsid w:val="006F36C9"/>
    <w:rsid w:val="00713B72"/>
    <w:rsid w:val="0073452F"/>
    <w:rsid w:val="007725CA"/>
    <w:rsid w:val="007A2E2F"/>
    <w:rsid w:val="007C2FCD"/>
    <w:rsid w:val="007C4C40"/>
    <w:rsid w:val="007D477F"/>
    <w:rsid w:val="007E2279"/>
    <w:rsid w:val="008308A4"/>
    <w:rsid w:val="008648C5"/>
    <w:rsid w:val="00890CC6"/>
    <w:rsid w:val="0089641B"/>
    <w:rsid w:val="008B2758"/>
    <w:rsid w:val="008B59C8"/>
    <w:rsid w:val="008D3A65"/>
    <w:rsid w:val="008E2437"/>
    <w:rsid w:val="008F02A2"/>
    <w:rsid w:val="00914523"/>
    <w:rsid w:val="00916423"/>
    <w:rsid w:val="00926B0B"/>
    <w:rsid w:val="009272ED"/>
    <w:rsid w:val="009344B1"/>
    <w:rsid w:val="0095055F"/>
    <w:rsid w:val="009969AE"/>
    <w:rsid w:val="009B3651"/>
    <w:rsid w:val="009F6313"/>
    <w:rsid w:val="009F678A"/>
    <w:rsid w:val="00A106B2"/>
    <w:rsid w:val="00A2302C"/>
    <w:rsid w:val="00A368AE"/>
    <w:rsid w:val="00A62EBF"/>
    <w:rsid w:val="00A86D6A"/>
    <w:rsid w:val="00AA0FAF"/>
    <w:rsid w:val="00AC6CAC"/>
    <w:rsid w:val="00AE4A5A"/>
    <w:rsid w:val="00B22ACF"/>
    <w:rsid w:val="00B83A53"/>
    <w:rsid w:val="00BD030F"/>
    <w:rsid w:val="00BD0A5B"/>
    <w:rsid w:val="00BE2955"/>
    <w:rsid w:val="00BF2B71"/>
    <w:rsid w:val="00BF381F"/>
    <w:rsid w:val="00BF5E78"/>
    <w:rsid w:val="00C242F9"/>
    <w:rsid w:val="00C26536"/>
    <w:rsid w:val="00C41433"/>
    <w:rsid w:val="00C45F32"/>
    <w:rsid w:val="00C45FF0"/>
    <w:rsid w:val="00C645DC"/>
    <w:rsid w:val="00C77FEE"/>
    <w:rsid w:val="00C93503"/>
    <w:rsid w:val="00CA2EA7"/>
    <w:rsid w:val="00CA53D2"/>
    <w:rsid w:val="00CA6F96"/>
    <w:rsid w:val="00CB1535"/>
    <w:rsid w:val="00CD0647"/>
    <w:rsid w:val="00CD5F76"/>
    <w:rsid w:val="00D218B8"/>
    <w:rsid w:val="00D247A9"/>
    <w:rsid w:val="00D35F0D"/>
    <w:rsid w:val="00D369CF"/>
    <w:rsid w:val="00D36CA5"/>
    <w:rsid w:val="00D673FB"/>
    <w:rsid w:val="00DA46F3"/>
    <w:rsid w:val="00DB7A84"/>
    <w:rsid w:val="00DC49B1"/>
    <w:rsid w:val="00DF238C"/>
    <w:rsid w:val="00E13879"/>
    <w:rsid w:val="00E20C2D"/>
    <w:rsid w:val="00E64CCD"/>
    <w:rsid w:val="00ED42FF"/>
    <w:rsid w:val="00F259B6"/>
    <w:rsid w:val="00F3185C"/>
    <w:rsid w:val="00F4233A"/>
    <w:rsid w:val="00F61C6D"/>
    <w:rsid w:val="00F7105F"/>
    <w:rsid w:val="00F72A35"/>
    <w:rsid w:val="00F936FD"/>
    <w:rsid w:val="00FA44A3"/>
    <w:rsid w:val="00FB2FD7"/>
    <w:rsid w:val="00FB7CE7"/>
    <w:rsid w:val="00FE4410"/>
    <w:rsid w:val="04822175"/>
    <w:rsid w:val="06904D60"/>
    <w:rsid w:val="088D35E0"/>
    <w:rsid w:val="0BEB51B8"/>
    <w:rsid w:val="108F744D"/>
    <w:rsid w:val="1149563E"/>
    <w:rsid w:val="15063063"/>
    <w:rsid w:val="1AD559B1"/>
    <w:rsid w:val="224C58FF"/>
    <w:rsid w:val="272E0923"/>
    <w:rsid w:val="2D6320DE"/>
    <w:rsid w:val="314D5E4A"/>
    <w:rsid w:val="3AC303BC"/>
    <w:rsid w:val="3BE10604"/>
    <w:rsid w:val="44AB315B"/>
    <w:rsid w:val="51B7313F"/>
    <w:rsid w:val="5F333439"/>
    <w:rsid w:val="60787586"/>
    <w:rsid w:val="64A97DFA"/>
    <w:rsid w:val="64D724A4"/>
    <w:rsid w:val="6A074483"/>
    <w:rsid w:val="6ADF6E0B"/>
    <w:rsid w:val="72DB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BC89FE"/>
  <w15:docId w15:val="{F7EE2A5F-F4D6-47C5-B126-80835DFC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color w:val="333333"/>
      <w:kern w:val="2"/>
      <w:sz w:val="21"/>
      <w:szCs w:val="21"/>
      <w:shd w:val="clear" w:color="auto" w:fill="FCFCFC"/>
    </w:rPr>
  </w:style>
  <w:style w:type="paragraph" w:styleId="2">
    <w:name w:val="heading 2"/>
    <w:basedOn w:val="a"/>
    <w:next w:val="a"/>
    <w:link w:val="20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qFormat/>
    <w:rPr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a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autoRedefine/>
    <w:uiPriority w:val="20"/>
    <w:qFormat/>
    <w:rPr>
      <w:i/>
    </w:rPr>
  </w:style>
  <w:style w:type="character" w:customStyle="1" w:styleId="20">
    <w:name w:val="标题 2 字符"/>
    <w:basedOn w:val="a0"/>
    <w:link w:val="2"/>
    <w:autoRedefine/>
    <w:semiHidden/>
    <w:qFormat/>
    <w:rPr>
      <w:rFonts w:ascii="宋体" w:eastAsia="宋体" w:hAnsi="宋体" w:cs="Times New Roman"/>
      <w:b/>
      <w:bCs/>
      <w:kern w:val="0"/>
      <w:sz w:val="36"/>
      <w:szCs w:val="36"/>
      <w14:ligatures w14:val="none"/>
    </w:rPr>
  </w:style>
  <w:style w:type="paragraph" w:styleId="ac">
    <w:name w:val="List Paragraph"/>
    <w:basedOn w:val="a"/>
    <w:uiPriority w:val="99"/>
    <w:qFormat/>
    <w:pPr>
      <w:ind w:left="440"/>
    </w:pPr>
    <w:rPr>
      <w:sz w:val="44"/>
      <w:szCs w:val="4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  <w14:ligatures w14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b/>
      <w:bCs/>
      <w:color w:val="333333"/>
      <w:sz w:val="24"/>
      <w:szCs w:val="24"/>
      <w:u w:val="none"/>
    </w:rPr>
  </w:style>
  <w:style w:type="character" w:customStyle="1" w:styleId="font11">
    <w:name w:val="font11"/>
    <w:basedOn w:val="a0"/>
    <w:autoRedefine/>
    <w:qFormat/>
    <w:rPr>
      <w:rFonts w:ascii="Times New Roman" w:hAnsi="Times New Roman" w:cs="Times New Roman" w:hint="default"/>
      <w:b/>
      <w:bCs/>
      <w:color w:val="333333"/>
      <w:sz w:val="24"/>
      <w:szCs w:val="24"/>
      <w:u w:val="none"/>
      <w:vertAlign w:val="superscript"/>
    </w:rPr>
  </w:style>
  <w:style w:type="character" w:customStyle="1" w:styleId="a9">
    <w:name w:val="标题 字符"/>
    <w:basedOn w:val="a0"/>
    <w:link w:val="a8"/>
    <w:uiPriority w:val="10"/>
    <w:rPr>
      <w:rFonts w:asciiTheme="majorHAnsi" w:eastAsiaTheme="majorEastAsia" w:hAnsiTheme="majorHAnsi" w:cstheme="majorBidi"/>
      <w:b/>
      <w:bCs/>
      <w:color w:val="333333"/>
      <w:kern w:val="2"/>
      <w:sz w:val="32"/>
      <w:szCs w:val="32"/>
    </w:rPr>
  </w:style>
  <w:style w:type="paragraph" w:customStyle="1" w:styleId="RSCB01ARTAbstract">
    <w:name w:val="RSC B01 ART Abstract"/>
    <w:basedOn w:val="a"/>
    <w:autoRedefine/>
    <w:qFormat/>
    <w:pPr>
      <w:spacing w:after="200" w:line="240" w:lineRule="exact"/>
    </w:pPr>
    <w:rPr>
      <w:rFonts w:ascii="Calibri" w:hAnsi="Calibri"/>
      <w:sz w:val="16"/>
      <w:lang w:val="en-GB" w:eastAsia="en-GB"/>
    </w:rPr>
  </w:style>
  <w:style w:type="paragraph" w:customStyle="1" w:styleId="BIEmailAddress">
    <w:name w:val="BI_Email_Address"/>
    <w:basedOn w:val="a"/>
    <w:next w:val="AIReceivedDate"/>
    <w:autoRedefine/>
    <w:qFormat/>
    <w:pPr>
      <w:widowControl/>
      <w:spacing w:after="200"/>
    </w:pPr>
    <w:rPr>
      <w:rFonts w:ascii="Times" w:eastAsia="Times New Roman" w:hAnsi="Times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autoRedefine/>
    <w:qFormat/>
    <w:pPr>
      <w:widowControl/>
      <w:spacing w:after="240"/>
    </w:pPr>
    <w:rPr>
      <w:rFonts w:ascii="Times" w:eastAsia="Times New Roman" w:hAnsi="Times"/>
      <w:b/>
      <w:sz w:val="24"/>
      <w:szCs w:val="20"/>
      <w:lang w:eastAsia="en-US"/>
    </w:rPr>
  </w:style>
  <w:style w:type="character" w:styleId="ad">
    <w:name w:val="line number"/>
    <w:basedOn w:val="a0"/>
    <w:uiPriority w:val="99"/>
    <w:semiHidden/>
    <w:unhideWhenUsed/>
    <w:rsid w:val="002B4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B431BDC-9DEE-461D-9665-7BA80EBE47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 tingliu</dc:creator>
  <cp:lastModifiedBy>曾琴</cp:lastModifiedBy>
  <cp:revision>134</cp:revision>
  <dcterms:created xsi:type="dcterms:W3CDTF">2024-04-20T09:10:00Z</dcterms:created>
  <dcterms:modified xsi:type="dcterms:W3CDTF">2024-05-23T04:00:00Z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399BAF184EB24036967E4C582D3BB511_13</vt:lpwstr>
  </property>
</Properties>
</file>