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709817" w14:textId="77777777" w:rsidR="004B5E1C" w:rsidRPr="00E31F35" w:rsidRDefault="004B5E1C" w:rsidP="004B5E1C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31F35">
        <w:rPr>
          <w:rFonts w:ascii="Times New Roman" w:eastAsia="Times New Roman" w:hAnsi="Times New Roman" w:cs="Times New Roman"/>
          <w:b/>
          <w:bCs/>
          <w:sz w:val="24"/>
          <w:szCs w:val="24"/>
        </w:rPr>
        <w:t>APPENDIX 1:</w:t>
      </w:r>
    </w:p>
    <w:p w14:paraId="158787B8" w14:textId="77777777" w:rsidR="004B5E1C" w:rsidRPr="00E31F35" w:rsidRDefault="004B5E1C" w:rsidP="004B5E1C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6E5DC3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Operational definitions:</w:t>
      </w:r>
    </w:p>
    <w:p w14:paraId="240FB2FF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09529A1C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1. Type of stoma</w:t>
      </w:r>
    </w:p>
    <w:p w14:paraId="40EEE3DC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a. Loop: A stoma created by bringing a loop of intestine to the abdominal wall</w:t>
      </w:r>
    </w:p>
    <w:p w14:paraId="27A857E6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ind w:left="560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b. Double barrel: Two separate stomas created from a divided segment of intestine, both brought to the abdominal wall.</w:t>
      </w:r>
    </w:p>
    <w:p w14:paraId="0040D864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c. End: Stoma created by bringing an isolated segment of intestine to the abdominal wall</w:t>
      </w:r>
    </w:p>
    <w:p w14:paraId="52BA32E4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4C3F485E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2. Level of expertise of surgeon:</w:t>
      </w:r>
    </w:p>
    <w:p w14:paraId="32C829D2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a. General surgeon: Surgeon without subspecialty training</w:t>
      </w:r>
    </w:p>
    <w:p w14:paraId="43F937CD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b. Pediatric Surgeon-in-training: either done or assisted by a Pediatric surgery fellow-in training</w:t>
      </w:r>
    </w:p>
    <w:p w14:paraId="4ADE9D7F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c. Pediatric Surgeon Consultant: Board-certified Pediatric Surgeon</w:t>
      </w:r>
    </w:p>
    <w:p w14:paraId="594CEBCC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76FEE911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3. Urgency of stoma creation:</w:t>
      </w:r>
    </w:p>
    <w:p w14:paraId="2C4029F6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a. Elective: planned and scheduled stoma creation</w:t>
      </w:r>
    </w:p>
    <w:p w14:paraId="349694B7" w14:textId="77777777" w:rsidR="004B5E1C" w:rsidRPr="00E31F35" w:rsidRDefault="004B5E1C" w:rsidP="004B5E1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ab/>
        <w:t>b. Stoma creation performed as an urgent or life-saving intervention</w:t>
      </w:r>
    </w:p>
    <w:p w14:paraId="0FD3FBDD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5271F66C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4. Major stoma-related complications: these are complications with a clavien-dindo classification equal to or greater than III</w:t>
      </w:r>
    </w:p>
    <w:p w14:paraId="79075C5B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2A6F0812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00955B82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b/>
          <w:bCs/>
          <w:color w:val="000000"/>
          <w:sz w:val="24"/>
          <w:szCs w:val="24"/>
          <w:lang w:val="en-US"/>
          <w14:ligatures w14:val="standardContextual"/>
        </w:rPr>
        <w:t>APPENDIX 2:</w:t>
      </w:r>
    </w:p>
    <w:p w14:paraId="7CE429D8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58263655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  <w:r w:rsidRPr="00E31F35"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  <w:t>Clavien-Dindo Classification:</w:t>
      </w:r>
    </w:p>
    <w:p w14:paraId="4CFF51CA" w14:textId="77777777" w:rsidR="004B5E1C" w:rsidRPr="00E31F35" w:rsidRDefault="004B5E1C" w:rsidP="004B5E1C">
      <w:pPr>
        <w:spacing w:line="240" w:lineRule="auto"/>
        <w:rPr>
          <w:rFonts w:ascii="Times New Roman" w:eastAsiaTheme="minorHAnsi" w:hAnsi="Times New Roman" w:cs="Times New Roman"/>
          <w:color w:val="000000"/>
          <w:sz w:val="24"/>
          <w:szCs w:val="24"/>
          <w:lang w:val="en-US"/>
          <w14:ligatures w14:val="standardContextual"/>
        </w:rPr>
      </w:pPr>
    </w:p>
    <w:p w14:paraId="79F19655" w14:textId="77777777" w:rsidR="004B5E1C" w:rsidRPr="00E31F35" w:rsidRDefault="004B5E1C" w:rsidP="004B5E1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E31F35">
        <w:t>Grade I – Any deviation from the normal post-operative course without the need for pharmacological treatment or surgical, endoscopic and radiological interventions. Allowed therapeutic regimens are: drugs as antiemetics, antipyretics, analgesics, diuretics, electrolytes, and physiotherapy</w:t>
      </w:r>
    </w:p>
    <w:p w14:paraId="442146EC" w14:textId="77777777" w:rsidR="004B5E1C" w:rsidRPr="00E31F35" w:rsidRDefault="004B5E1C" w:rsidP="004B5E1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E31F35">
        <w:t>Grade II – Requiring pharmacological treatment with drugs other than such allowed for grade 1 complications</w:t>
      </w:r>
    </w:p>
    <w:p w14:paraId="4BAA91F1" w14:textId="77777777" w:rsidR="004B5E1C" w:rsidRPr="00E31F35" w:rsidRDefault="004B5E1C" w:rsidP="004B5E1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E31F35">
        <w:t>Grade III – Requiring surgical, endoscopic or radiological interventions</w:t>
      </w:r>
    </w:p>
    <w:p w14:paraId="69ADABF5" w14:textId="77777777" w:rsidR="004B5E1C" w:rsidRPr="00E31F35" w:rsidRDefault="004B5E1C" w:rsidP="004B5E1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E31F35">
        <w:t>Grade IV - Life-threatening complication (including central nervous system complications) requiring intermediate care/intensive care management</w:t>
      </w:r>
    </w:p>
    <w:p w14:paraId="46AAB4F0" w14:textId="77777777" w:rsidR="004B5E1C" w:rsidRPr="00E31F35" w:rsidRDefault="004B5E1C" w:rsidP="004B5E1C">
      <w:pPr>
        <w:pStyle w:val="NormalWeb"/>
        <w:numPr>
          <w:ilvl w:val="0"/>
          <w:numId w:val="1"/>
        </w:numPr>
        <w:spacing w:before="0" w:beforeAutospacing="0" w:after="0" w:afterAutospacing="0"/>
      </w:pPr>
      <w:r w:rsidRPr="00E31F35">
        <w:t>Grade V – Death of patient</w:t>
      </w:r>
    </w:p>
    <w:p w14:paraId="1DEC3A59" w14:textId="77777777" w:rsidR="004B5E1C" w:rsidRPr="00E31F35" w:rsidRDefault="004B5E1C" w:rsidP="004B5E1C">
      <w:pPr>
        <w:spacing w:after="160" w:line="278" w:lineRule="auto"/>
        <w:rPr>
          <w:rFonts w:ascii="Times New Roman" w:eastAsia="Cambria" w:hAnsi="Times New Roman" w:cs="Times New Roman"/>
          <w:bCs/>
          <w:sz w:val="24"/>
          <w:szCs w:val="24"/>
        </w:rPr>
      </w:pPr>
    </w:p>
    <w:p w14:paraId="1089BF6C" w14:textId="77777777" w:rsidR="00F553FF" w:rsidRDefault="00F553FF"/>
    <w:sectPr w:rsidR="00F553FF" w:rsidSect="004B5E1C">
      <w:footerReference w:type="even" r:id="rId5"/>
      <w:footerReference w:type="default" r:id="rId6"/>
      <w:pgSz w:w="12240" w:h="15840"/>
      <w:pgMar w:top="1440" w:right="1440" w:bottom="1440" w:left="1440" w:header="708" w:footer="708" w:gutter="0"/>
      <w:pgNumType w:fmt="numberInDash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357014186"/>
      <w:docPartObj>
        <w:docPartGallery w:val="Page Numbers (Bottom of Page)"/>
        <w:docPartUnique/>
      </w:docPartObj>
    </w:sdtPr>
    <w:sdtContent>
      <w:p w14:paraId="0A873609" w14:textId="77777777" w:rsidR="00000000" w:rsidRDefault="00000000" w:rsidP="003F04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30B89C" w14:textId="77777777" w:rsidR="00000000" w:rsidRDefault="00000000" w:rsidP="0085728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45029446"/>
      <w:docPartObj>
        <w:docPartGallery w:val="Page Numbers (Bottom of Page)"/>
        <w:docPartUnique/>
      </w:docPartObj>
    </w:sdtPr>
    <w:sdtContent>
      <w:p w14:paraId="3A7D259D" w14:textId="77777777" w:rsidR="00000000" w:rsidRDefault="00000000" w:rsidP="003F04B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- 1 -</w:t>
        </w:r>
        <w:r>
          <w:rPr>
            <w:rStyle w:val="PageNumber"/>
          </w:rPr>
          <w:fldChar w:fldCharType="end"/>
        </w:r>
      </w:p>
    </w:sdtContent>
  </w:sdt>
  <w:p w14:paraId="6E18CD3A" w14:textId="77777777" w:rsidR="00000000" w:rsidRDefault="00000000" w:rsidP="0085728B">
    <w:pPr>
      <w:pStyle w:val="Footer"/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FE5F60"/>
    <w:multiLevelType w:val="hybridMultilevel"/>
    <w:tmpl w:val="167C1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89991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E1C"/>
    <w:rsid w:val="003C2EF4"/>
    <w:rsid w:val="004B5E1C"/>
    <w:rsid w:val="00727D17"/>
    <w:rsid w:val="00B7421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511C8"/>
  <w15:chartTrackingRefBased/>
  <w15:docId w15:val="{57EFA7A2-61AC-4AB8-BA29-56BD82152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E1C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5E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5E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5E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5E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5E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5E1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5E1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5E1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5E1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5E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5E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5E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5E1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5E1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5E1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5E1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5E1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5E1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5E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5E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5E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5E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5E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5E1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5E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5E1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5E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5E1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5E1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B5E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PH"/>
    </w:rPr>
  </w:style>
  <w:style w:type="paragraph" w:styleId="Footer">
    <w:name w:val="footer"/>
    <w:basedOn w:val="Normal"/>
    <w:link w:val="FooterChar"/>
    <w:uiPriority w:val="99"/>
    <w:unhideWhenUsed/>
    <w:rsid w:val="004B5E1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5E1C"/>
    <w:rPr>
      <w:rFonts w:ascii="Arial" w:eastAsia="Arial" w:hAnsi="Arial" w:cs="Arial"/>
      <w:kern w:val="0"/>
      <w:lang w:val="e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4B5E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1343</Characters>
  <Application>Microsoft Office Word</Application>
  <DocSecurity>0</DocSecurity>
  <Lines>11</Lines>
  <Paragraphs>3</Paragraphs>
  <ScaleCrop>false</ScaleCrop>
  <Company>Springer Nature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2024-07-22T16:15:00Z</dcterms:created>
  <dcterms:modified xsi:type="dcterms:W3CDTF">2024-07-22T16:15:00Z</dcterms:modified>
</cp:coreProperties>
</file>