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7B582" w14:textId="77777777" w:rsidR="0072052E" w:rsidRPr="000A6E5D" w:rsidRDefault="0072052E" w:rsidP="0072052E">
      <w:pPr>
        <w:spacing w:line="36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0A6E5D">
        <w:rPr>
          <w:rFonts w:ascii="Arial" w:hAnsi="Arial" w:cs="Arial"/>
          <w:b/>
          <w:bCs/>
          <w:i/>
          <w:iCs/>
          <w:sz w:val="28"/>
          <w:szCs w:val="28"/>
        </w:rPr>
        <w:t>Supplementary Information for:</w:t>
      </w:r>
    </w:p>
    <w:p w14:paraId="4FAAFDF0" w14:textId="77777777" w:rsidR="0072052E" w:rsidRPr="000A6E5D" w:rsidRDefault="0072052E" w:rsidP="0072052E">
      <w:pPr>
        <w:spacing w:line="360" w:lineRule="auto"/>
        <w:rPr>
          <w:rFonts w:ascii="Arial" w:hAnsi="Arial" w:cs="Arial"/>
        </w:rPr>
      </w:pPr>
    </w:p>
    <w:p w14:paraId="6DDCC57D" w14:textId="77777777" w:rsidR="0072052E" w:rsidRPr="000A6E5D" w:rsidRDefault="0072052E" w:rsidP="0072052E">
      <w:pPr>
        <w:spacing w:line="360" w:lineRule="auto"/>
        <w:rPr>
          <w:rFonts w:ascii="Arial" w:hAnsi="Arial" w:cs="Arial"/>
        </w:rPr>
      </w:pPr>
    </w:p>
    <w:p w14:paraId="49913C6D" w14:textId="77777777" w:rsidR="0072052E" w:rsidRPr="000A6E5D" w:rsidRDefault="0072052E" w:rsidP="0072052E">
      <w:pPr>
        <w:spacing w:line="360" w:lineRule="auto"/>
        <w:rPr>
          <w:rFonts w:ascii="Arial" w:hAnsi="Arial" w:cs="Arial"/>
        </w:rPr>
      </w:pPr>
    </w:p>
    <w:p w14:paraId="63C810B7" w14:textId="77777777" w:rsidR="0072052E" w:rsidRPr="00AB684D" w:rsidRDefault="0072052E" w:rsidP="0072052E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  <w:lang w:eastAsia="ko-KR"/>
        </w:rPr>
      </w:pPr>
      <w:r>
        <w:rPr>
          <w:rFonts w:ascii="Arial" w:hAnsi="Arial" w:cs="Arial"/>
          <w:b/>
          <w:bCs/>
          <w:sz w:val="32"/>
          <w:szCs w:val="32"/>
        </w:rPr>
        <w:t>Intercellular</w:t>
      </w:r>
      <w:r w:rsidRPr="000A6E5D">
        <w:rPr>
          <w:rFonts w:ascii="Arial" w:hAnsi="Arial" w:cs="Arial"/>
          <w:b/>
          <w:bCs/>
          <w:sz w:val="32"/>
          <w:szCs w:val="32"/>
        </w:rPr>
        <w:t xml:space="preserve"> adhesion</w:t>
      </w:r>
      <w:r>
        <w:rPr>
          <w:rFonts w:ascii="Arial" w:hAnsi="Arial" w:cs="Arial"/>
          <w:b/>
          <w:bCs/>
          <w:sz w:val="32"/>
          <w:szCs w:val="32"/>
        </w:rPr>
        <w:t xml:space="preserve"> boots collective cell migration through elevated membrane tension</w:t>
      </w:r>
    </w:p>
    <w:p w14:paraId="0D3624A2" w14:textId="77777777" w:rsidR="0072052E" w:rsidRPr="000A6E5D" w:rsidRDefault="0072052E" w:rsidP="0072052E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12820C2" w14:textId="77777777" w:rsidR="0072052E" w:rsidRPr="000A6E5D" w:rsidRDefault="0072052E" w:rsidP="0072052E">
      <w:pPr>
        <w:spacing w:line="360" w:lineRule="auto"/>
        <w:rPr>
          <w:rFonts w:ascii="Arial" w:hAnsi="Arial" w:cs="Arial"/>
          <w:b/>
          <w:bCs/>
          <w:lang w:eastAsia="ko-KR"/>
        </w:rPr>
      </w:pPr>
    </w:p>
    <w:p w14:paraId="2B7D9E60" w14:textId="77777777" w:rsidR="0072052E" w:rsidRPr="000A6E5D" w:rsidRDefault="0072052E" w:rsidP="0072052E">
      <w:pPr>
        <w:spacing w:line="360" w:lineRule="auto"/>
        <w:jc w:val="center"/>
        <w:rPr>
          <w:rFonts w:ascii="Arial" w:hAnsi="Arial" w:cs="Arial"/>
          <w:b/>
          <w:bCs/>
          <w:lang w:eastAsia="ko-KR"/>
        </w:rPr>
      </w:pPr>
    </w:p>
    <w:p w14:paraId="0D3191EF" w14:textId="77777777" w:rsidR="0072052E" w:rsidRPr="000A6E5D" w:rsidRDefault="0072052E" w:rsidP="0072052E">
      <w:pPr>
        <w:spacing w:line="360" w:lineRule="auto"/>
        <w:rPr>
          <w:rFonts w:ascii="Arial" w:hAnsi="Arial" w:cs="Arial"/>
        </w:rPr>
      </w:pPr>
    </w:p>
    <w:p w14:paraId="41B8351F" w14:textId="77777777" w:rsidR="0072052E" w:rsidRPr="000A6E5D" w:rsidRDefault="0072052E" w:rsidP="0072052E">
      <w:pPr>
        <w:spacing w:line="360" w:lineRule="auto"/>
        <w:rPr>
          <w:rFonts w:ascii="Arial" w:hAnsi="Arial" w:cs="Arial"/>
        </w:rPr>
      </w:pPr>
    </w:p>
    <w:p w14:paraId="52DAC20C" w14:textId="77777777" w:rsidR="0072052E" w:rsidRPr="000A6E5D" w:rsidRDefault="0072052E" w:rsidP="0072052E">
      <w:pPr>
        <w:spacing w:line="360" w:lineRule="auto"/>
        <w:rPr>
          <w:rFonts w:ascii="Arial" w:hAnsi="Arial" w:cs="Arial"/>
          <w:b/>
          <w:bCs/>
        </w:rPr>
      </w:pPr>
      <w:r w:rsidRPr="000A6E5D">
        <w:rPr>
          <w:rFonts w:ascii="Arial" w:hAnsi="Arial" w:cs="Arial"/>
          <w:b/>
          <w:bCs/>
        </w:rPr>
        <w:t>Description Of Additional Supplementary Files</w:t>
      </w:r>
    </w:p>
    <w:p w14:paraId="2D5333C2" w14:textId="77777777" w:rsidR="0072052E" w:rsidRPr="000A6E5D" w:rsidRDefault="0072052E" w:rsidP="0072052E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0A6E5D">
        <w:rPr>
          <w:rFonts w:ascii="Arial" w:hAnsi="Arial" w:cs="Arial"/>
        </w:rPr>
        <w:t>Supplementary Movies S1-S</w:t>
      </w:r>
      <w:r>
        <w:rPr>
          <w:rFonts w:ascii="Arial" w:hAnsi="Arial" w:cs="Arial"/>
        </w:rPr>
        <w:t>5</w:t>
      </w:r>
    </w:p>
    <w:p w14:paraId="6BF55471" w14:textId="77777777" w:rsidR="0072052E" w:rsidRPr="000A6E5D" w:rsidRDefault="0072052E" w:rsidP="0072052E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0A6E5D">
        <w:rPr>
          <w:rFonts w:ascii="Arial" w:hAnsi="Arial" w:cs="Arial"/>
        </w:rPr>
        <w:t>Supplementary Figures S1-S4</w:t>
      </w:r>
    </w:p>
    <w:p w14:paraId="3DB57161" w14:textId="77777777" w:rsidR="0072052E" w:rsidRPr="00E3003E" w:rsidRDefault="0072052E" w:rsidP="0072052E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0A6E5D">
        <w:rPr>
          <w:rFonts w:ascii="Arial" w:hAnsi="Arial" w:cs="Arial"/>
        </w:rPr>
        <w:t>Supplementary Table S1</w:t>
      </w:r>
      <w:r w:rsidRPr="00E3003E">
        <w:rPr>
          <w:rFonts w:ascii="Arial" w:hAnsi="Arial" w:cs="Arial"/>
          <w:b/>
          <w:bCs/>
        </w:rPr>
        <w:br w:type="page"/>
      </w:r>
    </w:p>
    <w:p w14:paraId="74CB79AA" w14:textId="77777777" w:rsidR="0072052E" w:rsidRPr="000A6E5D" w:rsidRDefault="0072052E" w:rsidP="0072052E">
      <w:pPr>
        <w:spacing w:line="360" w:lineRule="auto"/>
        <w:rPr>
          <w:rFonts w:ascii="Arial" w:hAnsi="Arial" w:cs="Arial"/>
          <w:b/>
          <w:bCs/>
        </w:rPr>
      </w:pPr>
      <w:r w:rsidRPr="000A6E5D">
        <w:rPr>
          <w:rFonts w:ascii="Arial" w:hAnsi="Arial" w:cs="Arial"/>
          <w:b/>
          <w:bCs/>
        </w:rPr>
        <w:lastRenderedPageBreak/>
        <w:t>SUPPLEMENTARY MOVIES</w:t>
      </w:r>
    </w:p>
    <w:p w14:paraId="3D077062" w14:textId="77777777" w:rsidR="0072052E" w:rsidRPr="000A6E5D" w:rsidRDefault="0072052E" w:rsidP="0072052E">
      <w:pPr>
        <w:spacing w:line="360" w:lineRule="auto"/>
        <w:rPr>
          <w:rFonts w:ascii="Arial" w:hAnsi="Arial" w:cs="Arial"/>
          <w:b/>
          <w:bCs/>
        </w:rPr>
      </w:pPr>
      <w:r w:rsidRPr="000A6E5D">
        <w:rPr>
          <w:rFonts w:ascii="Arial" w:hAnsi="Arial" w:cs="Arial"/>
          <w:b/>
          <w:bCs/>
        </w:rPr>
        <w:t>Supplementary Movie 1:</w:t>
      </w:r>
      <w:r w:rsidRPr="000A6E5D">
        <w:rPr>
          <w:rFonts w:ascii="Arial" w:hAnsi="Arial" w:cs="Arial"/>
        </w:rPr>
        <w:t xml:space="preserve"> Cellular migration for wound-healing assay of MDA and MCF-7 cells. Frame rate (</w:t>
      </w:r>
      <w:r>
        <w:rPr>
          <w:rFonts w:ascii="Arial" w:hAnsi="Arial" w:cs="Arial"/>
        </w:rPr>
        <w:t>20</w:t>
      </w:r>
      <w:r w:rsidRPr="000A6E5D">
        <w:rPr>
          <w:rFonts w:ascii="Arial" w:hAnsi="Arial" w:cs="Arial"/>
        </w:rPr>
        <w:t xml:space="preserve"> fps, with </w:t>
      </w:r>
      <w:r>
        <w:rPr>
          <w:rFonts w:ascii="Arial" w:hAnsi="Arial" w:cs="Arial"/>
        </w:rPr>
        <w:t>20 frames per second</w:t>
      </w:r>
      <w:r w:rsidRPr="000A6E5D">
        <w:rPr>
          <w:rFonts w:ascii="Arial" w:hAnsi="Arial" w:cs="Arial"/>
        </w:rPr>
        <w:t xml:space="preserve">). Scale-bar: 100 </w:t>
      </w:r>
      <w:r w:rsidRPr="000A6E5D">
        <w:rPr>
          <w:rFonts w:ascii="Symbol" w:hAnsi="Symbol" w:cs="Arial"/>
        </w:rPr>
        <w:t></w:t>
      </w:r>
      <w:r w:rsidRPr="000A6E5D">
        <w:rPr>
          <w:rFonts w:ascii="Arial" w:hAnsi="Arial" w:cs="Arial"/>
        </w:rPr>
        <w:t>m.</w:t>
      </w:r>
    </w:p>
    <w:p w14:paraId="616F42BB" w14:textId="77777777" w:rsidR="0072052E" w:rsidRPr="000A6E5D" w:rsidRDefault="0072052E" w:rsidP="0072052E">
      <w:pPr>
        <w:spacing w:line="360" w:lineRule="auto"/>
        <w:jc w:val="both"/>
        <w:rPr>
          <w:rFonts w:ascii="Arial" w:hAnsi="Arial" w:cs="Arial"/>
        </w:rPr>
      </w:pPr>
      <w:r w:rsidRPr="000A6E5D">
        <w:rPr>
          <w:rFonts w:ascii="Arial" w:hAnsi="Arial" w:cs="Arial"/>
          <w:b/>
          <w:bCs/>
        </w:rPr>
        <w:t>Supplementary Movie 2:</w:t>
      </w:r>
      <w:r w:rsidRPr="000A6E5D">
        <w:rPr>
          <w:rFonts w:ascii="Arial" w:hAnsi="Arial" w:cs="Arial"/>
        </w:rPr>
        <w:t xml:space="preserve"> Cellular migration for wound-healing assay of </w:t>
      </w:r>
      <w:r>
        <w:rPr>
          <w:rFonts w:ascii="Arial" w:hAnsi="Arial" w:cs="Arial"/>
        </w:rPr>
        <w:t>Cph1-PM-MDA</w:t>
      </w:r>
      <w:r w:rsidRPr="000A6E5D">
        <w:rPr>
          <w:rFonts w:ascii="Arial" w:hAnsi="Arial" w:cs="Arial"/>
        </w:rPr>
        <w:t xml:space="preserve"> cells under far-red and red light. Frame rate (</w:t>
      </w:r>
      <w:r>
        <w:rPr>
          <w:rFonts w:ascii="Arial" w:hAnsi="Arial" w:cs="Arial"/>
        </w:rPr>
        <w:t>20</w:t>
      </w:r>
      <w:r w:rsidRPr="000A6E5D">
        <w:rPr>
          <w:rFonts w:ascii="Arial" w:hAnsi="Arial" w:cs="Arial"/>
        </w:rPr>
        <w:t xml:space="preserve"> fps, with </w:t>
      </w:r>
      <w:r>
        <w:rPr>
          <w:rFonts w:ascii="Arial" w:hAnsi="Arial" w:cs="Arial"/>
        </w:rPr>
        <w:t>20 frames per second</w:t>
      </w:r>
      <w:r w:rsidRPr="000A6E5D">
        <w:rPr>
          <w:rFonts w:ascii="Arial" w:hAnsi="Arial" w:cs="Arial"/>
        </w:rPr>
        <w:t xml:space="preserve">).  Scale-bar: 100 </w:t>
      </w:r>
      <w:r w:rsidRPr="000A6E5D">
        <w:rPr>
          <w:rFonts w:ascii="Symbol" w:hAnsi="Symbol" w:cs="Arial"/>
        </w:rPr>
        <w:t></w:t>
      </w:r>
      <w:r w:rsidRPr="000A6E5D">
        <w:rPr>
          <w:rFonts w:ascii="Arial" w:hAnsi="Arial" w:cs="Arial"/>
        </w:rPr>
        <w:t>m.</w:t>
      </w:r>
    </w:p>
    <w:p w14:paraId="045FE5B1" w14:textId="77777777" w:rsidR="0072052E" w:rsidRDefault="0072052E" w:rsidP="0072052E">
      <w:pPr>
        <w:spacing w:line="360" w:lineRule="auto"/>
        <w:jc w:val="both"/>
        <w:rPr>
          <w:rFonts w:ascii="Arial" w:hAnsi="Arial" w:cs="Arial"/>
        </w:rPr>
      </w:pPr>
      <w:r w:rsidRPr="000A6E5D">
        <w:rPr>
          <w:rFonts w:ascii="Arial" w:hAnsi="Arial" w:cs="Arial"/>
          <w:b/>
          <w:bCs/>
        </w:rPr>
        <w:t>Supplementary Movie 3:</w:t>
      </w:r>
      <w:r w:rsidRPr="000A6E5D">
        <w:rPr>
          <w:rFonts w:ascii="Arial" w:hAnsi="Arial" w:cs="Arial"/>
        </w:rPr>
        <w:t xml:space="preserve"> Single-cell tracking of</w:t>
      </w:r>
      <w:r w:rsidRPr="000A6E5D">
        <w:rPr>
          <w:rFonts w:ascii="Batang" w:eastAsia="Batang" w:hAnsi="Batang" w:cs="Batang"/>
          <w:lang w:eastAsia="ko-KR"/>
        </w:rPr>
        <w:t xml:space="preserve"> </w:t>
      </w:r>
      <w:r w:rsidRPr="000A6E5D">
        <w:rPr>
          <w:rFonts w:ascii="Arial" w:hAnsi="Arial" w:cs="Arial"/>
        </w:rPr>
        <w:t xml:space="preserve">individual cell nuclei of </w:t>
      </w:r>
      <w:r>
        <w:rPr>
          <w:rFonts w:ascii="Arial" w:hAnsi="Arial" w:cs="Arial"/>
        </w:rPr>
        <w:t>Cph1-PM-MDA</w:t>
      </w:r>
      <w:r w:rsidRPr="000A6E5D">
        <w:rPr>
          <w:rFonts w:ascii="Arial" w:hAnsi="Arial" w:cs="Arial"/>
        </w:rPr>
        <w:t xml:space="preserve"> cells under far-red or red light. Frame rate (</w:t>
      </w:r>
      <w:r>
        <w:rPr>
          <w:rFonts w:ascii="Arial" w:hAnsi="Arial" w:cs="Arial"/>
        </w:rPr>
        <w:t>20</w:t>
      </w:r>
      <w:r w:rsidRPr="000A6E5D">
        <w:rPr>
          <w:rFonts w:ascii="Arial" w:hAnsi="Arial" w:cs="Arial"/>
        </w:rPr>
        <w:t xml:space="preserve"> fps, with </w:t>
      </w:r>
      <w:r>
        <w:rPr>
          <w:rFonts w:ascii="Arial" w:hAnsi="Arial" w:cs="Arial"/>
        </w:rPr>
        <w:t>20 frames per second</w:t>
      </w:r>
      <w:r w:rsidRPr="000A6E5D">
        <w:rPr>
          <w:rFonts w:ascii="Arial" w:hAnsi="Arial" w:cs="Arial"/>
        </w:rPr>
        <w:t xml:space="preserve">). Scale-bar: 100 </w:t>
      </w:r>
      <w:r w:rsidRPr="000A6E5D">
        <w:rPr>
          <w:rFonts w:ascii="Symbol" w:hAnsi="Symbol" w:cs="Arial"/>
        </w:rPr>
        <w:t></w:t>
      </w:r>
      <w:r w:rsidRPr="000A6E5D">
        <w:rPr>
          <w:rFonts w:ascii="Arial" w:hAnsi="Arial" w:cs="Arial"/>
        </w:rPr>
        <w:t>m.</w:t>
      </w:r>
    </w:p>
    <w:p w14:paraId="6DFB5E09" w14:textId="77777777" w:rsidR="0072052E" w:rsidRPr="000A6E5D" w:rsidRDefault="0072052E" w:rsidP="0072052E">
      <w:pPr>
        <w:spacing w:line="360" w:lineRule="auto"/>
        <w:jc w:val="both"/>
        <w:rPr>
          <w:rFonts w:ascii="Arial" w:hAnsi="Arial" w:cs="Arial"/>
        </w:rPr>
      </w:pPr>
      <w:r w:rsidRPr="000A6E5D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Movie 4</w:t>
      </w:r>
      <w:r w:rsidRPr="000A6E5D">
        <w:rPr>
          <w:rFonts w:ascii="Arial" w:hAnsi="Arial" w:cs="Arial"/>
          <w:b/>
          <w:bCs/>
        </w:rPr>
        <w:t>:</w:t>
      </w:r>
      <w:r w:rsidRPr="000A6E5D">
        <w:rPr>
          <w:rFonts w:ascii="Arial" w:hAnsi="Arial" w:cs="Arial"/>
        </w:rPr>
        <w:t xml:space="preserve"> Cellular migration for wound-healing assay of </w:t>
      </w:r>
      <w:r>
        <w:rPr>
          <w:rFonts w:ascii="Arial" w:hAnsi="Arial" w:cs="Arial"/>
        </w:rPr>
        <w:t>Cph1-PM-MDA</w:t>
      </w:r>
      <w:r w:rsidRPr="000A6E5D">
        <w:rPr>
          <w:rFonts w:ascii="Arial" w:hAnsi="Arial" w:cs="Arial"/>
        </w:rPr>
        <w:t xml:space="preserve"> cells under far-red or red light in the presence of </w:t>
      </w:r>
      <w:r>
        <w:rPr>
          <w:rFonts w:ascii="Arial" w:hAnsi="Arial" w:cs="Arial"/>
        </w:rPr>
        <w:t>VU</w:t>
      </w:r>
      <w:r w:rsidRPr="000A6E5D">
        <w:rPr>
          <w:rFonts w:ascii="Arial" w:hAnsi="Arial" w:cs="Arial"/>
        </w:rPr>
        <w:t>. Frame rate (</w:t>
      </w:r>
      <w:r>
        <w:rPr>
          <w:rFonts w:ascii="Arial" w:hAnsi="Arial" w:cs="Arial"/>
        </w:rPr>
        <w:t>20</w:t>
      </w:r>
      <w:r w:rsidRPr="000A6E5D">
        <w:rPr>
          <w:rFonts w:ascii="Arial" w:hAnsi="Arial" w:cs="Arial"/>
        </w:rPr>
        <w:t xml:space="preserve"> fps, with </w:t>
      </w:r>
      <w:r>
        <w:rPr>
          <w:rFonts w:ascii="Arial" w:hAnsi="Arial" w:cs="Arial"/>
        </w:rPr>
        <w:t>20 frames per second</w:t>
      </w:r>
      <w:r w:rsidRPr="000A6E5D">
        <w:rPr>
          <w:rFonts w:ascii="Arial" w:hAnsi="Arial" w:cs="Arial"/>
        </w:rPr>
        <w:t xml:space="preserve">). Scale-bar: 100 </w:t>
      </w:r>
      <w:r w:rsidRPr="000A6E5D">
        <w:rPr>
          <w:rFonts w:ascii="Symbol" w:hAnsi="Symbol" w:cs="Arial"/>
        </w:rPr>
        <w:t></w:t>
      </w:r>
      <w:r w:rsidRPr="000A6E5D">
        <w:rPr>
          <w:rFonts w:ascii="Arial" w:hAnsi="Arial" w:cs="Arial"/>
        </w:rPr>
        <w:t>m.</w:t>
      </w:r>
    </w:p>
    <w:p w14:paraId="5F537BF3" w14:textId="77777777" w:rsidR="0072052E" w:rsidRDefault="0072052E" w:rsidP="0072052E">
      <w:pPr>
        <w:spacing w:line="360" w:lineRule="auto"/>
        <w:jc w:val="both"/>
        <w:rPr>
          <w:rFonts w:ascii="Arial" w:hAnsi="Arial" w:cs="Arial"/>
        </w:rPr>
      </w:pPr>
      <w:r w:rsidRPr="000A6E5D">
        <w:rPr>
          <w:rFonts w:ascii="Arial" w:hAnsi="Arial" w:cs="Arial"/>
          <w:b/>
          <w:bCs/>
        </w:rPr>
        <w:t xml:space="preserve">Supplementary Movie </w:t>
      </w:r>
      <w:r>
        <w:rPr>
          <w:rFonts w:ascii="Arial" w:hAnsi="Arial" w:cs="Arial"/>
          <w:b/>
          <w:bCs/>
        </w:rPr>
        <w:t>5</w:t>
      </w:r>
      <w:r w:rsidRPr="000A6E5D">
        <w:rPr>
          <w:rFonts w:ascii="Arial" w:hAnsi="Arial" w:cs="Arial"/>
          <w:b/>
          <w:bCs/>
        </w:rPr>
        <w:t>:</w:t>
      </w:r>
      <w:r w:rsidRPr="000A6E5D">
        <w:rPr>
          <w:rFonts w:ascii="Arial" w:hAnsi="Arial" w:cs="Arial"/>
        </w:rPr>
        <w:t xml:space="preserve"> Cellular migration for wound-healing assay of </w:t>
      </w:r>
      <w:r>
        <w:rPr>
          <w:rFonts w:ascii="Arial" w:hAnsi="Arial" w:cs="Arial"/>
        </w:rPr>
        <w:t>Cph1-PM-MDA</w:t>
      </w:r>
      <w:r w:rsidRPr="000A6E5D">
        <w:rPr>
          <w:rFonts w:ascii="Arial" w:hAnsi="Arial" w:cs="Arial"/>
        </w:rPr>
        <w:t xml:space="preserve"> cells under far-red or red light in the presence of Oleic acid. Frame rate (</w:t>
      </w:r>
      <w:r>
        <w:rPr>
          <w:rFonts w:ascii="Arial" w:hAnsi="Arial" w:cs="Arial"/>
        </w:rPr>
        <w:t>20</w:t>
      </w:r>
      <w:r w:rsidRPr="000A6E5D">
        <w:rPr>
          <w:rFonts w:ascii="Arial" w:hAnsi="Arial" w:cs="Arial"/>
        </w:rPr>
        <w:t xml:space="preserve"> fps, with </w:t>
      </w:r>
      <w:r>
        <w:rPr>
          <w:rFonts w:ascii="Arial" w:hAnsi="Arial" w:cs="Arial"/>
        </w:rPr>
        <w:t>20 frames per second</w:t>
      </w:r>
      <w:r w:rsidRPr="000A6E5D">
        <w:rPr>
          <w:rFonts w:ascii="Arial" w:hAnsi="Arial" w:cs="Arial"/>
        </w:rPr>
        <w:t xml:space="preserve">). Scale-bar: 100 </w:t>
      </w:r>
      <w:r w:rsidRPr="000A6E5D">
        <w:rPr>
          <w:rFonts w:ascii="Symbol" w:hAnsi="Symbol" w:cs="Arial"/>
        </w:rPr>
        <w:t></w:t>
      </w:r>
      <w:r w:rsidRPr="000A6E5D">
        <w:rPr>
          <w:rFonts w:ascii="Arial" w:hAnsi="Arial" w:cs="Arial"/>
        </w:rPr>
        <w:t>m.</w:t>
      </w:r>
    </w:p>
    <w:p w14:paraId="20C6FCB6" w14:textId="77777777" w:rsidR="0072052E" w:rsidRPr="000A6E5D" w:rsidRDefault="0072052E" w:rsidP="0072052E">
      <w:pPr>
        <w:spacing w:line="360" w:lineRule="auto"/>
        <w:ind w:left="2127"/>
        <w:jc w:val="both"/>
        <w:rPr>
          <w:rFonts w:ascii="Arial" w:hAnsi="Arial" w:cs="Arial"/>
        </w:rPr>
      </w:pPr>
    </w:p>
    <w:p w14:paraId="0CD98705" w14:textId="77777777" w:rsidR="0072052E" w:rsidRPr="000A6E5D" w:rsidRDefault="0072052E" w:rsidP="0072052E">
      <w:pPr>
        <w:rPr>
          <w:rFonts w:ascii="Arial" w:hAnsi="Arial" w:cs="Arial"/>
        </w:rPr>
      </w:pPr>
      <w:r w:rsidRPr="000A6E5D">
        <w:rPr>
          <w:rFonts w:ascii="Arial" w:hAnsi="Arial" w:cs="Arial"/>
        </w:rPr>
        <w:br w:type="page"/>
      </w:r>
    </w:p>
    <w:p w14:paraId="101D8770" w14:textId="77777777" w:rsidR="0072052E" w:rsidRPr="0044007D" w:rsidRDefault="0072052E" w:rsidP="0072052E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0AD4BC94" wp14:editId="1E532AEC">
            <wp:extent cx="3724910" cy="3853180"/>
            <wp:effectExtent l="0" t="0" r="889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3853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E18524" w14:textId="77777777" w:rsidR="0072052E" w:rsidRPr="000A6E5D" w:rsidRDefault="0072052E" w:rsidP="0072052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A6E5D">
        <w:rPr>
          <w:rFonts w:ascii="Arial" w:hAnsi="Arial" w:cs="Arial"/>
          <w:b/>
          <w:bCs/>
          <w:sz w:val="20"/>
          <w:szCs w:val="20"/>
        </w:rPr>
        <w:t>Supplementary Figure 1: Migration data for individual and collective migration. (a)</w:t>
      </w:r>
      <w:r w:rsidRPr="000A6E5D">
        <w:rPr>
          <w:rFonts w:ascii="Arial" w:hAnsi="Arial" w:cs="Arial"/>
          <w:sz w:val="20"/>
          <w:szCs w:val="20"/>
        </w:rPr>
        <w:t xml:space="preserve"> Wound healing migration patterns for MDA-MB-231 (MDA) and MCF-7.  </w:t>
      </w:r>
      <w:r w:rsidRPr="000A6E5D">
        <w:rPr>
          <w:rFonts w:ascii="Arial" w:hAnsi="Arial" w:cs="Arial"/>
          <w:b/>
          <w:bCs/>
          <w:sz w:val="20"/>
          <w:szCs w:val="20"/>
        </w:rPr>
        <w:t>(b)</w:t>
      </w:r>
      <w:r w:rsidRPr="000A6E5D">
        <w:rPr>
          <w:rFonts w:ascii="Arial" w:hAnsi="Arial" w:cs="Arial"/>
          <w:sz w:val="20"/>
          <w:szCs w:val="20"/>
        </w:rPr>
        <w:t xml:space="preserve"> Velocity histograms depicting cellular migration patterns for MDA and MCF-7.  </w:t>
      </w:r>
      <w:r>
        <w:rPr>
          <w:rFonts w:ascii="Arial" w:hAnsi="Arial" w:cs="Arial"/>
          <w:sz w:val="20"/>
          <w:szCs w:val="20"/>
        </w:rPr>
        <w:t xml:space="preserve">Scale bar (a), 100 </w:t>
      </w:r>
      <w:r w:rsidRPr="000A6E5D">
        <w:rPr>
          <w:rFonts w:ascii="Symbol" w:hAnsi="Symbol" w:cs="Arial"/>
        </w:rPr>
        <w:t></w:t>
      </w:r>
      <w:r w:rsidRPr="000A6E5D">
        <w:rPr>
          <w:rFonts w:ascii="Arial" w:hAnsi="Arial" w:cs="Arial"/>
        </w:rPr>
        <w:t>m</w:t>
      </w:r>
      <w:r>
        <w:rPr>
          <w:rFonts w:ascii="Arial" w:hAnsi="Arial" w:cs="Arial"/>
        </w:rPr>
        <w:t>.</w:t>
      </w:r>
    </w:p>
    <w:p w14:paraId="01BD8B6D" w14:textId="77777777" w:rsidR="0072052E" w:rsidRPr="000A6E5D" w:rsidRDefault="0072052E" w:rsidP="0072052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5F9A83CD" w14:textId="77777777" w:rsidR="0072052E" w:rsidRPr="000A6E5D" w:rsidRDefault="0072052E" w:rsidP="0072052E">
      <w:pPr>
        <w:rPr>
          <w:rFonts w:ascii="Arial" w:hAnsi="Arial" w:cs="Arial"/>
        </w:rPr>
      </w:pPr>
      <w:r w:rsidRPr="000A6E5D">
        <w:rPr>
          <w:rFonts w:ascii="Arial" w:hAnsi="Arial" w:cs="Arial"/>
        </w:rPr>
        <w:br w:type="page"/>
      </w:r>
    </w:p>
    <w:p w14:paraId="45BF39F3" w14:textId="77777777" w:rsidR="0072052E" w:rsidRPr="0044007D" w:rsidRDefault="0072052E" w:rsidP="0072052E">
      <w:pPr>
        <w:spacing w:line="360" w:lineRule="auto"/>
        <w:rPr>
          <w:rFonts w:ascii="Arial" w:hAnsi="Arial" w:cs="Arial"/>
        </w:rPr>
      </w:pPr>
      <w:r w:rsidRPr="000A6E5D"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77A25934" wp14:editId="2A4505F2">
            <wp:extent cx="5718810" cy="4017645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401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1EEE07" w14:textId="77777777" w:rsidR="0072052E" w:rsidRPr="000A6E5D" w:rsidRDefault="0072052E" w:rsidP="0072052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0A6E5D">
        <w:rPr>
          <w:rFonts w:ascii="Arial" w:hAnsi="Arial" w:cs="Arial"/>
          <w:b/>
          <w:bCs/>
          <w:sz w:val="20"/>
          <w:szCs w:val="20"/>
        </w:rPr>
        <w:t>Supplementary Figure 2: Analysis of single-cell tracking data.</w:t>
      </w:r>
      <w:r w:rsidRPr="000A6E5D">
        <w:rPr>
          <w:rFonts w:ascii="Arial" w:hAnsi="Arial" w:cs="Arial"/>
          <w:sz w:val="20"/>
          <w:szCs w:val="20"/>
        </w:rPr>
        <w:t xml:space="preserve"> </w:t>
      </w:r>
      <w:r w:rsidRPr="000A6E5D">
        <w:rPr>
          <w:rFonts w:ascii="Arial" w:hAnsi="Arial" w:cs="Arial"/>
          <w:b/>
          <w:bCs/>
          <w:sz w:val="20"/>
          <w:szCs w:val="20"/>
        </w:rPr>
        <w:t>(a)</w:t>
      </w:r>
      <w:r w:rsidRPr="000A6E5D">
        <w:rPr>
          <w:rFonts w:ascii="Arial" w:hAnsi="Arial" w:cs="Arial"/>
          <w:sz w:val="20"/>
          <w:szCs w:val="20"/>
        </w:rPr>
        <w:t xml:space="preserve"> The regions were divided into frontline of around 3 lines and rea</w:t>
      </w:r>
      <w:r>
        <w:rPr>
          <w:rFonts w:ascii="Arial" w:hAnsi="Arial" w:cs="Arial"/>
          <w:sz w:val="20"/>
          <w:szCs w:val="20"/>
        </w:rPr>
        <w:t>r</w:t>
      </w:r>
      <w:r w:rsidRPr="000A6E5D">
        <w:rPr>
          <w:rFonts w:ascii="Arial" w:hAnsi="Arial" w:cs="Arial"/>
          <w:sz w:val="20"/>
          <w:szCs w:val="20"/>
        </w:rPr>
        <w:t xml:space="preserve">line of rest region. </w:t>
      </w:r>
      <w:r w:rsidRPr="000A6E5D">
        <w:rPr>
          <w:rFonts w:ascii="Arial" w:hAnsi="Arial" w:cs="Arial"/>
          <w:b/>
          <w:bCs/>
          <w:sz w:val="20"/>
          <w:szCs w:val="20"/>
        </w:rPr>
        <w:t>(b)</w:t>
      </w:r>
      <w:r w:rsidRPr="000A6E5D">
        <w:rPr>
          <w:rFonts w:ascii="Arial" w:hAnsi="Arial" w:cs="Arial"/>
          <w:sz w:val="20"/>
          <w:szCs w:val="20"/>
        </w:rPr>
        <w:t xml:space="preserve"> The schematic of straightness index was presented. Straightness index values are calculated by dividing net displacement into total displacement. </w:t>
      </w:r>
      <w:r w:rsidRPr="000A6E5D">
        <w:rPr>
          <w:rFonts w:ascii="Arial" w:hAnsi="Arial" w:cs="Arial"/>
          <w:b/>
          <w:bCs/>
          <w:sz w:val="20"/>
          <w:szCs w:val="20"/>
        </w:rPr>
        <w:t>(c)</w:t>
      </w:r>
      <w:r w:rsidRPr="000A6E5D">
        <w:rPr>
          <w:rFonts w:ascii="Arial" w:hAnsi="Arial" w:cs="Arial"/>
          <w:sz w:val="20"/>
          <w:szCs w:val="20"/>
        </w:rPr>
        <w:t xml:space="preserve"> The plots show the migration angle of individual </w:t>
      </w:r>
      <w:r>
        <w:rPr>
          <w:rFonts w:ascii="Arial" w:hAnsi="Arial" w:cs="Arial"/>
          <w:sz w:val="20"/>
          <w:szCs w:val="20"/>
        </w:rPr>
        <w:t>Cph1-PM</w:t>
      </w:r>
      <w:r w:rsidRPr="000A6E5D">
        <w:rPr>
          <w:rFonts w:ascii="Arial" w:hAnsi="Arial" w:cs="Arial"/>
          <w:sz w:val="20"/>
          <w:szCs w:val="20"/>
        </w:rPr>
        <w:t>-MDA cells in the frontlines and rea</w:t>
      </w:r>
      <w:r>
        <w:rPr>
          <w:rFonts w:ascii="Arial" w:hAnsi="Arial" w:cs="Arial"/>
          <w:sz w:val="20"/>
          <w:szCs w:val="20"/>
        </w:rPr>
        <w:t>r</w:t>
      </w:r>
      <w:r w:rsidRPr="000A6E5D">
        <w:rPr>
          <w:rFonts w:ascii="Arial" w:hAnsi="Arial" w:cs="Arial"/>
          <w:sz w:val="20"/>
          <w:szCs w:val="20"/>
        </w:rPr>
        <w:t xml:space="preserve">lines under red and far-red light for 16 hours. The number </w:t>
      </w:r>
      <w:r>
        <w:rPr>
          <w:rFonts w:ascii="Arial" w:hAnsi="Arial" w:cs="Arial"/>
          <w:sz w:val="20"/>
          <w:szCs w:val="20"/>
        </w:rPr>
        <w:t>indicates</w:t>
      </w:r>
      <w:r w:rsidRPr="000A6E5D">
        <w:rPr>
          <w:rFonts w:ascii="Arial" w:hAnsi="Arial" w:cs="Arial"/>
          <w:sz w:val="20"/>
          <w:szCs w:val="20"/>
        </w:rPr>
        <w:t xml:space="preserve"> the technical replications. </w:t>
      </w:r>
    </w:p>
    <w:p w14:paraId="419E58B6" w14:textId="77777777" w:rsidR="0072052E" w:rsidRPr="000A6E5D" w:rsidRDefault="0072052E" w:rsidP="0072052E">
      <w:pPr>
        <w:spacing w:line="240" w:lineRule="auto"/>
        <w:rPr>
          <w:rFonts w:ascii="Arial" w:hAnsi="Arial" w:cs="Arial"/>
          <w:sz w:val="20"/>
          <w:szCs w:val="20"/>
        </w:rPr>
      </w:pPr>
      <w:r w:rsidRPr="000A6E5D">
        <w:rPr>
          <w:rFonts w:ascii="Arial" w:hAnsi="Arial" w:cs="Arial"/>
          <w:sz w:val="20"/>
          <w:szCs w:val="20"/>
        </w:rPr>
        <w:br w:type="page"/>
      </w:r>
    </w:p>
    <w:p w14:paraId="72BE139C" w14:textId="77777777" w:rsidR="0072052E" w:rsidRPr="000A6E5D" w:rsidRDefault="0072052E" w:rsidP="0072052E">
      <w:pPr>
        <w:spacing w:line="240" w:lineRule="auto"/>
        <w:rPr>
          <w:rFonts w:ascii="Arial" w:hAnsi="Arial" w:cs="Arial"/>
          <w:sz w:val="20"/>
          <w:szCs w:val="20"/>
        </w:rPr>
      </w:pPr>
    </w:p>
    <w:p w14:paraId="01032B2E" w14:textId="77777777" w:rsidR="0072052E" w:rsidRPr="0044007D" w:rsidRDefault="0072052E" w:rsidP="0072052E">
      <w:pPr>
        <w:spacing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ko-KR"/>
        </w:rPr>
        <w:drawing>
          <wp:inline distT="0" distB="0" distL="0" distR="0" wp14:anchorId="3501D7AD" wp14:editId="22BBDB9F">
            <wp:extent cx="3218815" cy="15424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815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9C3F93" w14:textId="77777777" w:rsidR="0072052E" w:rsidRPr="000A6E5D" w:rsidRDefault="0072052E" w:rsidP="0072052E">
      <w:pPr>
        <w:spacing w:line="240" w:lineRule="auto"/>
        <w:jc w:val="both"/>
        <w:rPr>
          <w:rFonts w:ascii="Arial" w:hAnsi="Arial" w:cs="Arial"/>
        </w:rPr>
      </w:pPr>
      <w:r w:rsidRPr="000A6E5D">
        <w:rPr>
          <w:rFonts w:ascii="Arial" w:hAnsi="Arial" w:cs="Arial"/>
          <w:b/>
          <w:bCs/>
          <w:sz w:val="20"/>
          <w:szCs w:val="20"/>
        </w:rPr>
        <w:t xml:space="preserve">Supplementary Figure 3: Static tether force of </w:t>
      </w:r>
      <w:r>
        <w:rPr>
          <w:rFonts w:ascii="Arial" w:hAnsi="Arial" w:cs="Arial"/>
          <w:b/>
          <w:bCs/>
          <w:sz w:val="20"/>
          <w:szCs w:val="20"/>
        </w:rPr>
        <w:t>Cph1-PM</w:t>
      </w:r>
      <w:r w:rsidRPr="000A6E5D">
        <w:rPr>
          <w:rFonts w:ascii="Arial" w:hAnsi="Arial" w:cs="Arial"/>
          <w:b/>
          <w:bCs/>
          <w:sz w:val="20"/>
          <w:szCs w:val="20"/>
        </w:rPr>
        <w:t>-MDA cells.</w:t>
      </w:r>
      <w:r w:rsidRPr="000A6E5D">
        <w:rPr>
          <w:rFonts w:ascii="Arial" w:hAnsi="Arial" w:cs="Arial"/>
          <w:sz w:val="20"/>
          <w:szCs w:val="20"/>
        </w:rPr>
        <w:t xml:space="preserve"> Static tether forces were measured after exposures to either red or far-red light tension in the frontline and rearline in the wound direction both under red (a) and far-red light (b).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>Data source and statistic details are provided as a source data file.</w:t>
      </w:r>
      <w:r w:rsidRPr="000A6E5D">
        <w:rPr>
          <w:rFonts w:ascii="Arial" w:hAnsi="Arial" w:cs="Arial"/>
        </w:rPr>
        <w:br w:type="page"/>
      </w:r>
    </w:p>
    <w:p w14:paraId="123FEFA1" w14:textId="77777777" w:rsidR="0072052E" w:rsidRPr="000A6E5D" w:rsidRDefault="0072052E" w:rsidP="0072052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ko-KR"/>
        </w:rPr>
        <w:lastRenderedPageBreak/>
        <w:drawing>
          <wp:inline distT="0" distB="0" distL="0" distR="0" wp14:anchorId="1BE51916" wp14:editId="3F002EEB">
            <wp:extent cx="4407535" cy="646239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535" cy="6462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D8B0DB" w14:textId="77777777" w:rsidR="0072052E" w:rsidRPr="00B208FE" w:rsidRDefault="0072052E" w:rsidP="0072052E">
      <w:pPr>
        <w:spacing w:line="240" w:lineRule="auto"/>
        <w:jc w:val="both"/>
        <w:rPr>
          <w:rFonts w:ascii="Arial" w:hAnsi="Arial" w:cs="Arial"/>
        </w:rPr>
      </w:pPr>
      <w:r w:rsidRPr="000A6E5D">
        <w:rPr>
          <w:rFonts w:ascii="Arial" w:hAnsi="Arial" w:cs="Arial"/>
          <w:b/>
          <w:bCs/>
          <w:sz w:val="20"/>
          <w:szCs w:val="20"/>
        </w:rPr>
        <w:t xml:space="preserve">Supplementary Figure 4: Migration angles of </w:t>
      </w:r>
      <w:r>
        <w:rPr>
          <w:rFonts w:ascii="Arial" w:hAnsi="Arial" w:cs="Arial"/>
          <w:b/>
          <w:bCs/>
          <w:sz w:val="20"/>
          <w:szCs w:val="20"/>
        </w:rPr>
        <w:t>Cph1-PM</w:t>
      </w:r>
      <w:r w:rsidRPr="000A6E5D">
        <w:rPr>
          <w:rFonts w:ascii="Arial" w:hAnsi="Arial" w:cs="Arial"/>
          <w:b/>
          <w:bCs/>
          <w:sz w:val="20"/>
          <w:szCs w:val="20"/>
        </w:rPr>
        <w:t>-MDA cells without or with rapamycin and SF1670.</w:t>
      </w:r>
      <w:r w:rsidRPr="000A6E5D">
        <w:rPr>
          <w:rFonts w:ascii="Arial" w:hAnsi="Arial" w:cs="Arial"/>
          <w:sz w:val="20"/>
          <w:szCs w:val="20"/>
        </w:rPr>
        <w:t xml:space="preserve"> </w:t>
      </w:r>
      <w:r w:rsidRPr="000A6E5D">
        <w:rPr>
          <w:rFonts w:ascii="Arial" w:hAnsi="Arial" w:cs="Arial"/>
          <w:b/>
          <w:bCs/>
          <w:sz w:val="20"/>
          <w:szCs w:val="20"/>
        </w:rPr>
        <w:t>(a, b)</w:t>
      </w:r>
      <w:r w:rsidRPr="000A6E5D">
        <w:rPr>
          <w:rFonts w:ascii="Arial" w:hAnsi="Arial" w:cs="Arial"/>
          <w:sz w:val="20"/>
          <w:szCs w:val="20"/>
        </w:rPr>
        <w:t xml:space="preserve"> The plots show the migration angle of individual </w:t>
      </w:r>
      <w:r>
        <w:rPr>
          <w:rFonts w:ascii="Arial" w:hAnsi="Arial" w:cs="Arial"/>
          <w:sz w:val="20"/>
          <w:szCs w:val="20"/>
        </w:rPr>
        <w:t>Cph1-PM</w:t>
      </w:r>
      <w:r w:rsidRPr="000A6E5D">
        <w:rPr>
          <w:rFonts w:ascii="Arial" w:hAnsi="Arial" w:cs="Arial"/>
          <w:sz w:val="20"/>
          <w:szCs w:val="20"/>
        </w:rPr>
        <w:t>-MDA cells in the frontlines and rea</w:t>
      </w:r>
      <w:r>
        <w:rPr>
          <w:rFonts w:ascii="Arial" w:hAnsi="Arial" w:cs="Arial"/>
          <w:sz w:val="20"/>
          <w:szCs w:val="20"/>
        </w:rPr>
        <w:t>r</w:t>
      </w:r>
      <w:r w:rsidRPr="000A6E5D">
        <w:rPr>
          <w:rFonts w:ascii="Arial" w:hAnsi="Arial" w:cs="Arial"/>
          <w:sz w:val="20"/>
          <w:szCs w:val="20"/>
        </w:rPr>
        <w:t xml:space="preserve">lines under red and far-red light for 16 hours without treat or with treatment of rapamycin or SF1670. The number indicate the technical replications. </w:t>
      </w:r>
      <w:r w:rsidRPr="000A6E5D">
        <w:rPr>
          <w:rFonts w:ascii="Arial" w:hAnsi="Arial" w:cs="Arial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5"/>
        <w:gridCol w:w="5113"/>
        <w:gridCol w:w="1144"/>
        <w:gridCol w:w="1548"/>
      </w:tblGrid>
      <w:tr w:rsidR="0072052E" w:rsidRPr="000A6E5D" w14:paraId="0D286B54" w14:textId="77777777" w:rsidTr="009B0838">
        <w:tc>
          <w:tcPr>
            <w:tcW w:w="1545" w:type="dxa"/>
          </w:tcPr>
          <w:p w14:paraId="49059255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lastRenderedPageBreak/>
              <w:t>Target gene</w:t>
            </w:r>
          </w:p>
        </w:tc>
        <w:tc>
          <w:tcPr>
            <w:tcW w:w="5113" w:type="dxa"/>
          </w:tcPr>
          <w:p w14:paraId="75CB995F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Sequences</w:t>
            </w:r>
          </w:p>
        </w:tc>
        <w:tc>
          <w:tcPr>
            <w:tcW w:w="1144" w:type="dxa"/>
          </w:tcPr>
          <w:p w14:paraId="1EC7D131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Tm</w:t>
            </w:r>
            <w:r>
              <w:rPr>
                <w:rFonts w:ascii="Arial" w:hAnsi="Arial" w:cs="Arial"/>
              </w:rPr>
              <w:t xml:space="preserve"> (ºC)</w:t>
            </w:r>
          </w:p>
        </w:tc>
        <w:tc>
          <w:tcPr>
            <w:tcW w:w="1548" w:type="dxa"/>
          </w:tcPr>
          <w:p w14:paraId="72B10C0E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Product size</w:t>
            </w:r>
          </w:p>
        </w:tc>
      </w:tr>
      <w:tr w:rsidR="0072052E" w:rsidRPr="000A6E5D" w14:paraId="345FCEB2" w14:textId="77777777" w:rsidTr="009B0838">
        <w:tc>
          <w:tcPr>
            <w:tcW w:w="1545" w:type="dxa"/>
            <w:vMerge w:val="restart"/>
            <w:vAlign w:val="center"/>
          </w:tcPr>
          <w:p w14:paraId="62AA1AE7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ZEB1</w:t>
            </w:r>
          </w:p>
        </w:tc>
        <w:tc>
          <w:tcPr>
            <w:tcW w:w="5113" w:type="dxa"/>
          </w:tcPr>
          <w:p w14:paraId="32D70242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  <w:lang w:eastAsia="ko-KR"/>
              </w:rPr>
            </w:pPr>
            <w:r w:rsidRPr="000A6E5D">
              <w:rPr>
                <w:rFonts w:ascii="Arial" w:hAnsi="Arial" w:cs="Arial"/>
              </w:rPr>
              <w:t xml:space="preserve">F: </w:t>
            </w:r>
            <w:bookmarkStart w:id="0" w:name="OLE_LINK33"/>
            <w:bookmarkStart w:id="1" w:name="OLE_LINK34"/>
            <w:bookmarkStart w:id="2" w:name="OLE_LINK42"/>
            <w:r w:rsidRPr="000A6E5D">
              <w:rPr>
                <w:rFonts w:ascii="Arial" w:hAnsi="Arial" w:cs="Arial"/>
              </w:rPr>
              <w:t>GCACAACCAAGTGCAGAAGA</w:t>
            </w:r>
            <w:bookmarkEnd w:id="0"/>
            <w:bookmarkEnd w:id="1"/>
            <w:bookmarkEnd w:id="2"/>
          </w:p>
        </w:tc>
        <w:tc>
          <w:tcPr>
            <w:tcW w:w="1144" w:type="dxa"/>
          </w:tcPr>
          <w:p w14:paraId="7D7E7EDB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58.98</w:t>
            </w:r>
          </w:p>
        </w:tc>
        <w:tc>
          <w:tcPr>
            <w:tcW w:w="1548" w:type="dxa"/>
            <w:vMerge w:val="restart"/>
            <w:vAlign w:val="center"/>
          </w:tcPr>
          <w:p w14:paraId="78D59270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141 bp</w:t>
            </w:r>
          </w:p>
        </w:tc>
      </w:tr>
      <w:tr w:rsidR="0072052E" w:rsidRPr="000A6E5D" w14:paraId="242BD6B1" w14:textId="77777777" w:rsidTr="009B0838">
        <w:tc>
          <w:tcPr>
            <w:tcW w:w="1545" w:type="dxa"/>
            <w:vMerge/>
            <w:vAlign w:val="center"/>
          </w:tcPr>
          <w:p w14:paraId="5A894DD1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113" w:type="dxa"/>
          </w:tcPr>
          <w:p w14:paraId="607B2BE2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 xml:space="preserve">R: </w:t>
            </w:r>
            <w:bookmarkStart w:id="3" w:name="OLE_LINK35"/>
            <w:bookmarkStart w:id="4" w:name="OLE_LINK36"/>
            <w:bookmarkStart w:id="5" w:name="OLE_LINK37"/>
            <w:bookmarkStart w:id="6" w:name="OLE_LINK43"/>
            <w:r w:rsidRPr="000A6E5D">
              <w:rPr>
                <w:rFonts w:ascii="Arial" w:hAnsi="Arial" w:cs="Arial"/>
              </w:rPr>
              <w:t>GCCTGGTTCAGGAGAAGATG</w:t>
            </w:r>
            <w:bookmarkEnd w:id="3"/>
            <w:bookmarkEnd w:id="4"/>
            <w:bookmarkEnd w:id="5"/>
            <w:bookmarkEnd w:id="6"/>
          </w:p>
        </w:tc>
        <w:tc>
          <w:tcPr>
            <w:tcW w:w="1144" w:type="dxa"/>
          </w:tcPr>
          <w:p w14:paraId="704F5896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57.96</w:t>
            </w:r>
          </w:p>
        </w:tc>
        <w:tc>
          <w:tcPr>
            <w:tcW w:w="1548" w:type="dxa"/>
            <w:vMerge/>
            <w:vAlign w:val="center"/>
          </w:tcPr>
          <w:p w14:paraId="2F066A61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2052E" w:rsidRPr="000A6E5D" w14:paraId="111F8A7D" w14:textId="77777777" w:rsidTr="009B0838">
        <w:tc>
          <w:tcPr>
            <w:tcW w:w="1545" w:type="dxa"/>
            <w:vMerge w:val="restart"/>
            <w:vAlign w:val="center"/>
          </w:tcPr>
          <w:p w14:paraId="40D81AC5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FN1</w:t>
            </w:r>
          </w:p>
        </w:tc>
        <w:tc>
          <w:tcPr>
            <w:tcW w:w="5113" w:type="dxa"/>
          </w:tcPr>
          <w:p w14:paraId="3D87C292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 xml:space="preserve">F: </w:t>
            </w:r>
            <w:bookmarkStart w:id="7" w:name="OLE_LINK38"/>
            <w:bookmarkStart w:id="8" w:name="OLE_LINK39"/>
            <w:r w:rsidRPr="000A6E5D">
              <w:rPr>
                <w:rFonts w:ascii="Arial" w:hAnsi="Arial" w:cs="Arial"/>
              </w:rPr>
              <w:t>GGAGCAAATGGCACCGAGATA</w:t>
            </w:r>
            <w:bookmarkEnd w:id="7"/>
            <w:bookmarkEnd w:id="8"/>
          </w:p>
        </w:tc>
        <w:tc>
          <w:tcPr>
            <w:tcW w:w="1144" w:type="dxa"/>
          </w:tcPr>
          <w:p w14:paraId="1C402E10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60.48</w:t>
            </w:r>
          </w:p>
        </w:tc>
        <w:tc>
          <w:tcPr>
            <w:tcW w:w="1548" w:type="dxa"/>
            <w:vMerge w:val="restart"/>
            <w:vAlign w:val="center"/>
          </w:tcPr>
          <w:p w14:paraId="6533D92D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132 bp</w:t>
            </w:r>
          </w:p>
        </w:tc>
      </w:tr>
      <w:tr w:rsidR="0072052E" w:rsidRPr="000A6E5D" w14:paraId="49E5F329" w14:textId="77777777" w:rsidTr="009B0838">
        <w:tc>
          <w:tcPr>
            <w:tcW w:w="1545" w:type="dxa"/>
            <w:vMerge/>
            <w:vAlign w:val="center"/>
          </w:tcPr>
          <w:p w14:paraId="0210898C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113" w:type="dxa"/>
          </w:tcPr>
          <w:p w14:paraId="4F7972CF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 xml:space="preserve">R: </w:t>
            </w:r>
            <w:bookmarkStart w:id="9" w:name="OLE_LINK40"/>
            <w:bookmarkStart w:id="10" w:name="OLE_LINK41"/>
            <w:r w:rsidRPr="000A6E5D">
              <w:rPr>
                <w:rFonts w:ascii="Arial" w:hAnsi="Arial" w:cs="Arial"/>
              </w:rPr>
              <w:t>AGCTGCACATGTCTTGGGAA</w:t>
            </w:r>
            <w:bookmarkEnd w:id="9"/>
            <w:bookmarkEnd w:id="10"/>
          </w:p>
        </w:tc>
        <w:tc>
          <w:tcPr>
            <w:tcW w:w="1144" w:type="dxa"/>
          </w:tcPr>
          <w:p w14:paraId="01365CD3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59.89</w:t>
            </w:r>
          </w:p>
        </w:tc>
        <w:tc>
          <w:tcPr>
            <w:tcW w:w="1548" w:type="dxa"/>
            <w:vMerge/>
            <w:vAlign w:val="center"/>
          </w:tcPr>
          <w:p w14:paraId="1D93CB2B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2052E" w:rsidRPr="000A6E5D" w14:paraId="10124F97" w14:textId="77777777" w:rsidTr="009B0838">
        <w:tc>
          <w:tcPr>
            <w:tcW w:w="1545" w:type="dxa"/>
            <w:vMerge w:val="restart"/>
            <w:vAlign w:val="center"/>
          </w:tcPr>
          <w:p w14:paraId="15AE3644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TEAD1</w:t>
            </w:r>
          </w:p>
        </w:tc>
        <w:tc>
          <w:tcPr>
            <w:tcW w:w="5113" w:type="dxa"/>
          </w:tcPr>
          <w:p w14:paraId="576479B6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F: GATTCAAACAGGGCAGCCAG</w:t>
            </w:r>
          </w:p>
        </w:tc>
        <w:tc>
          <w:tcPr>
            <w:tcW w:w="1144" w:type="dxa"/>
          </w:tcPr>
          <w:p w14:paraId="449E1EFF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59.47</w:t>
            </w:r>
          </w:p>
        </w:tc>
        <w:tc>
          <w:tcPr>
            <w:tcW w:w="1548" w:type="dxa"/>
            <w:vMerge w:val="restart"/>
            <w:vAlign w:val="center"/>
          </w:tcPr>
          <w:p w14:paraId="0117FB5A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185 bp</w:t>
            </w:r>
          </w:p>
        </w:tc>
      </w:tr>
      <w:tr w:rsidR="0072052E" w:rsidRPr="000A6E5D" w14:paraId="7F54AB63" w14:textId="77777777" w:rsidTr="009B0838">
        <w:tc>
          <w:tcPr>
            <w:tcW w:w="1545" w:type="dxa"/>
            <w:vMerge/>
            <w:vAlign w:val="center"/>
          </w:tcPr>
          <w:p w14:paraId="2984078F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113" w:type="dxa"/>
          </w:tcPr>
          <w:p w14:paraId="4922C4AA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R: AAAATTCCACCAGGCGAAGC</w:t>
            </w:r>
          </w:p>
        </w:tc>
        <w:tc>
          <w:tcPr>
            <w:tcW w:w="1144" w:type="dxa"/>
          </w:tcPr>
          <w:p w14:paraId="55DF896E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59.40</w:t>
            </w:r>
          </w:p>
        </w:tc>
        <w:tc>
          <w:tcPr>
            <w:tcW w:w="1548" w:type="dxa"/>
            <w:vMerge/>
            <w:vAlign w:val="center"/>
          </w:tcPr>
          <w:p w14:paraId="7BA8370B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2052E" w:rsidRPr="000A6E5D" w14:paraId="5747C1F5" w14:textId="77777777" w:rsidTr="009B0838">
        <w:tc>
          <w:tcPr>
            <w:tcW w:w="1545" w:type="dxa"/>
            <w:vMerge w:val="restart"/>
            <w:vAlign w:val="center"/>
          </w:tcPr>
          <w:p w14:paraId="6E3FE1AF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CTGF</w:t>
            </w:r>
          </w:p>
        </w:tc>
        <w:tc>
          <w:tcPr>
            <w:tcW w:w="5113" w:type="dxa"/>
          </w:tcPr>
          <w:p w14:paraId="23C1E5FF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F: GGCTTACCGACTGGAAGACA</w:t>
            </w:r>
          </w:p>
        </w:tc>
        <w:tc>
          <w:tcPr>
            <w:tcW w:w="1144" w:type="dxa"/>
          </w:tcPr>
          <w:p w14:paraId="60A11F02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59.39</w:t>
            </w:r>
          </w:p>
        </w:tc>
        <w:tc>
          <w:tcPr>
            <w:tcW w:w="1548" w:type="dxa"/>
            <w:vMerge w:val="restart"/>
            <w:vAlign w:val="center"/>
          </w:tcPr>
          <w:p w14:paraId="202F727C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104 bp</w:t>
            </w:r>
          </w:p>
        </w:tc>
      </w:tr>
      <w:tr w:rsidR="0072052E" w:rsidRPr="000A6E5D" w14:paraId="5F7AE3AD" w14:textId="77777777" w:rsidTr="009B0838">
        <w:tc>
          <w:tcPr>
            <w:tcW w:w="1545" w:type="dxa"/>
            <w:vMerge/>
            <w:vAlign w:val="center"/>
          </w:tcPr>
          <w:p w14:paraId="76E8B5B5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113" w:type="dxa"/>
          </w:tcPr>
          <w:p w14:paraId="588FDB8F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R: TCCCACAGGTCTTGGAACAG</w:t>
            </w:r>
          </w:p>
        </w:tc>
        <w:tc>
          <w:tcPr>
            <w:tcW w:w="1144" w:type="dxa"/>
          </w:tcPr>
          <w:p w14:paraId="21E6F210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59.24</w:t>
            </w:r>
          </w:p>
        </w:tc>
        <w:tc>
          <w:tcPr>
            <w:tcW w:w="1548" w:type="dxa"/>
            <w:vMerge/>
            <w:vAlign w:val="center"/>
          </w:tcPr>
          <w:p w14:paraId="33E125FB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2052E" w:rsidRPr="000A6E5D" w14:paraId="5772020F" w14:textId="77777777" w:rsidTr="009B0838">
        <w:tc>
          <w:tcPr>
            <w:tcW w:w="1545" w:type="dxa"/>
            <w:vMerge w:val="restart"/>
            <w:vAlign w:val="center"/>
          </w:tcPr>
          <w:p w14:paraId="087D475B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GAPDH</w:t>
            </w:r>
          </w:p>
        </w:tc>
        <w:tc>
          <w:tcPr>
            <w:tcW w:w="5113" w:type="dxa"/>
          </w:tcPr>
          <w:p w14:paraId="492729ED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F: CCTGCACCACCAACTGCTTA</w:t>
            </w:r>
          </w:p>
        </w:tc>
        <w:tc>
          <w:tcPr>
            <w:tcW w:w="1144" w:type="dxa"/>
          </w:tcPr>
          <w:p w14:paraId="7E8047F4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60.54</w:t>
            </w:r>
          </w:p>
        </w:tc>
        <w:tc>
          <w:tcPr>
            <w:tcW w:w="1548" w:type="dxa"/>
            <w:vMerge w:val="restart"/>
            <w:vAlign w:val="center"/>
          </w:tcPr>
          <w:p w14:paraId="1A555A32" w14:textId="77777777" w:rsidR="0072052E" w:rsidRPr="000A6E5D" w:rsidRDefault="0072052E" w:rsidP="009B08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120 bp</w:t>
            </w:r>
          </w:p>
        </w:tc>
      </w:tr>
      <w:tr w:rsidR="0072052E" w:rsidRPr="000A6E5D" w14:paraId="249E56DA" w14:textId="77777777" w:rsidTr="009B0838">
        <w:tc>
          <w:tcPr>
            <w:tcW w:w="1545" w:type="dxa"/>
            <w:vMerge/>
          </w:tcPr>
          <w:p w14:paraId="4BC5E7BE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5113" w:type="dxa"/>
          </w:tcPr>
          <w:p w14:paraId="02584C41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R: GGCCATCCACAGTCTTCTGAG</w:t>
            </w:r>
          </w:p>
        </w:tc>
        <w:tc>
          <w:tcPr>
            <w:tcW w:w="1144" w:type="dxa"/>
          </w:tcPr>
          <w:p w14:paraId="10720021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  <w:r w:rsidRPr="000A6E5D">
              <w:rPr>
                <w:rFonts w:ascii="Arial" w:hAnsi="Arial" w:cs="Arial"/>
              </w:rPr>
              <w:t>60.41</w:t>
            </w:r>
          </w:p>
        </w:tc>
        <w:tc>
          <w:tcPr>
            <w:tcW w:w="1548" w:type="dxa"/>
            <w:vMerge/>
          </w:tcPr>
          <w:p w14:paraId="007BB368" w14:textId="77777777" w:rsidR="0072052E" w:rsidRPr="000A6E5D" w:rsidRDefault="0072052E" w:rsidP="009B0838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976BA44" w14:textId="77777777" w:rsidR="0072052E" w:rsidRDefault="0072052E" w:rsidP="0072052E">
      <w:pPr>
        <w:spacing w:line="360" w:lineRule="auto"/>
        <w:rPr>
          <w:rFonts w:ascii="Arial" w:hAnsi="Arial" w:cs="Arial"/>
        </w:rPr>
      </w:pPr>
      <w:r w:rsidRPr="000A6E5D">
        <w:rPr>
          <w:rFonts w:ascii="Arial" w:hAnsi="Arial" w:cs="Arial"/>
          <w:b/>
          <w:bCs/>
        </w:rPr>
        <w:t>Supplementary Table 1:</w:t>
      </w:r>
      <w:r w:rsidRPr="000A6E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</w:t>
      </w:r>
      <w:r w:rsidRPr="000A6E5D">
        <w:rPr>
          <w:rFonts w:ascii="Arial" w:hAnsi="Arial" w:cs="Arial"/>
        </w:rPr>
        <w:t xml:space="preserve">quences </w:t>
      </w:r>
      <w:r>
        <w:rPr>
          <w:rFonts w:ascii="Arial" w:hAnsi="Arial" w:cs="Arial"/>
        </w:rPr>
        <w:t>and melting temperatures of primers used for</w:t>
      </w:r>
      <w:r w:rsidRPr="000A6E5D">
        <w:rPr>
          <w:rFonts w:ascii="Arial" w:hAnsi="Arial" w:cs="Arial"/>
        </w:rPr>
        <w:t xml:space="preserve"> gene expression analysis.</w:t>
      </w:r>
    </w:p>
    <w:p w14:paraId="60D547B2" w14:textId="77777777" w:rsidR="001C76BA" w:rsidRDefault="001C76BA"/>
    <w:sectPr w:rsidR="001C76BA" w:rsidSect="0072052E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292275437"/>
      <w:docPartObj>
        <w:docPartGallery w:val="Page Numbers (Bottom of Page)"/>
        <w:docPartUnique/>
      </w:docPartObj>
    </w:sdtPr>
    <w:sdtContent>
      <w:p w14:paraId="0514C39E" w14:textId="77777777" w:rsidR="00000000" w:rsidRDefault="00000000" w:rsidP="00C7542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A13A80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43095992"/>
      <w:docPartObj>
        <w:docPartGallery w:val="Page Numbers (Bottom of Page)"/>
        <w:docPartUnique/>
      </w:docPartObj>
    </w:sdtPr>
    <w:sdtContent>
      <w:p w14:paraId="466A45EC" w14:textId="77777777" w:rsidR="00000000" w:rsidRDefault="00000000" w:rsidP="00C7542E">
        <w:pPr>
          <w:pStyle w:val="Footer"/>
          <w:framePr w:wrap="none" w:vAnchor="text" w:hAnchor="margin" w:xAlign="center" w:y="1"/>
          <w:rPr>
            <w:rStyle w:val="PageNumber"/>
          </w:rPr>
        </w:pPr>
        <w:r w:rsidRPr="008007BE">
          <w:rPr>
            <w:rStyle w:val="PageNumber"/>
            <w:rFonts w:ascii="Arial" w:hAnsi="Arial" w:cs="Arial"/>
          </w:rPr>
          <w:fldChar w:fldCharType="begin"/>
        </w:r>
        <w:r w:rsidRPr="008007BE">
          <w:rPr>
            <w:rStyle w:val="PageNumber"/>
            <w:rFonts w:ascii="Arial" w:hAnsi="Arial" w:cs="Arial"/>
          </w:rPr>
          <w:instrText xml:space="preserve"> PAGE </w:instrText>
        </w:r>
        <w:r w:rsidRPr="008007BE">
          <w:rPr>
            <w:rStyle w:val="PageNumber"/>
            <w:rFonts w:ascii="Arial" w:hAnsi="Arial" w:cs="Arial"/>
          </w:rPr>
          <w:fldChar w:fldCharType="separate"/>
        </w:r>
        <w:r>
          <w:rPr>
            <w:rStyle w:val="PageNumber"/>
            <w:rFonts w:ascii="Arial" w:hAnsi="Arial" w:cs="Arial"/>
            <w:noProof/>
          </w:rPr>
          <w:t>24</w:t>
        </w:r>
        <w:r w:rsidRPr="008007BE">
          <w:rPr>
            <w:rStyle w:val="PageNumber"/>
            <w:rFonts w:ascii="Arial" w:hAnsi="Arial" w:cs="Arial"/>
          </w:rPr>
          <w:fldChar w:fldCharType="end"/>
        </w:r>
      </w:p>
    </w:sdtContent>
  </w:sdt>
  <w:p w14:paraId="76094A12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94953"/>
    <w:multiLevelType w:val="hybridMultilevel"/>
    <w:tmpl w:val="9258B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8959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52E"/>
    <w:rsid w:val="00154F74"/>
    <w:rsid w:val="001C76BA"/>
    <w:rsid w:val="004851C2"/>
    <w:rsid w:val="0072052E"/>
    <w:rsid w:val="00773130"/>
    <w:rsid w:val="007C0944"/>
    <w:rsid w:val="008917F5"/>
    <w:rsid w:val="008A5F7E"/>
    <w:rsid w:val="008F1202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BAD6B"/>
  <w15:chartTrackingRefBased/>
  <w15:docId w15:val="{927CF1A7-7E2E-41CE-9F23-2FA234FCC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52E"/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05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5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05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05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05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05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05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05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05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5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5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05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05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05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05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05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05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05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05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05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05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05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05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05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05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05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05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05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05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052E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205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52E"/>
    <w:rPr>
      <w:rFonts w:eastAsiaTheme="minorEastAsia"/>
      <w:kern w:val="0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2052E"/>
  </w:style>
  <w:style w:type="character" w:styleId="LineNumber">
    <w:name w:val="line number"/>
    <w:basedOn w:val="DefaultParagraphFont"/>
    <w:uiPriority w:val="99"/>
    <w:semiHidden/>
    <w:unhideWhenUsed/>
    <w:rsid w:val="00720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476</Words>
  <Characters>2719</Characters>
  <Application>Microsoft Office Word</Application>
  <DocSecurity>0</DocSecurity>
  <Lines>22</Lines>
  <Paragraphs>6</Paragraphs>
  <ScaleCrop>false</ScaleCrop>
  <Company>SpringerNature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2024-07-19T11:06:00Z</dcterms:created>
  <dcterms:modified xsi:type="dcterms:W3CDTF">2024-07-19T11:06:00Z</dcterms:modified>
</cp:coreProperties>
</file>