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7EC8" w14:textId="4867FC2B" w:rsidR="00344527" w:rsidRPr="00A40C57" w:rsidRDefault="00200B1A">
      <w:pPr>
        <w:rPr>
          <w:rFonts w:ascii="Arial" w:hAnsi="Arial" w:cs="Arial"/>
          <w:b/>
          <w:bCs/>
          <w:sz w:val="24"/>
          <w:szCs w:val="24"/>
          <w:lang w:val="en-AU"/>
        </w:rPr>
      </w:pPr>
      <w:r w:rsidRPr="00A40C57">
        <w:rPr>
          <w:rFonts w:ascii="Arial" w:hAnsi="Arial" w:cs="Arial"/>
          <w:b/>
          <w:bCs/>
          <w:sz w:val="24"/>
          <w:szCs w:val="24"/>
          <w:lang w:val="en-AU"/>
        </w:rPr>
        <w:t xml:space="preserve">Additional file 4. </w:t>
      </w:r>
      <w:r w:rsidR="00EF65FA" w:rsidRPr="00A40C57">
        <w:rPr>
          <w:rFonts w:ascii="Arial" w:hAnsi="Arial" w:cs="Arial"/>
          <w:b/>
          <w:bCs/>
          <w:sz w:val="24"/>
          <w:szCs w:val="24"/>
          <w:lang w:val="en-AU"/>
        </w:rPr>
        <w:t>IDs of the included articles</w:t>
      </w:r>
      <w:r w:rsidR="00D21C18" w:rsidRPr="00A40C57">
        <w:rPr>
          <w:rFonts w:ascii="Arial" w:hAnsi="Arial" w:cs="Arial"/>
          <w:b/>
          <w:bCs/>
          <w:sz w:val="24"/>
          <w:szCs w:val="24"/>
          <w:lang w:val="en-AU"/>
        </w:rPr>
        <w:t>.</w:t>
      </w:r>
    </w:p>
    <w:p w14:paraId="6DBB5F21" w14:textId="77777777" w:rsidR="004245B3" w:rsidRPr="00A40C57" w:rsidRDefault="004245B3">
      <w:pPr>
        <w:rPr>
          <w:rFonts w:ascii="Arial" w:hAnsi="Arial" w:cs="Arial"/>
          <w:b/>
          <w:bCs/>
          <w:sz w:val="24"/>
          <w:szCs w:val="24"/>
          <w:lang w:val="en-A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1"/>
        <w:gridCol w:w="8889"/>
      </w:tblGrid>
      <w:tr w:rsidR="00200B1A" w:rsidRPr="00A40C57" w14:paraId="78E4BDC1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6AF1A" w14:textId="754776BA" w:rsidR="00200B1A" w:rsidRPr="00A40C57" w:rsidRDefault="001D61D7" w:rsidP="00200B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val="en-US"/>
                <w14:ligatures w14:val="none"/>
              </w:rPr>
              <w:t>ID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84250" w14:textId="77777777" w:rsidR="00200B1A" w:rsidRPr="00A40C57" w:rsidRDefault="00200B1A" w:rsidP="00200B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val="en-US"/>
                <w14:ligatures w14:val="none"/>
              </w:rPr>
              <w:t>References – Included articles</w:t>
            </w:r>
          </w:p>
        </w:tc>
      </w:tr>
      <w:tr w:rsidR="00200B1A" w:rsidRPr="00A40C57" w14:paraId="6D990C2F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090A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96E4A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Kempers J, Ketting E, Chandra-Mouli V, et al. (2015) The success factors of scaling-up Estonian sexual and reproductive health youth clinic network--from a grassroots initiative to a national programme 1991-2013. Reprod Health 12: 2.</w:t>
            </w:r>
          </w:p>
        </w:tc>
      </w:tr>
      <w:tr w:rsidR="00200B1A" w:rsidRPr="00A40C57" w14:paraId="243B345C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5584B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8FA67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Mwandi Z, Murphy A, Reed J, et al. (2011) Voluntary medical male circumcision: translating research into the rapid expansion of services in Kenya, 2008-2011. PLoS Med 8: e1001130.</w:t>
            </w:r>
          </w:p>
        </w:tc>
      </w:tr>
      <w:tr w:rsidR="00200B1A" w:rsidRPr="00A40C57" w14:paraId="18E347D2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47954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F3F1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Rou K, Sullivan SG, Liu P, et al. (2010) Scaling up prevention programmes to reduce the sexual transmission of HIV in China. Int J Epidemiol 39 Suppl 2: ii38-46.</w:t>
            </w:r>
          </w:p>
        </w:tc>
      </w:tr>
      <w:tr w:rsidR="00200B1A" w:rsidRPr="00A40C57" w14:paraId="0D2FC570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6F23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636C3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CO"/>
                <w14:ligatures w14:val="none"/>
              </w:rPr>
              <w:t xml:space="preserve">Okeke EN, Pitchforth E, Exley J,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(2017) Going to scale: design and implementation challenges of a program to increase access to skilled birth attendants in Nigeria. BMC Health Serv Res 17: 356.</w:t>
            </w:r>
          </w:p>
        </w:tc>
      </w:tr>
      <w:tr w:rsidR="00200B1A" w:rsidRPr="00A40C57" w14:paraId="33206751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6110E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94F34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Beksinska M, Nkosi P, Mabude Z, et al. (2020) Lessons from the evaluation of the South African National Female Condom Programme. PLoS One 15: e0236984.</w:t>
            </w:r>
          </w:p>
        </w:tc>
      </w:tr>
      <w:tr w:rsidR="00200B1A" w:rsidRPr="00A40C57" w14:paraId="49C19E78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857C7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C66D4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Shelley KD, Ansbro EM, Ncube AT, et al. (2015) Scaling Down to Scale Up: A Health Economic Analysis of Integrating Point-of-Care Syphilis Testing into Antenatal Care in Zambia during Pilot and National Rollout Implementation. PLoS One 10: e0125675.</w:t>
            </w:r>
          </w:p>
        </w:tc>
      </w:tr>
      <w:tr w:rsidR="00200B1A" w:rsidRPr="00A40C57" w14:paraId="59458CF2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93810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888D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Chandra-Mouli V, Gibbs S, Badiani R,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(2015) Programa Geracao Biz, Mozambique: how did this adolescent health initiative grow from a pilot to a national programme, and what did it achieve? Reprod Health 12: 12.</w:t>
            </w:r>
          </w:p>
        </w:tc>
      </w:tr>
      <w:tr w:rsidR="00200B1A" w:rsidRPr="00A40C57" w14:paraId="3E65BBFA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D03A4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1A1B7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Liddy C, Moroz I, Joschko J, et al. (2018) Using an Integrated Knowledge Translation (IKT) Approach to Enable Policy Change for Electronic Consultations in Canada. Healthc Policy 14: 19-29.</w:t>
            </w:r>
          </w:p>
        </w:tc>
      </w:tr>
      <w:tr w:rsidR="00200B1A" w:rsidRPr="00A40C57" w14:paraId="20216855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93F22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7E8FA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Singh NS, Scott K, George A, et al. (2021) A tale of 'politics and stars aligning': analysing the sustainability of scaled up digital tools for front-line health workers in India. BMJ Glob Health 6.</w:t>
            </w:r>
          </w:p>
        </w:tc>
      </w:tr>
      <w:tr w:rsidR="00200B1A" w:rsidRPr="00A40C57" w14:paraId="261E2C1E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C507B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86317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Swartz A, LeFevre AE, Perera S,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(2021) Multiple pathways to scaling up and sustainability: an exploration of digital health solutions in South Africa. Global Health 17: 77.</w:t>
            </w:r>
          </w:p>
        </w:tc>
      </w:tr>
      <w:tr w:rsidR="00200B1A" w:rsidRPr="00A40C57" w14:paraId="7BA91D32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F4EAA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9D2D0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CO"/>
                <w14:ligatures w14:val="none"/>
              </w:rPr>
              <w:t xml:space="preserve">Perez-Escamilla R, Curry L, Minhas D,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(2012) Scaling up of breastfeeding promotion programs in low- and middle-income countries: the "breastfeeding gear" model. Adv Nutr 3: 790-800.</w:t>
            </w:r>
          </w:p>
        </w:tc>
      </w:tr>
      <w:tr w:rsidR="00200B1A" w:rsidRPr="00A40C57" w14:paraId="2AAF58C3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20ABE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2CD0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de-DE"/>
                <w14:ligatures w14:val="none"/>
              </w:rPr>
              <w:t xml:space="preserve">Bhandari N, Kabir AK and Salam MA.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(2008) Mainstreaming nutrition into maternal and child health programmes: scaling up of exclusive breastfeeding. Matern Child Nutr 4 Suppl 1: 5-23.</w:t>
            </w:r>
          </w:p>
        </w:tc>
      </w:tr>
      <w:tr w:rsidR="00200B1A" w:rsidRPr="00A40C57" w14:paraId="041391D2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CE990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9000B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de-DE"/>
                <w14:ligatures w14:val="none"/>
              </w:rPr>
              <w:t xml:space="preserve">Kavle JA, Welch PR, Bwanali F,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(2019) The revitalization and scale-up of the Baby-Friendly Hospital Initiative in Malawi. Matern Child Nutr 15 Suppl 1: e12724.</w:t>
            </w:r>
          </w:p>
        </w:tc>
      </w:tr>
      <w:tr w:rsidR="00200B1A" w:rsidRPr="00A40C57" w14:paraId="235B1B85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DE75F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22FA8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AR"/>
                <w14:ligatures w14:val="none"/>
              </w:rPr>
              <w:t xml:space="preserve">Pallas SW, Minhas D, Perez-Escamilla R,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(2013) Community health workers in low- and middle-income countries: what do we know about scaling up and sustainability? Am J Public Health 103: e74-82.</w:t>
            </w:r>
          </w:p>
        </w:tc>
      </w:tr>
      <w:tr w:rsidR="00200B1A" w:rsidRPr="00A40C57" w14:paraId="4286D97E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B8ED6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3998E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Phiri SC, Prust ML, Chibawe CP, et al. (2017) An exploration of facilitators and challenges in the scale-up of a national, public sector community health worker cadre in Zambia: a qualitative study. Hum Resour Health 15: 40.</w:t>
            </w:r>
          </w:p>
        </w:tc>
      </w:tr>
      <w:tr w:rsidR="00200B1A" w:rsidRPr="00A40C57" w14:paraId="4EF3FC84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288D2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7B628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AR"/>
                <w14:ligatures w14:val="none"/>
              </w:rPr>
              <w:t xml:space="preserve">Abrahams-Gessel S, Denman CA, Montano CM,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(2015) Training and supervision of community health workers conducting population-based, noninvasive screening for CVD in LMIC: implications for scaling up. Glob Heart 10: 39-44.</w:t>
            </w:r>
          </w:p>
        </w:tc>
      </w:tr>
      <w:tr w:rsidR="00200B1A" w:rsidRPr="00A40C57" w14:paraId="0C29F416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B2195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40B7F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Gaziano TA and Pagidipati N. (2013) Scaling up chronic disease prevention interventions in lower- and middle-income countries. Annu Rev Public Health 34: 317-335.</w:t>
            </w:r>
          </w:p>
        </w:tc>
      </w:tr>
      <w:tr w:rsidR="00200B1A" w:rsidRPr="00A40C57" w14:paraId="102F875B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5B30E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2E95D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Rao N and Kaul V. (2018) India's integrated child development services scheme: challenges for scaling up. Child Care Health Dev 44: 31-40.</w:t>
            </w:r>
          </w:p>
        </w:tc>
      </w:tr>
      <w:tr w:rsidR="00200B1A" w:rsidRPr="00A40C57" w14:paraId="23C6C7A4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8571F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3086B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Igras S, Sinai I, Mukabatsinda M,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(2014) Systems approach to monitoring and evaluation guides scale up of the Standard Days Method of family planning in Rwanda. Glob Health Sci Pract 2: 234-244.</w:t>
            </w:r>
          </w:p>
        </w:tc>
      </w:tr>
      <w:tr w:rsidR="00200B1A" w:rsidRPr="00A40C57" w14:paraId="6C3688D7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59F18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51E4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Mwaikambo L, Brittingham S, Ohkubo S, et al. (2021) Key factors to facilitate locally driven family planning programming: a qualitative analysis of urban stakeholder perspectives in Africa and Asia. Global Health 17: 75.</w:t>
            </w:r>
          </w:p>
        </w:tc>
      </w:tr>
      <w:tr w:rsidR="00200B1A" w:rsidRPr="00A40C57" w14:paraId="5131AD6E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C8929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6907B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Mehrolhassani MH, Jahromi VK, Dehnavieh R, et al. (2021) Underlying factors and challenges of implementing the urban family physician program in Iran. BMC Health Serv Res 21: 1336.</w:t>
            </w:r>
          </w:p>
        </w:tc>
      </w:tr>
      <w:tr w:rsidR="00200B1A" w:rsidRPr="00A40C57" w14:paraId="005C4B4D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73145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A1BE0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AR"/>
                <w14:ligatures w14:val="none"/>
              </w:rPr>
              <w:t xml:space="preserve">Huicho L, Davila M, Campos M,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(2005) Scaling up integrated management of childhood illness to the national level: achievements and challenges in Peru. Health Policy Plan 20: 14-24.</w:t>
            </w:r>
          </w:p>
        </w:tc>
      </w:tr>
      <w:tr w:rsidR="00200B1A" w:rsidRPr="00A40C57" w14:paraId="64C1D35D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1842A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82C21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CO"/>
                <w14:ligatures w14:val="none"/>
              </w:rPr>
              <w:t xml:space="preserve">Hanlon C, Eshetu T, Alemayehu D,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(2017) Health system governance to support scale up of mental health care in Ethiopia: a qualitative study. Int J Ment Health Syst 11: 38.</w:t>
            </w:r>
          </w:p>
        </w:tc>
      </w:tr>
      <w:tr w:rsidR="00200B1A" w:rsidRPr="00A40C57" w14:paraId="3FFE6BDC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68DD8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C895D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CO"/>
                <w14:ligatures w14:val="none"/>
              </w:rPr>
              <w:t xml:space="preserve">Victora CG, Barros FC, Assuncao MC,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(2012) Scaling up maternal nutrition programs to improve birth outcomes: a review of implementation issues. Food Nutr Bull 33: S6-26.</w:t>
            </w:r>
          </w:p>
        </w:tc>
      </w:tr>
      <w:tr w:rsidR="00200B1A" w:rsidRPr="00A40C57" w14:paraId="0921A6A5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C9DCE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EBB3C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Milat AJ, Bauman A and Redman S. (2015) Narrative review of models and success factors for scaling up public health interventions. Implement Sci 10: 113.</w:t>
            </w:r>
          </w:p>
        </w:tc>
      </w:tr>
      <w:tr w:rsidR="00200B1A" w:rsidRPr="00A40C57" w14:paraId="4314AE5A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2C41B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A3A8A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CO"/>
                <w14:ligatures w14:val="none"/>
              </w:rPr>
              <w:t xml:space="preserve">Lee K, van Nassau F, Grunseit A,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 xml:space="preserve">(2020) Scaling up population health interventions from decision to sustainability - a window of opportunity? A qualitative view from </w:t>
            </w:r>
            <w:proofErr w:type="gramStart"/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policy-makers</w:t>
            </w:r>
            <w:proofErr w:type="gramEnd"/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. Health Res Policy Syst 18: 118.</w:t>
            </w:r>
          </w:p>
        </w:tc>
      </w:tr>
      <w:tr w:rsidR="00200B1A" w:rsidRPr="00A40C57" w14:paraId="532EFC9D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193F5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5C8A4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 xml:space="preserve">Yamey G. (2012) What are the barriers to scaling up health interventions in </w:t>
            </w:r>
            <w:proofErr w:type="gramStart"/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low and middle income</w:t>
            </w:r>
            <w:proofErr w:type="gramEnd"/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 xml:space="preserve"> countries? A qualitative study of academic leaders in implementation science. Global Health 8: 11.</w:t>
            </w:r>
          </w:p>
        </w:tc>
      </w:tr>
      <w:tr w:rsidR="00200B1A" w:rsidRPr="00A40C57" w14:paraId="26598B94" w14:textId="77777777" w:rsidTr="00200B1A">
        <w:trPr>
          <w:trHeight w:val="31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E0659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67313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Mangham LJ and Hanson K. (2010) Scaling up in international health: what are the key issues? Health Policy Plan 25: 85-96.</w:t>
            </w:r>
          </w:p>
        </w:tc>
      </w:tr>
      <w:tr w:rsidR="00200B1A" w:rsidRPr="00A40C57" w14:paraId="4D959C92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C60EA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EDB09" w14:textId="77777777" w:rsidR="00200B1A" w:rsidRPr="00A40C57" w:rsidRDefault="00200B1A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Koorts H, Cassar S, Salmon J, et al. (2021) Mechanisms of scaling up: combining a realist perspective and systems analysis to understand successfully scaled interventions. Int J Behav Nutr Phys Act 18: 42.</w:t>
            </w:r>
          </w:p>
        </w:tc>
      </w:tr>
      <w:tr w:rsidR="00183B53" w:rsidRPr="00A40C57" w14:paraId="45E5B19D" w14:textId="77777777" w:rsidTr="00200B1A">
        <w:trPr>
          <w:trHeight w:val="620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C3A6D" w14:textId="607C69A0" w:rsidR="00183B53" w:rsidRPr="00A40C57" w:rsidRDefault="00183B53" w:rsidP="00200B1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A323B" w14:textId="7DACF25B" w:rsidR="00183B53" w:rsidRPr="00A40C57" w:rsidRDefault="00183B53" w:rsidP="00183B5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</w:pPr>
            <w:r w:rsidRPr="00A40C57">
              <w:rPr>
                <w:rFonts w:ascii="Arial" w:eastAsia="Times New Roman" w:hAnsi="Arial" w:cs="Arial"/>
                <w:color w:val="000000"/>
                <w:kern w:val="0"/>
                <w:lang w:val="es-AR"/>
                <w14:ligatures w14:val="none"/>
              </w:rPr>
              <w:t xml:space="preserve">Zomahoun HTV, Ben Charif A, Freitas A, et al. </w:t>
            </w:r>
            <w:r w:rsidRPr="00A40C57">
              <w:rPr>
                <w:rFonts w:ascii="Arial" w:eastAsia="Times New Roman" w:hAnsi="Arial" w:cs="Arial"/>
                <w:color w:val="000000"/>
                <w:kern w:val="0"/>
                <w:lang w:val="en-US"/>
                <w14:ligatures w14:val="none"/>
              </w:rPr>
              <w:t>(2019) The pitfalls of scaling up evidence-based interventions in health. Glob Health Action 52 12: 1670449.</w:t>
            </w:r>
          </w:p>
        </w:tc>
      </w:tr>
    </w:tbl>
    <w:p w14:paraId="37682F3F" w14:textId="77777777" w:rsidR="00200B1A" w:rsidRPr="00A40C57" w:rsidRDefault="00200B1A">
      <w:pPr>
        <w:rPr>
          <w:rFonts w:ascii="Arial" w:hAnsi="Arial" w:cs="Arial"/>
          <w:lang w:val="en-US"/>
        </w:rPr>
      </w:pPr>
    </w:p>
    <w:sectPr w:rsidR="00200B1A" w:rsidRPr="00A40C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5FA"/>
    <w:rsid w:val="00183B53"/>
    <w:rsid w:val="001A48A7"/>
    <w:rsid w:val="001D61D7"/>
    <w:rsid w:val="00200B1A"/>
    <w:rsid w:val="00344527"/>
    <w:rsid w:val="004245B3"/>
    <w:rsid w:val="005378AD"/>
    <w:rsid w:val="006805EA"/>
    <w:rsid w:val="00A40C57"/>
    <w:rsid w:val="00B21338"/>
    <w:rsid w:val="00D21C18"/>
    <w:rsid w:val="00EF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83320"/>
  <w15:chartTrackingRefBased/>
  <w15:docId w15:val="{CA59C031-B8BC-4223-BF0C-6A98318BB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ar"/>
    <w:uiPriority w:val="9"/>
    <w:qFormat/>
    <w:rsid w:val="00EF65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6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65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65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65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F65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65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65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65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65F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pt-B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65F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pt-BR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65FA"/>
    <w:rPr>
      <w:rFonts w:eastAsiaTheme="majorEastAsia" w:cstheme="majorBidi"/>
      <w:color w:val="0F4761" w:themeColor="accent1" w:themeShade="BF"/>
      <w:sz w:val="28"/>
      <w:szCs w:val="28"/>
      <w:lang w:val="pt-BR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65FA"/>
    <w:rPr>
      <w:rFonts w:eastAsiaTheme="majorEastAsia" w:cstheme="majorBidi"/>
      <w:i/>
      <w:iCs/>
      <w:color w:val="0F4761" w:themeColor="accent1" w:themeShade="BF"/>
      <w:lang w:val="pt-BR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65FA"/>
    <w:rPr>
      <w:rFonts w:eastAsiaTheme="majorEastAsia" w:cstheme="majorBidi"/>
      <w:color w:val="0F4761" w:themeColor="accent1" w:themeShade="BF"/>
      <w:lang w:val="pt-BR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F65FA"/>
    <w:rPr>
      <w:rFonts w:eastAsiaTheme="majorEastAsia" w:cstheme="majorBidi"/>
      <w:i/>
      <w:iCs/>
      <w:color w:val="595959" w:themeColor="text1" w:themeTint="A6"/>
      <w:lang w:val="pt-BR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65FA"/>
    <w:rPr>
      <w:rFonts w:eastAsiaTheme="majorEastAsia" w:cstheme="majorBidi"/>
      <w:color w:val="595959" w:themeColor="text1" w:themeTint="A6"/>
      <w:lang w:val="pt-BR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65FA"/>
    <w:rPr>
      <w:rFonts w:eastAsiaTheme="majorEastAsia" w:cstheme="majorBidi"/>
      <w:i/>
      <w:iCs/>
      <w:color w:val="272727" w:themeColor="text1" w:themeTint="D8"/>
      <w:lang w:val="pt-BR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65FA"/>
    <w:rPr>
      <w:rFonts w:eastAsiaTheme="majorEastAsia" w:cstheme="majorBidi"/>
      <w:color w:val="272727" w:themeColor="text1" w:themeTint="D8"/>
      <w:lang w:val="pt-BR"/>
    </w:rPr>
  </w:style>
  <w:style w:type="paragraph" w:styleId="Ttulo">
    <w:name w:val="Title"/>
    <w:basedOn w:val="Normal"/>
    <w:next w:val="Normal"/>
    <w:link w:val="TtuloCar"/>
    <w:uiPriority w:val="10"/>
    <w:qFormat/>
    <w:rsid w:val="00EF65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F65FA"/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</w:rPr>
  </w:style>
  <w:style w:type="paragraph" w:styleId="Subttulo">
    <w:name w:val="Subtitle"/>
    <w:basedOn w:val="Normal"/>
    <w:next w:val="Normal"/>
    <w:link w:val="SubttuloCar"/>
    <w:uiPriority w:val="11"/>
    <w:qFormat/>
    <w:rsid w:val="00EF65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F65FA"/>
    <w:rPr>
      <w:rFonts w:eastAsiaTheme="majorEastAsia" w:cstheme="majorBidi"/>
      <w:color w:val="595959" w:themeColor="text1" w:themeTint="A6"/>
      <w:spacing w:val="15"/>
      <w:sz w:val="28"/>
      <w:szCs w:val="28"/>
      <w:lang w:val="pt-BR"/>
    </w:rPr>
  </w:style>
  <w:style w:type="paragraph" w:styleId="Cita">
    <w:name w:val="Quote"/>
    <w:basedOn w:val="Normal"/>
    <w:next w:val="Normal"/>
    <w:link w:val="CitaCar"/>
    <w:uiPriority w:val="29"/>
    <w:qFormat/>
    <w:rsid w:val="00EF6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65FA"/>
    <w:rPr>
      <w:i/>
      <w:iCs/>
      <w:color w:val="404040" w:themeColor="text1" w:themeTint="BF"/>
      <w:lang w:val="pt-BR"/>
    </w:rPr>
  </w:style>
  <w:style w:type="paragraph" w:styleId="Prrafodelista">
    <w:name w:val="List Paragraph"/>
    <w:basedOn w:val="Normal"/>
    <w:uiPriority w:val="34"/>
    <w:qFormat/>
    <w:rsid w:val="00EF65F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65F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65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65FA"/>
    <w:rPr>
      <w:i/>
      <w:iCs/>
      <w:color w:val="0F4761" w:themeColor="accent1" w:themeShade="BF"/>
      <w:lang w:val="pt-BR"/>
    </w:rPr>
  </w:style>
  <w:style w:type="character" w:styleId="Referenciaintensa">
    <w:name w:val="Intense Reference"/>
    <w:basedOn w:val="Fuentedeprrafopredeter"/>
    <w:uiPriority w:val="32"/>
    <w:qFormat/>
    <w:rsid w:val="00EF65F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00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7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851626-05c4-426e-b768-1c35733f6fea}" enabled="1" method="Standard" siteId="{fbc493a8-0d24-4454-a815-f4ca58e8c09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901</Words>
  <Characters>4958</Characters>
  <Application>Microsoft Office Word</Application>
  <DocSecurity>0</DocSecurity>
  <Lines>41</Lines>
  <Paragraphs>11</Paragraphs>
  <ScaleCrop>false</ScaleCrop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Ferreira, Renata</dc:creator>
  <cp:keywords/>
  <dc:description/>
  <cp:lastModifiedBy>Tatiana R</cp:lastModifiedBy>
  <cp:revision>12</cp:revision>
  <dcterms:created xsi:type="dcterms:W3CDTF">2024-06-20T10:04:00Z</dcterms:created>
  <dcterms:modified xsi:type="dcterms:W3CDTF">2024-06-26T09:56:00Z</dcterms:modified>
</cp:coreProperties>
</file>