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eastAsia="微软雅黑" w:cs="微软雅黑" w:asciiTheme="minorAscii" w:hAnsiTheme="minorAscii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eastAsia="微软雅黑" w:cs="微软雅黑" w:asciiTheme="minorAscii" w:hAnsiTheme="minorAscii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Exposure factors were </w:t>
      </w:r>
      <w:r>
        <w:rPr>
          <w:rFonts w:hint="eastAsia" w:eastAsia="微软雅黑" w:cs="微软雅黑" w:asciiTheme="minorAscii" w:hAnsiTheme="minorAscii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SES/IB-related phenotypes</w:t>
      </w:r>
    </w:p>
    <w:tbl>
      <w:tblPr>
        <w:tblStyle w:val="2"/>
        <w:tblW w:w="2073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3"/>
        <w:gridCol w:w="900"/>
        <w:gridCol w:w="1900"/>
        <w:gridCol w:w="1381"/>
        <w:gridCol w:w="1901"/>
        <w:gridCol w:w="1381"/>
        <w:gridCol w:w="2476"/>
        <w:gridCol w:w="1061"/>
        <w:gridCol w:w="1461"/>
        <w:gridCol w:w="1061"/>
        <w:gridCol w:w="901"/>
        <w:gridCol w:w="13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4937" w:type="dxa"/>
            <w:vMerge w:val="restart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CEE1E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Exposure factors</w:t>
            </w:r>
          </w:p>
        </w:tc>
        <w:tc>
          <w:tcPr>
            <w:tcW w:w="901" w:type="dxa"/>
            <w:vMerge w:val="restart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CEE1E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No.of SNPs</w:t>
            </w:r>
          </w:p>
        </w:tc>
        <w:tc>
          <w:tcPr>
            <w:tcW w:w="3282" w:type="dxa"/>
            <w:gridSpan w:val="2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CEE1E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3282" w:type="dxa"/>
            <w:gridSpan w:val="2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CEE1E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3538" w:type="dxa"/>
            <w:gridSpan w:val="2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CEE1E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MR Egger</w:t>
            </w:r>
          </w:p>
        </w:tc>
        <w:tc>
          <w:tcPr>
            <w:tcW w:w="2522" w:type="dxa"/>
            <w:gridSpan w:val="2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CEE1E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Pleiotropy</w:t>
            </w:r>
          </w:p>
        </w:tc>
        <w:tc>
          <w:tcPr>
            <w:tcW w:w="2282" w:type="dxa"/>
            <w:gridSpan w:val="2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CEE1E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Heterogeneity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937" w:type="dxa"/>
            <w:vMerge w:val="continue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1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OR(95%CI)</w:t>
            </w:r>
          </w:p>
        </w:tc>
        <w:tc>
          <w:tcPr>
            <w:tcW w:w="1381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  <w:tc>
          <w:tcPr>
            <w:tcW w:w="1901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OR(95%CI)</w:t>
            </w:r>
          </w:p>
        </w:tc>
        <w:tc>
          <w:tcPr>
            <w:tcW w:w="1381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  <w:tc>
          <w:tcPr>
            <w:tcW w:w="2477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OR(95%CI)</w:t>
            </w:r>
          </w:p>
        </w:tc>
        <w:tc>
          <w:tcPr>
            <w:tcW w:w="1061" w:type="dxa"/>
            <w:vMerge w:val="restart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  <w:tc>
          <w:tcPr>
            <w:tcW w:w="1461" w:type="dxa"/>
            <w:vMerge w:val="restart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Intercept</w:t>
            </w:r>
          </w:p>
        </w:tc>
        <w:tc>
          <w:tcPr>
            <w:tcW w:w="1061" w:type="dxa"/>
            <w:vMerge w:val="restart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  <w:tc>
          <w:tcPr>
            <w:tcW w:w="901" w:type="dxa"/>
            <w:vMerge w:val="restart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</w:t>
            </w:r>
          </w:p>
        </w:tc>
        <w:tc>
          <w:tcPr>
            <w:tcW w:w="1381" w:type="dxa"/>
            <w:vMerge w:val="restart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37" w:type="dxa"/>
            <w:vMerge w:val="continue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1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1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1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1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7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vMerge w:val="continue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1" w:type="dxa"/>
            <w:vMerge w:val="continue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vMerge w:val="continue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1" w:type="dxa"/>
            <w:vMerge w:val="continue"/>
            <w:tcBorders>
              <w:top w:val="single" w:color="72A7BB" w:sz="8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Educational attainment(years of education)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0.98(0.97,0.99)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5.68E-11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0.98(0.97,0.99)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4.37E-10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1.00(0.97,1.02)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0.784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-1.30E-03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0.239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1.31E-15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Average total household income before tax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0.87(0.83,0.91)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4.90E-08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0.86(0.82,0.91)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6.52E-08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0.90(0.71,1.13)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0.358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-5.70E-04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0.806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8.04E-06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Spread on bread consumption 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0.96(0.46,2.00)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0.908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1.30(0.73,2.31)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0.365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12.78(0.24,688.71)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0.337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-0.012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0.325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37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Fresh fruit consumption</w:t>
            </w:r>
          </w:p>
        </w:tc>
        <w:tc>
          <w:tcPr>
            <w:tcW w:w="901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901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0.83(0.70,1.00)</w:t>
            </w:r>
          </w:p>
        </w:tc>
        <w:tc>
          <w:tcPr>
            <w:tcW w:w="1381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  <w:tc>
          <w:tcPr>
            <w:tcW w:w="1901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0.88(0.75,1.05)</w:t>
            </w:r>
          </w:p>
        </w:tc>
        <w:tc>
          <w:tcPr>
            <w:tcW w:w="1381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0.148</w:t>
            </w:r>
          </w:p>
        </w:tc>
        <w:tc>
          <w:tcPr>
            <w:tcW w:w="2477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1.47(0.78,2.78)</w:t>
            </w:r>
          </w:p>
        </w:tc>
        <w:tc>
          <w:tcPr>
            <w:tcW w:w="1061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0.245</w:t>
            </w:r>
          </w:p>
        </w:tc>
        <w:tc>
          <w:tcPr>
            <w:tcW w:w="1461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-1.90E-03</w:t>
            </w:r>
          </w:p>
        </w:tc>
        <w:tc>
          <w:tcPr>
            <w:tcW w:w="1061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0.079</w:t>
            </w:r>
          </w:p>
        </w:tc>
        <w:tc>
          <w:tcPr>
            <w:tcW w:w="901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381" w:type="dxa"/>
            <w:vMerge w:val="restart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37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1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1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1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1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7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1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1" w:type="dxa"/>
            <w:vMerge w:val="continue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Fresh fruit intake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0.86(0.77,0.97)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0.90(0.80,1.01)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0.066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1.43(0.97,2.11)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0.076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-4.80E-03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2.89E-10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9"/>
                <w:szCs w:val="19"/>
                <w:shd w:val="clear" w:fill="FFFFFF"/>
              </w:rPr>
              <w:t>Cooked vegetable intake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0.95(0.76,1.17)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0.606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1.06（0.90,1.24）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0.498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1.15（0.10,13.75）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0.911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-2.07e-03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0.876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2.98e-08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Processed meat intake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1.02(0.92,1.12)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0.762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1.04(0.95,1.15)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0.408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1.13(0.70,1.84)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0.617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-1.70E-03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0.654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Alcohol intake frequency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1.01(0.98,1.04)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0.492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0.99(0.96,1.02)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0.423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0.96(0.90,1.02)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0.193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1.40E-03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0.077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2.54E-11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Tea intake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0.98(0.93,1.03)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0.409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1.01(0.95,1.07)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0.842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1.01(0.90,1.13)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0.883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-6.80E-04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0.564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1.54E-03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Coffee intake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0.97(0.91,1.04)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0.424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1.00(0.93,1.07)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0.986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0.98(0.85,1.13)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0.793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-1.86E-04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0.877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4.29E-06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Time spent watching television (TV)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1.17(1.11,1.24)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1.21E-09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1.22(1.15,1.29)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3.58E-11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1.16(0.92,1.46)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0.225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1.80E-04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0.898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5.46E-09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Time spent using computer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0.96(0.90,1.02)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0.207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0.95(0.89,1.01)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0.079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0.94(0.68,1.28)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0.679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3.44E-04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0.971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2.88E-12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Time spent driving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0.86(0.73,1.01)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0.066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0.84(0.70,1.02)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0.074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1.07(0.21,5.50)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0.942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-6.40E-04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0.809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Lifetime number of sexual partners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1.06(0.98,1.15)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0.122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1.01(0.94,1.09)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0.688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1.33(0.92,1.91)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0.131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2.97E-03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0.223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6.69E-12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Maternal smoking around birth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1.22(1.03,1.45)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1.20(0.98,1.48)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0.073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0.69(0.29,1.63)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0.418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4.44E-03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0.211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Smoking initiation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1.03(1.00,1.06)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0.065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1.03(1.00,1.06)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0.081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1.07(0.90,1.26)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0.461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-8.60E-04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0.695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1.57E-14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Smoking status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1.10(1.04,1.17)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1.13(1.05,1.20)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0.00055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1.07(0.82,1.38)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0.637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3.32E-04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0.804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 at first birth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0.97(0.96,0.99)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3.00E-05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0.97(0.96,0.99)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1.78E-04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0.98(0.92,1.04)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0.505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-5.49E-04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0.808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Self-reported risk-taking behaviour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1.26(0.68,2.35)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0.459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1.00(0.64,1.56)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0.05(1.3e-05,186)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3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Drive faster than motorway speed limit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0.93(0.85,1.02)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0.146</w:t>
            </w:r>
          </w:p>
        </w:tc>
        <w:tc>
          <w:tcPr>
            <w:tcW w:w="1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0.93(0.84,1.03)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0.175</w:t>
            </w:r>
          </w:p>
        </w:tc>
        <w:tc>
          <w:tcPr>
            <w:tcW w:w="2477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1.00(0.66,1.51)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0.993</w:t>
            </w:r>
          </w:p>
        </w:tc>
        <w:tc>
          <w:tcPr>
            <w:tcW w:w="14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-8.71E-04</w:t>
            </w:r>
          </w:p>
        </w:tc>
        <w:tc>
          <w:tcPr>
            <w:tcW w:w="106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0.753</w:t>
            </w:r>
          </w:p>
        </w:tc>
        <w:tc>
          <w:tcPr>
            <w:tcW w:w="90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81" w:type="dxa"/>
            <w:tcBorders>
              <w:top w:val="single" w:color="72A7BB" w:sz="0" w:space="0"/>
              <w:left w:val="single" w:color="72A7BB" w:sz="8" w:space="0"/>
              <w:bottom w:val="single" w:color="72A7BB" w:sz="8" w:space="0"/>
              <w:right w:val="single" w:color="72A7BB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</w:tbl>
    <w:p/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default" w:asciiTheme="minorAscii" w:hAnsiTheme="minorAscii"/>
          <w:b/>
          <w:bCs/>
          <w:sz w:val="32"/>
          <w:szCs w:val="32"/>
        </w:rPr>
      </w:pPr>
    </w:p>
    <w:p>
      <w:pPr>
        <w:jc w:val="center"/>
        <w:rPr>
          <w:rFonts w:hint="default" w:asciiTheme="minorAscii" w:hAnsiTheme="minorAscii"/>
          <w:b/>
          <w:bCs/>
          <w:sz w:val="32"/>
          <w:szCs w:val="32"/>
        </w:rPr>
      </w:pPr>
      <w:r>
        <w:rPr>
          <w:rFonts w:hint="default" w:asciiTheme="minorAscii" w:hAnsiTheme="minorAscii"/>
          <w:b/>
          <w:bCs/>
          <w:sz w:val="32"/>
          <w:szCs w:val="32"/>
        </w:rPr>
        <w:t>Exposure factor was insomnia</w:t>
      </w:r>
    </w:p>
    <w:tbl>
      <w:tblPr>
        <w:tblStyle w:val="3"/>
        <w:tblpPr w:leftFromText="180" w:rightFromText="180" w:vertAnchor="text" w:horzAnchor="page" w:tblpX="1774" w:tblpY="30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8"/>
        <w:gridCol w:w="934"/>
        <w:gridCol w:w="1893"/>
        <w:gridCol w:w="1387"/>
        <w:gridCol w:w="1893"/>
        <w:gridCol w:w="1387"/>
        <w:gridCol w:w="2480"/>
        <w:gridCol w:w="1053"/>
        <w:gridCol w:w="1453"/>
        <w:gridCol w:w="1067"/>
        <w:gridCol w:w="893"/>
        <w:gridCol w:w="1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vMerge w:val="restart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Outcome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factors</w:t>
            </w:r>
          </w:p>
        </w:tc>
        <w:tc>
          <w:tcPr>
            <w:tcW w:w="934" w:type="dxa"/>
            <w:vMerge w:val="restart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No.of SNPs</w:t>
            </w:r>
          </w:p>
        </w:tc>
        <w:tc>
          <w:tcPr>
            <w:tcW w:w="3280" w:type="dxa"/>
            <w:gridSpan w:val="2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Inverse variance weighted</w:t>
            </w:r>
          </w:p>
        </w:tc>
        <w:tc>
          <w:tcPr>
            <w:tcW w:w="3280" w:type="dxa"/>
            <w:gridSpan w:val="2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3533" w:type="dxa"/>
            <w:gridSpan w:val="2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 Egger</w:t>
            </w:r>
          </w:p>
        </w:tc>
        <w:tc>
          <w:tcPr>
            <w:tcW w:w="2520" w:type="dxa"/>
            <w:gridSpan w:val="2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Pleiotropy</w:t>
            </w:r>
          </w:p>
        </w:tc>
        <w:tc>
          <w:tcPr>
            <w:tcW w:w="2280" w:type="dxa"/>
            <w:gridSpan w:val="2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IVW Heterogeneity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vMerge w:val="continue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4" w:type="dxa"/>
            <w:vMerge w:val="continue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OR(95%CI)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OR(95%CI)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OR(95%CI)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Intercept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Educational attainment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1.37e-03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3.62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0.422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e-03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832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Average total household income before tax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.69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Spread on bread consumption 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0.92,1.03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-2.2e-03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093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Fresh fruit consumption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,1.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e-03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Fresh fruit intake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0.97(0.92,1.03)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0.389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0.98(0.93,1.03)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1.13(0.95,1.34)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0.185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-2.2e-03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0.093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9"/>
                <w:szCs w:val="19"/>
                <w:shd w:val="clear" w:fill="FFFFFF"/>
              </w:rPr>
              <w:t>Cooked vegetable intake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1.02(0.90,1.16)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0.754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1.08(0.98,1.19)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0.133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1.16(0.79,1.72)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0.458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-1.9e-03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0.496</w:t>
            </w:r>
            <w:bookmarkStart w:id="0" w:name="_GoBack"/>
            <w:bookmarkEnd w:id="0"/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1.89e-09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Processed meat intake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935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619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1.0e-03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654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Alcohol intake frequency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.45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e-03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585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2.68e-14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Tea intake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1.00(0.87,1.15)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0.98(0.86,1.11)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0.762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0.87(0.57,1.33)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0.531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2.04-03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0.511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Coffee intake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0.94(0.85,1.05)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0.271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0.99(0.89,1.09)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0.789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1.11(0.82,1.50)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0.516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-2.37e-03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0.292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Time spent watching television (TV)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,1.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0.201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,1.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0.718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0.725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8.46e-11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Time spent using computer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e-04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846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2.38e-10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Time spent driving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738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946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4.94e-03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Lifetime number of sexual partners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713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.61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848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745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2.52e-13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Maternal smoking around birth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778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1.7e-03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Smoking initiation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,1.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,1.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683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8.4e-05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988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Smoking status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656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2.9e-03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9.37e-07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 at first birth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20.79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862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-2.02e-02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5.47e-14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Self-reported risk-taking behaviour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749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,1.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7.6e-04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518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Drive faster than motorway speed limit</w:t>
            </w:r>
          </w:p>
        </w:tc>
        <w:tc>
          <w:tcPr>
            <w:tcW w:w="934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,1.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,1.0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248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,1.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0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45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2.04e-03</w:t>
            </w:r>
          </w:p>
        </w:tc>
        <w:tc>
          <w:tcPr>
            <w:tcW w:w="106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893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3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1.37e-04</w:t>
            </w:r>
          </w:p>
        </w:tc>
      </w:tr>
    </w:tbl>
    <w:p/>
    <w:sectPr>
      <w:pgSz w:w="25512" w:h="16838" w:orient="landscape"/>
      <w:pgMar w:top="1440" w:right="1803" w:bottom="1440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UI Variable Display Semibold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Segoe UI Variable Display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MzZiMzM5YzllNWM2NDJjZjUwNzY2ZTJiYTczMDQifQ=="/>
  </w:docVars>
  <w:rsids>
    <w:rsidRoot w:val="00000000"/>
    <w:rsid w:val="23682299"/>
    <w:rsid w:val="420314FD"/>
    <w:rsid w:val="680F1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2023-10-30T05:19:00Z</dcterms:created>
  <dc:creator>33061</dc:creator>
  <cp:lastModifiedBy>WPS_343100712</cp:lastModifiedBy>
  <dcterms:modified xsi:type="dcterms:W3CDTF">2023-11-10T08:15:14Z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D560C3065DE94F088E41C00EE841F9DD_12</vt:lpwstr>
  </property>
</Properties>
</file>