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097AA6" w14:textId="77777777" w:rsidR="00D446A0" w:rsidRPr="005A2E2F" w:rsidRDefault="00D446A0" w:rsidP="00D446A0">
      <w:pPr>
        <w:rPr>
          <w:rFonts w:ascii="Times New Roman" w:hAnsi="Times New Roman" w:cs="Times New Roman"/>
          <w:sz w:val="28"/>
          <w:szCs w:val="28"/>
        </w:rPr>
      </w:pPr>
      <w:r w:rsidRPr="005A2E2F">
        <w:rPr>
          <w:rFonts w:ascii="Times New Roman" w:hAnsi="Times New Roman" w:cs="Times New Roman"/>
          <w:sz w:val="28"/>
          <w:szCs w:val="28"/>
        </w:rPr>
        <w:t>figure</w:t>
      </w:r>
      <w:proofErr w:type="gramStart"/>
      <w:r w:rsidRPr="005A2E2F">
        <w:rPr>
          <w:rFonts w:ascii="Times New Roman" w:hAnsi="Times New Roman" w:cs="Times New Roman"/>
          <w:sz w:val="28"/>
          <w:szCs w:val="28"/>
        </w:rPr>
        <w:t>1:Flowchart</w:t>
      </w:r>
      <w:proofErr w:type="gramEnd"/>
      <w:r w:rsidRPr="005A2E2F">
        <w:rPr>
          <w:rFonts w:ascii="Times New Roman" w:hAnsi="Times New Roman" w:cs="Times New Roman"/>
          <w:sz w:val="28"/>
          <w:szCs w:val="28"/>
        </w:rPr>
        <w:t xml:space="preserve"> of this study</w:t>
      </w:r>
    </w:p>
    <w:p w14:paraId="24B313A3" w14:textId="77777777" w:rsidR="00D446A0" w:rsidRPr="005A2E2F" w:rsidRDefault="00D446A0" w:rsidP="00D446A0">
      <w:pPr>
        <w:rPr>
          <w:rFonts w:ascii="Times New Roman" w:hAnsi="Times New Roman" w:cs="Times New Roman"/>
          <w:sz w:val="28"/>
          <w:szCs w:val="28"/>
        </w:rPr>
      </w:pPr>
      <w:r w:rsidRPr="005A2E2F">
        <w:rPr>
          <w:rFonts w:ascii="Times New Roman" w:hAnsi="Times New Roman" w:cs="Times New Roman"/>
          <w:sz w:val="28"/>
          <w:szCs w:val="28"/>
        </w:rPr>
        <w:t>figure</w:t>
      </w:r>
      <w:proofErr w:type="gramStart"/>
      <w:r w:rsidRPr="005A2E2F">
        <w:rPr>
          <w:rFonts w:ascii="Times New Roman" w:hAnsi="Times New Roman" w:cs="Times New Roman"/>
          <w:sz w:val="28"/>
          <w:szCs w:val="28"/>
        </w:rPr>
        <w:t>2:Anoikis</w:t>
      </w:r>
      <w:proofErr w:type="gramEnd"/>
      <w:r w:rsidRPr="005A2E2F">
        <w:rPr>
          <w:rFonts w:ascii="Times New Roman" w:hAnsi="Times New Roman" w:cs="Times New Roman"/>
          <w:sz w:val="28"/>
          <w:szCs w:val="28"/>
        </w:rPr>
        <w:t xml:space="preserve"> (ANO) characteristic in the </w:t>
      </w:r>
      <w:proofErr w:type="spellStart"/>
      <w:r w:rsidRPr="005A2E2F">
        <w:rPr>
          <w:rFonts w:ascii="Times New Roman" w:hAnsi="Times New Roman" w:cs="Times New Roman"/>
          <w:sz w:val="28"/>
          <w:szCs w:val="28"/>
        </w:rPr>
        <w:t>singlecell</w:t>
      </w:r>
      <w:proofErr w:type="spellEnd"/>
      <w:r w:rsidRPr="005A2E2F">
        <w:rPr>
          <w:rFonts w:ascii="Times New Roman" w:hAnsi="Times New Roman" w:cs="Times New Roman"/>
          <w:sz w:val="28"/>
          <w:szCs w:val="28"/>
        </w:rPr>
        <w:t xml:space="preserve"> transcriptome.</w:t>
      </w:r>
    </w:p>
    <w:p w14:paraId="05052C2F" w14:textId="77777777" w:rsidR="00D446A0" w:rsidRPr="005A2E2F" w:rsidRDefault="00D446A0" w:rsidP="00D446A0">
      <w:pPr>
        <w:rPr>
          <w:rFonts w:ascii="Times New Roman" w:hAnsi="Times New Roman" w:cs="Times New Roman"/>
          <w:sz w:val="28"/>
          <w:szCs w:val="28"/>
        </w:rPr>
      </w:pPr>
      <w:r w:rsidRPr="005A2E2F">
        <w:rPr>
          <w:rFonts w:ascii="Times New Roman" w:hAnsi="Times New Roman" w:cs="Times New Roman"/>
          <w:sz w:val="28"/>
          <w:szCs w:val="28"/>
        </w:rPr>
        <w:tab/>
        <w:t xml:space="preserve">A t-SNE plot showing the cell types identified by marker genes. </w:t>
      </w:r>
    </w:p>
    <w:p w14:paraId="327CC3FE" w14:textId="77777777" w:rsidR="00D446A0" w:rsidRPr="005A2E2F" w:rsidRDefault="00D446A0" w:rsidP="00D446A0">
      <w:pPr>
        <w:rPr>
          <w:rFonts w:ascii="Times New Roman" w:hAnsi="Times New Roman" w:cs="Times New Roman"/>
          <w:sz w:val="28"/>
          <w:szCs w:val="28"/>
        </w:rPr>
      </w:pPr>
      <w:r w:rsidRPr="005A2E2F">
        <w:rPr>
          <w:rFonts w:ascii="Times New Roman" w:hAnsi="Times New Roman" w:cs="Times New Roman"/>
          <w:sz w:val="28"/>
          <w:szCs w:val="28"/>
        </w:rPr>
        <w:tab/>
        <w:t>B Heatmap showing the top 4 marker genes in each cell cluster.</w:t>
      </w:r>
    </w:p>
    <w:p w14:paraId="7777B499" w14:textId="77777777" w:rsidR="00D446A0" w:rsidRPr="005A2E2F" w:rsidRDefault="00D446A0" w:rsidP="00D446A0">
      <w:pPr>
        <w:rPr>
          <w:rFonts w:ascii="Times New Roman" w:hAnsi="Times New Roman" w:cs="Times New Roman"/>
          <w:sz w:val="28"/>
          <w:szCs w:val="28"/>
        </w:rPr>
      </w:pPr>
      <w:r w:rsidRPr="005A2E2F">
        <w:rPr>
          <w:rFonts w:ascii="Times New Roman" w:hAnsi="Times New Roman" w:cs="Times New Roman"/>
          <w:sz w:val="28"/>
          <w:szCs w:val="28"/>
        </w:rPr>
        <w:tab/>
        <w:t xml:space="preserve">C The activity score of </w:t>
      </w:r>
      <w:proofErr w:type="spellStart"/>
      <w:r w:rsidRPr="005A2E2F">
        <w:rPr>
          <w:rFonts w:ascii="Times New Roman" w:hAnsi="Times New Roman" w:cs="Times New Roman"/>
          <w:sz w:val="28"/>
          <w:szCs w:val="28"/>
        </w:rPr>
        <w:t>Anoikis</w:t>
      </w:r>
      <w:proofErr w:type="spellEnd"/>
      <w:r w:rsidRPr="005A2E2F">
        <w:rPr>
          <w:rFonts w:ascii="Times New Roman" w:hAnsi="Times New Roman" w:cs="Times New Roman"/>
          <w:sz w:val="28"/>
          <w:szCs w:val="28"/>
        </w:rPr>
        <w:t xml:space="preserve"> (ANO) in each cell.</w:t>
      </w:r>
    </w:p>
    <w:p w14:paraId="46583CCE" w14:textId="77777777" w:rsidR="00D446A0" w:rsidRPr="005A2E2F" w:rsidRDefault="00D446A0" w:rsidP="00D446A0">
      <w:pPr>
        <w:rPr>
          <w:rFonts w:ascii="Times New Roman" w:hAnsi="Times New Roman" w:cs="Times New Roman"/>
          <w:sz w:val="28"/>
          <w:szCs w:val="28"/>
        </w:rPr>
      </w:pPr>
      <w:r w:rsidRPr="005A2E2F">
        <w:rPr>
          <w:rFonts w:ascii="Times New Roman" w:hAnsi="Times New Roman" w:cs="Times New Roman"/>
          <w:sz w:val="28"/>
          <w:szCs w:val="28"/>
        </w:rPr>
        <w:tab/>
        <w:t>D The distribution of the ANO score in different cell types.</w:t>
      </w:r>
    </w:p>
    <w:p w14:paraId="422181FA" w14:textId="77777777" w:rsidR="00D446A0" w:rsidRPr="005A2E2F" w:rsidRDefault="00D446A0" w:rsidP="00D446A0">
      <w:pPr>
        <w:rPr>
          <w:rFonts w:ascii="Times New Roman" w:hAnsi="Times New Roman" w:cs="Times New Roman"/>
          <w:sz w:val="28"/>
          <w:szCs w:val="28"/>
        </w:rPr>
      </w:pPr>
      <w:r w:rsidRPr="005A2E2F">
        <w:rPr>
          <w:rFonts w:ascii="Times New Roman" w:hAnsi="Times New Roman" w:cs="Times New Roman"/>
          <w:sz w:val="28"/>
          <w:szCs w:val="28"/>
        </w:rPr>
        <w:t>figure</w:t>
      </w:r>
      <w:proofErr w:type="gramStart"/>
      <w:r w:rsidRPr="005A2E2F">
        <w:rPr>
          <w:rFonts w:ascii="Times New Roman" w:hAnsi="Times New Roman" w:cs="Times New Roman"/>
          <w:sz w:val="28"/>
          <w:szCs w:val="28"/>
        </w:rPr>
        <w:t>3:Identification</w:t>
      </w:r>
      <w:proofErr w:type="gramEnd"/>
      <w:r w:rsidRPr="005A2E2F">
        <w:rPr>
          <w:rFonts w:ascii="Times New Roman" w:hAnsi="Times New Roman" w:cs="Times New Roman"/>
          <w:sz w:val="28"/>
          <w:szCs w:val="28"/>
        </w:rPr>
        <w:t xml:space="preserve"> of </w:t>
      </w:r>
      <w:proofErr w:type="spellStart"/>
      <w:r w:rsidRPr="005A2E2F">
        <w:rPr>
          <w:rFonts w:ascii="Times New Roman" w:hAnsi="Times New Roman" w:cs="Times New Roman"/>
          <w:sz w:val="28"/>
          <w:szCs w:val="28"/>
        </w:rPr>
        <w:t>anoikis</w:t>
      </w:r>
      <w:proofErr w:type="spellEnd"/>
      <w:r w:rsidRPr="005A2E2F">
        <w:rPr>
          <w:rFonts w:ascii="Times New Roman" w:hAnsi="Times New Roman" w:cs="Times New Roman"/>
          <w:sz w:val="28"/>
          <w:szCs w:val="28"/>
        </w:rPr>
        <w:t>-related genes (ARS).</w:t>
      </w:r>
    </w:p>
    <w:p w14:paraId="1A84372E" w14:textId="77777777" w:rsidR="00D446A0" w:rsidRPr="005A2E2F" w:rsidRDefault="00D446A0" w:rsidP="00D446A0">
      <w:pPr>
        <w:rPr>
          <w:rFonts w:ascii="Times New Roman" w:hAnsi="Times New Roman" w:cs="Times New Roman"/>
          <w:sz w:val="28"/>
          <w:szCs w:val="28"/>
        </w:rPr>
      </w:pPr>
      <w:r w:rsidRPr="005A2E2F">
        <w:rPr>
          <w:rFonts w:ascii="Times New Roman" w:hAnsi="Times New Roman" w:cs="Times New Roman"/>
          <w:sz w:val="28"/>
          <w:szCs w:val="28"/>
        </w:rPr>
        <w:tab/>
        <w:t xml:space="preserve">A Dendrogram showing the hierarchical clustering of TCGA-LUAD samples. The bottom heatmap represents each sample's ANO score, calculated by </w:t>
      </w:r>
      <w:proofErr w:type="spellStart"/>
      <w:r w:rsidRPr="005A2E2F">
        <w:rPr>
          <w:rFonts w:ascii="Times New Roman" w:hAnsi="Times New Roman" w:cs="Times New Roman"/>
          <w:sz w:val="28"/>
          <w:szCs w:val="28"/>
        </w:rPr>
        <w:t>ssGSEA</w:t>
      </w:r>
      <w:proofErr w:type="spellEnd"/>
      <w:r w:rsidRPr="005A2E2F">
        <w:rPr>
          <w:rFonts w:ascii="Times New Roman" w:hAnsi="Times New Roman" w:cs="Times New Roman"/>
          <w:sz w:val="28"/>
          <w:szCs w:val="28"/>
        </w:rPr>
        <w:t xml:space="preserve"> algorithm. </w:t>
      </w:r>
    </w:p>
    <w:p w14:paraId="5D458DA4" w14:textId="77777777" w:rsidR="00D446A0" w:rsidRPr="005A2E2F" w:rsidRDefault="00D446A0" w:rsidP="00D446A0">
      <w:pPr>
        <w:rPr>
          <w:rFonts w:ascii="Times New Roman" w:hAnsi="Times New Roman" w:cs="Times New Roman"/>
          <w:sz w:val="28"/>
          <w:szCs w:val="28"/>
        </w:rPr>
      </w:pPr>
      <w:r w:rsidRPr="005A2E2F">
        <w:rPr>
          <w:rFonts w:ascii="Times New Roman" w:hAnsi="Times New Roman" w:cs="Times New Roman"/>
          <w:sz w:val="28"/>
          <w:szCs w:val="28"/>
        </w:rPr>
        <w:tab/>
        <w:t>B Cluster dendrogram of the WGCNA analysis</w:t>
      </w:r>
    </w:p>
    <w:p w14:paraId="5057B3AE" w14:textId="77777777" w:rsidR="00D446A0" w:rsidRPr="005A2E2F" w:rsidRDefault="00D446A0" w:rsidP="00D446A0">
      <w:pPr>
        <w:rPr>
          <w:rFonts w:ascii="Times New Roman" w:hAnsi="Times New Roman" w:cs="Times New Roman"/>
          <w:sz w:val="28"/>
          <w:szCs w:val="28"/>
        </w:rPr>
      </w:pPr>
      <w:r w:rsidRPr="005A2E2F">
        <w:rPr>
          <w:rFonts w:ascii="Times New Roman" w:hAnsi="Times New Roman" w:cs="Times New Roman"/>
          <w:sz w:val="28"/>
          <w:szCs w:val="28"/>
        </w:rPr>
        <w:tab/>
        <w:t xml:space="preserve">C Module-trait heatmap showing that the </w:t>
      </w:r>
      <w:proofErr w:type="spellStart"/>
      <w:r w:rsidRPr="005A2E2F">
        <w:rPr>
          <w:rFonts w:ascii="Times New Roman" w:hAnsi="Times New Roman" w:cs="Times New Roman"/>
          <w:sz w:val="28"/>
          <w:szCs w:val="28"/>
        </w:rPr>
        <w:t>MEbrown</w:t>
      </w:r>
      <w:proofErr w:type="spellEnd"/>
      <w:r w:rsidRPr="005A2E2F">
        <w:rPr>
          <w:rFonts w:ascii="Times New Roman" w:hAnsi="Times New Roman" w:cs="Times New Roman"/>
          <w:sz w:val="28"/>
          <w:szCs w:val="28"/>
        </w:rPr>
        <w:t xml:space="preserve"> module was closely related to the ANO trait. </w:t>
      </w:r>
    </w:p>
    <w:p w14:paraId="4F94F1A7" w14:textId="77777777" w:rsidR="00D446A0" w:rsidRPr="005A2E2F" w:rsidRDefault="00D446A0" w:rsidP="00D446A0">
      <w:pPr>
        <w:rPr>
          <w:rFonts w:ascii="Times New Roman" w:hAnsi="Times New Roman" w:cs="Times New Roman"/>
          <w:sz w:val="28"/>
          <w:szCs w:val="28"/>
        </w:rPr>
      </w:pPr>
      <w:r w:rsidRPr="005A2E2F">
        <w:rPr>
          <w:rFonts w:ascii="Times New Roman" w:hAnsi="Times New Roman" w:cs="Times New Roman"/>
          <w:sz w:val="28"/>
          <w:szCs w:val="28"/>
        </w:rPr>
        <w:tab/>
        <w:t>D Volcano plot showing the results of differential analysis of TCGA-LUAD tumor samples and normal samples, with the top 5 upregulated or downregulated genes specially marked.</w:t>
      </w:r>
    </w:p>
    <w:p w14:paraId="20076C89" w14:textId="77777777" w:rsidR="00D446A0" w:rsidRPr="005A2E2F" w:rsidRDefault="00D446A0" w:rsidP="00D446A0">
      <w:pPr>
        <w:rPr>
          <w:rFonts w:ascii="Times New Roman" w:hAnsi="Times New Roman" w:cs="Times New Roman"/>
          <w:sz w:val="28"/>
          <w:szCs w:val="28"/>
        </w:rPr>
      </w:pPr>
      <w:r w:rsidRPr="005A2E2F">
        <w:rPr>
          <w:rFonts w:ascii="Times New Roman" w:hAnsi="Times New Roman" w:cs="Times New Roman"/>
          <w:sz w:val="28"/>
          <w:szCs w:val="28"/>
        </w:rPr>
        <w:tab/>
        <w:t xml:space="preserve">E Venn plot showing the intersecting genes between </w:t>
      </w:r>
      <w:proofErr w:type="spellStart"/>
      <w:r w:rsidRPr="005A2E2F">
        <w:rPr>
          <w:rFonts w:ascii="Times New Roman" w:hAnsi="Times New Roman" w:cs="Times New Roman"/>
          <w:sz w:val="28"/>
          <w:szCs w:val="28"/>
        </w:rPr>
        <w:t>MEbrown</w:t>
      </w:r>
      <w:proofErr w:type="spellEnd"/>
      <w:r w:rsidRPr="005A2E2F">
        <w:rPr>
          <w:rFonts w:ascii="Times New Roman" w:hAnsi="Times New Roman" w:cs="Times New Roman"/>
          <w:sz w:val="28"/>
          <w:szCs w:val="28"/>
        </w:rPr>
        <w:t xml:space="preserve"> module and DEGs in bulk RNA-seq.</w:t>
      </w:r>
    </w:p>
    <w:p w14:paraId="57DB8794" w14:textId="77777777" w:rsidR="00D446A0" w:rsidRPr="005A2E2F" w:rsidRDefault="00D446A0" w:rsidP="00D446A0">
      <w:pPr>
        <w:rPr>
          <w:rFonts w:ascii="Times New Roman" w:hAnsi="Times New Roman" w:cs="Times New Roman"/>
          <w:sz w:val="28"/>
          <w:szCs w:val="28"/>
        </w:rPr>
      </w:pPr>
      <w:r w:rsidRPr="005A2E2F">
        <w:rPr>
          <w:rFonts w:ascii="Times New Roman" w:hAnsi="Times New Roman" w:cs="Times New Roman"/>
          <w:sz w:val="28"/>
          <w:szCs w:val="28"/>
        </w:rPr>
        <w:tab/>
        <w:t xml:space="preserve">F GO enrichment of the </w:t>
      </w:r>
      <w:proofErr w:type="spellStart"/>
      <w:r w:rsidRPr="005A2E2F">
        <w:rPr>
          <w:rFonts w:ascii="Times New Roman" w:hAnsi="Times New Roman" w:cs="Times New Roman"/>
          <w:sz w:val="28"/>
          <w:szCs w:val="28"/>
        </w:rPr>
        <w:t>anoikis</w:t>
      </w:r>
      <w:proofErr w:type="spellEnd"/>
      <w:r w:rsidRPr="005A2E2F">
        <w:rPr>
          <w:rFonts w:ascii="Times New Roman" w:hAnsi="Times New Roman" w:cs="Times New Roman"/>
          <w:sz w:val="28"/>
          <w:szCs w:val="28"/>
        </w:rPr>
        <w:t>-related genes.</w:t>
      </w:r>
    </w:p>
    <w:p w14:paraId="1BED215E" w14:textId="77777777" w:rsidR="00D446A0" w:rsidRPr="005A2E2F" w:rsidRDefault="00D446A0" w:rsidP="00D446A0">
      <w:pPr>
        <w:rPr>
          <w:rFonts w:ascii="Times New Roman" w:hAnsi="Times New Roman" w:cs="Times New Roman"/>
          <w:sz w:val="28"/>
          <w:szCs w:val="28"/>
        </w:rPr>
      </w:pPr>
      <w:r w:rsidRPr="005A2E2F">
        <w:rPr>
          <w:rFonts w:ascii="Times New Roman" w:hAnsi="Times New Roman" w:cs="Times New Roman"/>
          <w:sz w:val="28"/>
          <w:szCs w:val="28"/>
        </w:rPr>
        <w:tab/>
        <w:t xml:space="preserve">G Copy number variation (CNV) frequency of </w:t>
      </w:r>
      <w:proofErr w:type="spellStart"/>
      <w:r w:rsidRPr="005A2E2F">
        <w:rPr>
          <w:rFonts w:ascii="Times New Roman" w:hAnsi="Times New Roman" w:cs="Times New Roman"/>
          <w:sz w:val="28"/>
          <w:szCs w:val="28"/>
        </w:rPr>
        <w:t>anoikis</w:t>
      </w:r>
      <w:proofErr w:type="spellEnd"/>
      <w:r w:rsidRPr="005A2E2F">
        <w:rPr>
          <w:rFonts w:ascii="Times New Roman" w:hAnsi="Times New Roman" w:cs="Times New Roman"/>
          <w:sz w:val="28"/>
          <w:szCs w:val="28"/>
        </w:rPr>
        <w:t>-related genes.</w:t>
      </w:r>
    </w:p>
    <w:p w14:paraId="7325DC80" w14:textId="77777777" w:rsidR="00D446A0" w:rsidRPr="005A2E2F" w:rsidRDefault="00D446A0" w:rsidP="00D446A0">
      <w:pPr>
        <w:rPr>
          <w:rFonts w:ascii="Times New Roman" w:hAnsi="Times New Roman" w:cs="Times New Roman"/>
          <w:sz w:val="28"/>
          <w:szCs w:val="28"/>
        </w:rPr>
      </w:pPr>
      <w:r w:rsidRPr="005A2E2F">
        <w:rPr>
          <w:rFonts w:ascii="Times New Roman" w:hAnsi="Times New Roman" w:cs="Times New Roman"/>
          <w:sz w:val="28"/>
          <w:szCs w:val="28"/>
        </w:rPr>
        <w:t>figure</w:t>
      </w:r>
      <w:proofErr w:type="gramStart"/>
      <w:r w:rsidRPr="005A2E2F">
        <w:rPr>
          <w:rFonts w:ascii="Times New Roman" w:hAnsi="Times New Roman" w:cs="Times New Roman"/>
          <w:sz w:val="28"/>
          <w:szCs w:val="28"/>
        </w:rPr>
        <w:t>4:A</w:t>
      </w:r>
      <w:proofErr w:type="gramEnd"/>
      <w:r w:rsidRPr="005A2E2F">
        <w:rPr>
          <w:rFonts w:ascii="Times New Roman" w:hAnsi="Times New Roman" w:cs="Times New Roman"/>
          <w:sz w:val="28"/>
          <w:szCs w:val="28"/>
        </w:rPr>
        <w:t xml:space="preserve"> consensus ARS was developed and validated via the machine learning-based integrative procedure.</w:t>
      </w:r>
    </w:p>
    <w:p w14:paraId="0E891409" w14:textId="77777777" w:rsidR="00D446A0" w:rsidRPr="005A2E2F" w:rsidRDefault="00D446A0" w:rsidP="00D446A0">
      <w:pPr>
        <w:rPr>
          <w:rFonts w:ascii="Times New Roman" w:hAnsi="Times New Roman" w:cs="Times New Roman"/>
          <w:sz w:val="28"/>
          <w:szCs w:val="28"/>
        </w:rPr>
      </w:pPr>
      <w:r w:rsidRPr="005A2E2F">
        <w:rPr>
          <w:rFonts w:ascii="Times New Roman" w:hAnsi="Times New Roman" w:cs="Times New Roman"/>
          <w:sz w:val="28"/>
          <w:szCs w:val="28"/>
        </w:rPr>
        <w:lastRenderedPageBreak/>
        <w:tab/>
        <w:t>A-B Visualization of LASSO regression in the TCGA-LUAD cohort. The optimal λ was obtained when the partial likelihood deviance reached the minimum value.</w:t>
      </w:r>
    </w:p>
    <w:p w14:paraId="3BD268B9" w14:textId="77777777" w:rsidR="00D446A0" w:rsidRPr="005A2E2F" w:rsidRDefault="00D446A0" w:rsidP="00D446A0">
      <w:pPr>
        <w:rPr>
          <w:rFonts w:ascii="Times New Roman" w:hAnsi="Times New Roman" w:cs="Times New Roman"/>
          <w:sz w:val="28"/>
          <w:szCs w:val="28"/>
        </w:rPr>
      </w:pPr>
      <w:r w:rsidRPr="005A2E2F">
        <w:rPr>
          <w:rFonts w:ascii="Times New Roman" w:hAnsi="Times New Roman" w:cs="Times New Roman"/>
          <w:sz w:val="28"/>
          <w:szCs w:val="28"/>
        </w:rPr>
        <w:tab/>
        <w:t xml:space="preserve">C Visualization of LASSO regression in the TCGA-LUAD cohort. </w:t>
      </w:r>
    </w:p>
    <w:p w14:paraId="120857AD" w14:textId="77777777" w:rsidR="00D446A0" w:rsidRPr="005A2E2F" w:rsidRDefault="00D446A0" w:rsidP="00D446A0">
      <w:pPr>
        <w:rPr>
          <w:rFonts w:ascii="Times New Roman" w:hAnsi="Times New Roman" w:cs="Times New Roman"/>
          <w:sz w:val="28"/>
          <w:szCs w:val="28"/>
        </w:rPr>
      </w:pPr>
      <w:r w:rsidRPr="005A2E2F">
        <w:rPr>
          <w:rFonts w:ascii="Times New Roman" w:hAnsi="Times New Roman" w:cs="Times New Roman"/>
          <w:sz w:val="28"/>
          <w:szCs w:val="28"/>
        </w:rPr>
        <w:tab/>
        <w:t>D-G Kaplan–Meier curves of OS according to the ARS in the TCGA-LUAD, GSE29013, GSE42127 and TCGA-DDS based on the log-rank test.</w:t>
      </w:r>
    </w:p>
    <w:p w14:paraId="651852D9" w14:textId="77777777" w:rsidR="00D446A0" w:rsidRPr="005A2E2F" w:rsidRDefault="00D446A0" w:rsidP="00D446A0">
      <w:pPr>
        <w:rPr>
          <w:rFonts w:ascii="Times New Roman" w:hAnsi="Times New Roman" w:cs="Times New Roman"/>
          <w:sz w:val="28"/>
          <w:szCs w:val="28"/>
        </w:rPr>
      </w:pPr>
      <w:r w:rsidRPr="005A2E2F">
        <w:rPr>
          <w:rFonts w:ascii="Times New Roman" w:hAnsi="Times New Roman" w:cs="Times New Roman"/>
          <w:sz w:val="28"/>
          <w:szCs w:val="28"/>
        </w:rPr>
        <w:tab/>
        <w:t xml:space="preserve">H A total of 101 kinds of prediction models via a tenfold cross-validation framework and further calculated the C index of each model across all validation datasets. </w:t>
      </w:r>
    </w:p>
    <w:p w14:paraId="712F4837" w14:textId="77777777" w:rsidR="00D446A0" w:rsidRPr="005A2E2F" w:rsidRDefault="00D446A0" w:rsidP="00D446A0">
      <w:pPr>
        <w:rPr>
          <w:rFonts w:ascii="Times New Roman" w:hAnsi="Times New Roman" w:cs="Times New Roman"/>
          <w:sz w:val="28"/>
          <w:szCs w:val="28"/>
        </w:rPr>
      </w:pPr>
      <w:r w:rsidRPr="005A2E2F">
        <w:rPr>
          <w:rFonts w:ascii="Times New Roman" w:hAnsi="Times New Roman" w:cs="Times New Roman"/>
          <w:sz w:val="28"/>
          <w:szCs w:val="28"/>
        </w:rPr>
        <w:t>figure</w:t>
      </w:r>
      <w:proofErr w:type="gramStart"/>
      <w:r w:rsidRPr="005A2E2F">
        <w:rPr>
          <w:rFonts w:ascii="Times New Roman" w:hAnsi="Times New Roman" w:cs="Times New Roman"/>
          <w:sz w:val="28"/>
          <w:szCs w:val="28"/>
        </w:rPr>
        <w:t>5:Evaluation</w:t>
      </w:r>
      <w:proofErr w:type="gramEnd"/>
      <w:r w:rsidRPr="005A2E2F">
        <w:rPr>
          <w:rFonts w:ascii="Times New Roman" w:hAnsi="Times New Roman" w:cs="Times New Roman"/>
          <w:sz w:val="28"/>
          <w:szCs w:val="28"/>
        </w:rPr>
        <w:t xml:space="preserve"> of the ARS model. </w:t>
      </w:r>
    </w:p>
    <w:p w14:paraId="3DF249B6" w14:textId="77777777" w:rsidR="00D446A0" w:rsidRPr="005A2E2F" w:rsidRDefault="00D446A0" w:rsidP="00D446A0">
      <w:pPr>
        <w:rPr>
          <w:rFonts w:ascii="Times New Roman" w:hAnsi="Times New Roman" w:cs="Times New Roman"/>
          <w:sz w:val="28"/>
          <w:szCs w:val="28"/>
        </w:rPr>
      </w:pPr>
      <w:r w:rsidRPr="005A2E2F">
        <w:rPr>
          <w:rFonts w:ascii="Times New Roman" w:hAnsi="Times New Roman" w:cs="Times New Roman"/>
          <w:sz w:val="28"/>
          <w:szCs w:val="28"/>
        </w:rPr>
        <w:tab/>
        <w:t>A-C ROC curves showing the specificity and sensitivity of ARS in predicting 1, 3, and 5-year OS in TCGA-LUAD, GSE29013 and GSE42127.</w:t>
      </w:r>
    </w:p>
    <w:p w14:paraId="13029BF8" w14:textId="77777777" w:rsidR="00D446A0" w:rsidRPr="005A2E2F" w:rsidRDefault="00D446A0" w:rsidP="00D446A0">
      <w:pPr>
        <w:rPr>
          <w:rFonts w:ascii="Times New Roman" w:hAnsi="Times New Roman" w:cs="Times New Roman"/>
          <w:sz w:val="28"/>
          <w:szCs w:val="28"/>
        </w:rPr>
      </w:pPr>
      <w:r w:rsidRPr="005A2E2F">
        <w:rPr>
          <w:rFonts w:ascii="Times New Roman" w:hAnsi="Times New Roman" w:cs="Times New Roman"/>
          <w:sz w:val="28"/>
          <w:szCs w:val="28"/>
        </w:rPr>
        <w:tab/>
        <w:t>D The distribution of clinical characteristics and the expression of model genes according to the ARS risk score.</w:t>
      </w:r>
    </w:p>
    <w:p w14:paraId="66262C31" w14:textId="77777777" w:rsidR="00D446A0" w:rsidRPr="005A2E2F" w:rsidRDefault="00D446A0" w:rsidP="00D446A0">
      <w:pPr>
        <w:rPr>
          <w:rFonts w:ascii="Times New Roman" w:hAnsi="Times New Roman" w:cs="Times New Roman"/>
          <w:sz w:val="28"/>
          <w:szCs w:val="28"/>
        </w:rPr>
      </w:pPr>
      <w:r w:rsidRPr="005A2E2F">
        <w:rPr>
          <w:rFonts w:ascii="Times New Roman" w:hAnsi="Times New Roman" w:cs="Times New Roman"/>
          <w:sz w:val="28"/>
          <w:szCs w:val="28"/>
        </w:rPr>
        <w:tab/>
        <w:t>E-F The difference in risk score between patients grouped by T stage.</w:t>
      </w:r>
    </w:p>
    <w:p w14:paraId="617A4F5B" w14:textId="77777777" w:rsidR="00D446A0" w:rsidRPr="005A2E2F" w:rsidRDefault="00D446A0" w:rsidP="00D446A0">
      <w:pPr>
        <w:rPr>
          <w:rFonts w:ascii="Times New Roman" w:hAnsi="Times New Roman" w:cs="Times New Roman"/>
          <w:sz w:val="28"/>
          <w:szCs w:val="28"/>
        </w:rPr>
      </w:pPr>
      <w:r w:rsidRPr="005A2E2F">
        <w:rPr>
          <w:rFonts w:ascii="Times New Roman" w:hAnsi="Times New Roman" w:cs="Times New Roman"/>
          <w:sz w:val="28"/>
          <w:szCs w:val="28"/>
        </w:rPr>
        <w:tab/>
        <w:t xml:space="preserve">G Correlation between the ARS low and </w:t>
      </w:r>
      <w:proofErr w:type="gramStart"/>
      <w:r w:rsidRPr="005A2E2F">
        <w:rPr>
          <w:rFonts w:ascii="Times New Roman" w:hAnsi="Times New Roman" w:cs="Times New Roman"/>
          <w:sz w:val="28"/>
          <w:szCs w:val="28"/>
        </w:rPr>
        <w:t>high risk</w:t>
      </w:r>
      <w:proofErr w:type="gramEnd"/>
      <w:r w:rsidRPr="005A2E2F">
        <w:rPr>
          <w:rFonts w:ascii="Times New Roman" w:hAnsi="Times New Roman" w:cs="Times New Roman"/>
          <w:sz w:val="28"/>
          <w:szCs w:val="28"/>
        </w:rPr>
        <w:t xml:space="preserve"> groups and clinical characteristics. </w:t>
      </w:r>
    </w:p>
    <w:p w14:paraId="2C43440E" w14:textId="77777777" w:rsidR="00D446A0" w:rsidRPr="005A2E2F" w:rsidRDefault="00D446A0" w:rsidP="00D446A0">
      <w:pPr>
        <w:rPr>
          <w:rFonts w:ascii="Times New Roman" w:hAnsi="Times New Roman" w:cs="Times New Roman"/>
          <w:sz w:val="28"/>
          <w:szCs w:val="28"/>
        </w:rPr>
      </w:pPr>
      <w:r w:rsidRPr="005A2E2F">
        <w:rPr>
          <w:rFonts w:ascii="Times New Roman" w:hAnsi="Times New Roman" w:cs="Times New Roman"/>
          <w:sz w:val="28"/>
          <w:szCs w:val="28"/>
        </w:rPr>
        <w:tab/>
        <w:t>H The proportion of M stage in ARS risk subgroups</w:t>
      </w:r>
    </w:p>
    <w:p w14:paraId="2B969970" w14:textId="77777777" w:rsidR="00D446A0" w:rsidRPr="005A2E2F" w:rsidRDefault="00D446A0" w:rsidP="00D446A0">
      <w:pPr>
        <w:rPr>
          <w:rFonts w:ascii="Times New Roman" w:hAnsi="Times New Roman" w:cs="Times New Roman"/>
          <w:sz w:val="28"/>
          <w:szCs w:val="28"/>
        </w:rPr>
      </w:pPr>
      <w:r w:rsidRPr="005A2E2F">
        <w:rPr>
          <w:rFonts w:ascii="Times New Roman" w:hAnsi="Times New Roman" w:cs="Times New Roman"/>
          <w:sz w:val="28"/>
          <w:szCs w:val="28"/>
        </w:rPr>
        <w:tab/>
        <w:t>I ROC curves of ARS in predicting the metastasis of NSCLC.</w:t>
      </w:r>
    </w:p>
    <w:p w14:paraId="4B893B0C" w14:textId="77777777" w:rsidR="00D446A0" w:rsidRPr="005A2E2F" w:rsidRDefault="00D446A0" w:rsidP="00D446A0">
      <w:pPr>
        <w:rPr>
          <w:rFonts w:ascii="Times New Roman" w:hAnsi="Times New Roman" w:cs="Times New Roman"/>
          <w:sz w:val="28"/>
          <w:szCs w:val="28"/>
        </w:rPr>
      </w:pPr>
      <w:r w:rsidRPr="005A2E2F">
        <w:rPr>
          <w:rFonts w:ascii="Times New Roman" w:hAnsi="Times New Roman" w:cs="Times New Roman"/>
          <w:sz w:val="28"/>
          <w:szCs w:val="28"/>
        </w:rPr>
        <w:t>figure</w:t>
      </w:r>
      <w:proofErr w:type="gramStart"/>
      <w:r w:rsidRPr="005A2E2F">
        <w:rPr>
          <w:rFonts w:ascii="Times New Roman" w:hAnsi="Times New Roman" w:cs="Times New Roman"/>
          <w:sz w:val="28"/>
          <w:szCs w:val="28"/>
        </w:rPr>
        <w:t>6:Establishment</w:t>
      </w:r>
      <w:proofErr w:type="gramEnd"/>
      <w:r w:rsidRPr="005A2E2F">
        <w:rPr>
          <w:rFonts w:ascii="Times New Roman" w:hAnsi="Times New Roman" w:cs="Times New Roman"/>
          <w:sz w:val="28"/>
          <w:szCs w:val="28"/>
        </w:rPr>
        <w:t xml:space="preserve"> and verification of the nomogram.</w:t>
      </w:r>
    </w:p>
    <w:p w14:paraId="6AAB21A2" w14:textId="77777777" w:rsidR="00D446A0" w:rsidRPr="005A2E2F" w:rsidRDefault="00D446A0" w:rsidP="00D446A0">
      <w:pPr>
        <w:rPr>
          <w:rFonts w:ascii="Times New Roman" w:hAnsi="Times New Roman" w:cs="Times New Roman"/>
          <w:sz w:val="28"/>
          <w:szCs w:val="28"/>
        </w:rPr>
      </w:pPr>
      <w:r w:rsidRPr="005A2E2F">
        <w:rPr>
          <w:rFonts w:ascii="Times New Roman" w:hAnsi="Times New Roman" w:cs="Times New Roman"/>
          <w:sz w:val="28"/>
          <w:szCs w:val="28"/>
        </w:rPr>
        <w:tab/>
        <w:t xml:space="preserve">A-B Univariate and multivariate analyses of the clinical characteristics </w:t>
      </w:r>
      <w:r w:rsidRPr="005A2E2F">
        <w:rPr>
          <w:rFonts w:ascii="Times New Roman" w:hAnsi="Times New Roman" w:cs="Times New Roman"/>
          <w:sz w:val="28"/>
          <w:szCs w:val="28"/>
        </w:rPr>
        <w:lastRenderedPageBreak/>
        <w:t>and ARS for the OS in the TCGA-LUAD cohort.</w:t>
      </w:r>
    </w:p>
    <w:p w14:paraId="423641BB" w14:textId="77777777" w:rsidR="00D446A0" w:rsidRPr="005A2E2F" w:rsidRDefault="00D446A0" w:rsidP="00D446A0">
      <w:pPr>
        <w:rPr>
          <w:rFonts w:ascii="Times New Roman" w:hAnsi="Times New Roman" w:cs="Times New Roman"/>
          <w:sz w:val="28"/>
          <w:szCs w:val="28"/>
        </w:rPr>
      </w:pPr>
      <w:r w:rsidRPr="005A2E2F">
        <w:rPr>
          <w:rFonts w:ascii="Times New Roman" w:hAnsi="Times New Roman" w:cs="Times New Roman"/>
          <w:sz w:val="28"/>
          <w:szCs w:val="28"/>
        </w:rPr>
        <w:tab/>
        <w:t>C The comparison of the C index between the nomogram and other clinical characteristics.</w:t>
      </w:r>
    </w:p>
    <w:p w14:paraId="368482C5" w14:textId="77777777" w:rsidR="00D446A0" w:rsidRPr="005A2E2F" w:rsidRDefault="00D446A0" w:rsidP="00D446A0">
      <w:pPr>
        <w:rPr>
          <w:rFonts w:ascii="Times New Roman" w:hAnsi="Times New Roman" w:cs="Times New Roman"/>
          <w:sz w:val="28"/>
          <w:szCs w:val="28"/>
        </w:rPr>
      </w:pPr>
      <w:r w:rsidRPr="005A2E2F">
        <w:rPr>
          <w:rFonts w:ascii="Times New Roman" w:hAnsi="Times New Roman" w:cs="Times New Roman"/>
          <w:sz w:val="28"/>
          <w:szCs w:val="28"/>
        </w:rPr>
        <w:tab/>
        <w:t>D Calibration curve of the nomogram for 1, 3, and 5-year OS.</w:t>
      </w:r>
    </w:p>
    <w:p w14:paraId="14997F42" w14:textId="77777777" w:rsidR="00D446A0" w:rsidRPr="005A2E2F" w:rsidRDefault="00D446A0" w:rsidP="00D446A0">
      <w:pPr>
        <w:rPr>
          <w:rFonts w:ascii="Times New Roman" w:hAnsi="Times New Roman" w:cs="Times New Roman"/>
          <w:sz w:val="28"/>
          <w:szCs w:val="28"/>
        </w:rPr>
      </w:pPr>
      <w:r w:rsidRPr="005A2E2F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5A2E2F">
        <w:rPr>
          <w:rFonts w:ascii="Times New Roman" w:hAnsi="Times New Roman" w:cs="Times New Roman"/>
          <w:sz w:val="28"/>
          <w:szCs w:val="28"/>
        </w:rPr>
        <w:t>E  Construction</w:t>
      </w:r>
      <w:proofErr w:type="gramEnd"/>
      <w:r w:rsidRPr="005A2E2F">
        <w:rPr>
          <w:rFonts w:ascii="Times New Roman" w:hAnsi="Times New Roman" w:cs="Times New Roman"/>
          <w:sz w:val="28"/>
          <w:szCs w:val="28"/>
        </w:rPr>
        <w:t xml:space="preserve"> of the nomogram based on the ARS and clinical characteristics, including age, grade, stage, and T.</w:t>
      </w:r>
    </w:p>
    <w:p w14:paraId="5FB3C996" w14:textId="77777777" w:rsidR="00D446A0" w:rsidRPr="005A2E2F" w:rsidRDefault="00D446A0" w:rsidP="00D446A0">
      <w:pPr>
        <w:rPr>
          <w:rFonts w:ascii="Times New Roman" w:hAnsi="Times New Roman" w:cs="Times New Roman"/>
          <w:sz w:val="28"/>
          <w:szCs w:val="28"/>
        </w:rPr>
      </w:pPr>
      <w:r w:rsidRPr="005A2E2F">
        <w:rPr>
          <w:rFonts w:ascii="Times New Roman" w:hAnsi="Times New Roman" w:cs="Times New Roman"/>
          <w:sz w:val="28"/>
          <w:szCs w:val="28"/>
        </w:rPr>
        <w:tab/>
        <w:t>F Decision curve analysis (DCA) showing the net benefit by applying the nomogram and other clinical characteristics</w:t>
      </w:r>
    </w:p>
    <w:p w14:paraId="0F496BB1" w14:textId="77777777" w:rsidR="00D446A0" w:rsidRPr="005A2E2F" w:rsidRDefault="00D446A0" w:rsidP="00D446A0">
      <w:pPr>
        <w:rPr>
          <w:rFonts w:ascii="Times New Roman" w:hAnsi="Times New Roman" w:cs="Times New Roman"/>
          <w:sz w:val="28"/>
          <w:szCs w:val="28"/>
        </w:rPr>
      </w:pPr>
      <w:r w:rsidRPr="005A2E2F">
        <w:rPr>
          <w:rFonts w:ascii="Times New Roman" w:hAnsi="Times New Roman" w:cs="Times New Roman"/>
          <w:sz w:val="28"/>
          <w:szCs w:val="28"/>
        </w:rPr>
        <w:t>figure</w:t>
      </w:r>
      <w:proofErr w:type="gramStart"/>
      <w:r w:rsidRPr="005A2E2F">
        <w:rPr>
          <w:rFonts w:ascii="Times New Roman" w:hAnsi="Times New Roman" w:cs="Times New Roman"/>
          <w:sz w:val="28"/>
          <w:szCs w:val="28"/>
        </w:rPr>
        <w:t>7:The</w:t>
      </w:r>
      <w:proofErr w:type="gramEnd"/>
      <w:r w:rsidRPr="005A2E2F">
        <w:rPr>
          <w:rFonts w:ascii="Times New Roman" w:hAnsi="Times New Roman" w:cs="Times New Roman"/>
          <w:sz w:val="28"/>
          <w:szCs w:val="28"/>
        </w:rPr>
        <w:t xml:space="preserve"> transcriptome features of patients with various ARS in NSCLC.</w:t>
      </w:r>
    </w:p>
    <w:p w14:paraId="0EB523DF" w14:textId="77777777" w:rsidR="00D446A0" w:rsidRPr="005A2E2F" w:rsidRDefault="00D446A0" w:rsidP="00D446A0">
      <w:pPr>
        <w:rPr>
          <w:rFonts w:ascii="Times New Roman" w:hAnsi="Times New Roman" w:cs="Times New Roman"/>
          <w:sz w:val="28"/>
          <w:szCs w:val="28"/>
        </w:rPr>
      </w:pPr>
      <w:r w:rsidRPr="005A2E2F">
        <w:rPr>
          <w:rFonts w:ascii="Times New Roman" w:hAnsi="Times New Roman" w:cs="Times New Roman"/>
          <w:sz w:val="28"/>
          <w:szCs w:val="28"/>
        </w:rPr>
        <w:tab/>
        <w:t>A Ridge plot showing the GO terms enriched in the low-risk group.</w:t>
      </w:r>
    </w:p>
    <w:p w14:paraId="562DC8D3" w14:textId="77777777" w:rsidR="00D446A0" w:rsidRPr="005A2E2F" w:rsidRDefault="00D446A0" w:rsidP="00D446A0">
      <w:pPr>
        <w:rPr>
          <w:rFonts w:ascii="Times New Roman" w:hAnsi="Times New Roman" w:cs="Times New Roman"/>
          <w:sz w:val="28"/>
          <w:szCs w:val="28"/>
        </w:rPr>
      </w:pPr>
      <w:r w:rsidRPr="005A2E2F">
        <w:rPr>
          <w:rFonts w:ascii="Times New Roman" w:hAnsi="Times New Roman" w:cs="Times New Roman"/>
          <w:sz w:val="28"/>
          <w:szCs w:val="28"/>
        </w:rPr>
        <w:tab/>
        <w:t>B GO terms enriched in the high-risk group by GSEA analysis.</w:t>
      </w:r>
    </w:p>
    <w:p w14:paraId="357E23F0" w14:textId="77777777" w:rsidR="00D446A0" w:rsidRPr="005A2E2F" w:rsidRDefault="00D446A0" w:rsidP="00D446A0">
      <w:pPr>
        <w:rPr>
          <w:rFonts w:ascii="Times New Roman" w:hAnsi="Times New Roman" w:cs="Times New Roman"/>
          <w:sz w:val="28"/>
          <w:szCs w:val="28"/>
        </w:rPr>
      </w:pPr>
      <w:r w:rsidRPr="005A2E2F">
        <w:rPr>
          <w:rFonts w:ascii="Times New Roman" w:hAnsi="Times New Roman" w:cs="Times New Roman"/>
          <w:sz w:val="28"/>
          <w:szCs w:val="28"/>
        </w:rPr>
        <w:tab/>
        <w:t xml:space="preserve">C Differences in hallmark pathway activities between the </w:t>
      </w:r>
      <w:proofErr w:type="spellStart"/>
      <w:r w:rsidRPr="005A2E2F">
        <w:rPr>
          <w:rFonts w:ascii="Times New Roman" w:hAnsi="Times New Roman" w:cs="Times New Roman"/>
          <w:sz w:val="28"/>
          <w:szCs w:val="28"/>
        </w:rPr>
        <w:t>highand</w:t>
      </w:r>
      <w:proofErr w:type="spellEnd"/>
      <w:r w:rsidRPr="005A2E2F">
        <w:rPr>
          <w:rFonts w:ascii="Times New Roman" w:hAnsi="Times New Roman" w:cs="Times New Roman"/>
          <w:sz w:val="28"/>
          <w:szCs w:val="28"/>
        </w:rPr>
        <w:t xml:space="preserve"> low-risk groups scored by GSVA. </w:t>
      </w:r>
    </w:p>
    <w:p w14:paraId="43358D7F" w14:textId="77777777" w:rsidR="00D446A0" w:rsidRPr="005A2E2F" w:rsidRDefault="00D446A0" w:rsidP="00D446A0">
      <w:pPr>
        <w:rPr>
          <w:rFonts w:ascii="Times New Roman" w:hAnsi="Times New Roman" w:cs="Times New Roman"/>
          <w:sz w:val="28"/>
          <w:szCs w:val="28"/>
        </w:rPr>
      </w:pPr>
      <w:r w:rsidRPr="005A2E2F">
        <w:rPr>
          <w:rFonts w:ascii="Times New Roman" w:hAnsi="Times New Roman" w:cs="Times New Roman"/>
          <w:sz w:val="28"/>
          <w:szCs w:val="28"/>
        </w:rPr>
        <w:tab/>
        <w:t>D Correlation between the risk score and hallmark pathway activities scored by GSVA.</w:t>
      </w:r>
    </w:p>
    <w:p w14:paraId="78821CC5" w14:textId="77777777" w:rsidR="00D446A0" w:rsidRPr="005A2E2F" w:rsidRDefault="00D446A0" w:rsidP="00D446A0">
      <w:pPr>
        <w:rPr>
          <w:rFonts w:ascii="Times New Roman" w:hAnsi="Times New Roman" w:cs="Times New Roman"/>
          <w:sz w:val="28"/>
          <w:szCs w:val="28"/>
        </w:rPr>
      </w:pPr>
      <w:r w:rsidRPr="005A2E2F">
        <w:rPr>
          <w:rFonts w:ascii="Times New Roman" w:hAnsi="Times New Roman" w:cs="Times New Roman"/>
          <w:sz w:val="28"/>
          <w:szCs w:val="28"/>
        </w:rPr>
        <w:tab/>
        <w:t>E-G IL6-JAK-STAT3, HYPOXIA, E2F signaling pathways</w:t>
      </w:r>
    </w:p>
    <w:p w14:paraId="3296B764" w14:textId="77777777" w:rsidR="00D446A0" w:rsidRPr="005A2E2F" w:rsidRDefault="00D446A0" w:rsidP="00D446A0">
      <w:pPr>
        <w:rPr>
          <w:rFonts w:ascii="Times New Roman" w:hAnsi="Times New Roman" w:cs="Times New Roman"/>
          <w:sz w:val="28"/>
          <w:szCs w:val="28"/>
        </w:rPr>
      </w:pPr>
      <w:r w:rsidRPr="005A2E2F">
        <w:rPr>
          <w:rFonts w:ascii="Times New Roman" w:hAnsi="Times New Roman" w:cs="Times New Roman"/>
          <w:sz w:val="28"/>
          <w:szCs w:val="28"/>
        </w:rPr>
        <w:t>figure</w:t>
      </w:r>
      <w:proofErr w:type="gramStart"/>
      <w:r w:rsidRPr="005A2E2F">
        <w:rPr>
          <w:rFonts w:ascii="Times New Roman" w:hAnsi="Times New Roman" w:cs="Times New Roman"/>
          <w:sz w:val="28"/>
          <w:szCs w:val="28"/>
        </w:rPr>
        <w:t>8:Genetic</w:t>
      </w:r>
      <w:proofErr w:type="gramEnd"/>
      <w:r w:rsidRPr="005A2E2F">
        <w:rPr>
          <w:rFonts w:ascii="Times New Roman" w:hAnsi="Times New Roman" w:cs="Times New Roman"/>
          <w:sz w:val="28"/>
          <w:szCs w:val="28"/>
        </w:rPr>
        <w:t xml:space="preserve"> alterations associated with ICDRS between low- and high-risk groups.</w:t>
      </w:r>
    </w:p>
    <w:p w14:paraId="5B063AB0" w14:textId="77777777" w:rsidR="00D446A0" w:rsidRPr="005A2E2F" w:rsidRDefault="00D446A0" w:rsidP="00D446A0">
      <w:pPr>
        <w:rPr>
          <w:rFonts w:ascii="Times New Roman" w:hAnsi="Times New Roman" w:cs="Times New Roman"/>
          <w:sz w:val="28"/>
          <w:szCs w:val="28"/>
        </w:rPr>
      </w:pPr>
      <w:r w:rsidRPr="005A2E2F">
        <w:rPr>
          <w:rFonts w:ascii="Times New Roman" w:hAnsi="Times New Roman" w:cs="Times New Roman"/>
          <w:sz w:val="28"/>
          <w:szCs w:val="28"/>
        </w:rPr>
        <w:tab/>
        <w:t>A Violin plot showing the difference in mutant allele tumor heterogeneity (MATH) score between the high and low-risk groups.</w:t>
      </w:r>
    </w:p>
    <w:p w14:paraId="19065718" w14:textId="77777777" w:rsidR="00D446A0" w:rsidRPr="005A2E2F" w:rsidRDefault="00D446A0" w:rsidP="00D446A0">
      <w:pPr>
        <w:rPr>
          <w:rFonts w:ascii="Times New Roman" w:hAnsi="Times New Roman" w:cs="Times New Roman"/>
          <w:sz w:val="28"/>
          <w:szCs w:val="28"/>
        </w:rPr>
      </w:pPr>
      <w:r w:rsidRPr="005A2E2F">
        <w:rPr>
          <w:rFonts w:ascii="Times New Roman" w:hAnsi="Times New Roman" w:cs="Times New Roman"/>
          <w:sz w:val="28"/>
          <w:szCs w:val="28"/>
        </w:rPr>
        <w:tab/>
        <w:t>B Kaplan–Meier curve analysis for OS by combining the MATH score and the ARS risk score.</w:t>
      </w:r>
    </w:p>
    <w:p w14:paraId="2347EF70" w14:textId="77777777" w:rsidR="00D446A0" w:rsidRPr="005A2E2F" w:rsidRDefault="00D446A0" w:rsidP="00D446A0">
      <w:pPr>
        <w:rPr>
          <w:rFonts w:ascii="Times New Roman" w:hAnsi="Times New Roman" w:cs="Times New Roman"/>
          <w:sz w:val="28"/>
          <w:szCs w:val="28"/>
        </w:rPr>
      </w:pPr>
      <w:r w:rsidRPr="005A2E2F">
        <w:rPr>
          <w:rFonts w:ascii="Times New Roman" w:hAnsi="Times New Roman" w:cs="Times New Roman"/>
          <w:sz w:val="28"/>
          <w:szCs w:val="28"/>
        </w:rPr>
        <w:lastRenderedPageBreak/>
        <w:tab/>
        <w:t>C-D The waterfall plot of the somatic mutation landscape in high- and low-risk patients in the TCGA-LUAD cohort.</w:t>
      </w:r>
    </w:p>
    <w:p w14:paraId="19B96C9D" w14:textId="77777777" w:rsidR="00D446A0" w:rsidRPr="005A2E2F" w:rsidRDefault="00D446A0" w:rsidP="00D446A0">
      <w:pPr>
        <w:rPr>
          <w:rFonts w:ascii="Times New Roman" w:hAnsi="Times New Roman" w:cs="Times New Roman"/>
          <w:sz w:val="28"/>
          <w:szCs w:val="28"/>
        </w:rPr>
      </w:pPr>
      <w:r w:rsidRPr="005A2E2F">
        <w:rPr>
          <w:rFonts w:ascii="Times New Roman" w:hAnsi="Times New Roman" w:cs="Times New Roman"/>
          <w:sz w:val="28"/>
          <w:szCs w:val="28"/>
        </w:rPr>
        <w:tab/>
        <w:t>E-F Heatmaps showing the association of co-occurrence and exclusive mutation among the top 20 mutated genes in high- and low-risk groups.</w:t>
      </w:r>
    </w:p>
    <w:p w14:paraId="79887D1A" w14:textId="77777777" w:rsidR="00D446A0" w:rsidRPr="005A2E2F" w:rsidRDefault="00D446A0" w:rsidP="00D446A0">
      <w:pPr>
        <w:rPr>
          <w:rFonts w:ascii="Times New Roman" w:hAnsi="Times New Roman" w:cs="Times New Roman"/>
          <w:sz w:val="28"/>
          <w:szCs w:val="28"/>
        </w:rPr>
      </w:pPr>
      <w:r w:rsidRPr="005A2E2F">
        <w:rPr>
          <w:rFonts w:ascii="Times New Roman" w:hAnsi="Times New Roman" w:cs="Times New Roman"/>
          <w:sz w:val="28"/>
          <w:szCs w:val="28"/>
        </w:rPr>
        <w:tab/>
        <w:t xml:space="preserve">G Distribution of CNV frequency among DEGs between high- and low-risk groups. </w:t>
      </w:r>
    </w:p>
    <w:p w14:paraId="043445E3" w14:textId="77777777" w:rsidR="00D446A0" w:rsidRPr="005A2E2F" w:rsidRDefault="00D446A0" w:rsidP="00D446A0">
      <w:pPr>
        <w:rPr>
          <w:rFonts w:ascii="Times New Roman" w:hAnsi="Times New Roman" w:cs="Times New Roman"/>
          <w:sz w:val="28"/>
          <w:szCs w:val="28"/>
        </w:rPr>
      </w:pPr>
      <w:r w:rsidRPr="005A2E2F">
        <w:rPr>
          <w:rFonts w:ascii="Times New Roman" w:hAnsi="Times New Roman" w:cs="Times New Roman"/>
          <w:sz w:val="28"/>
          <w:szCs w:val="28"/>
        </w:rPr>
        <w:t>figure</w:t>
      </w:r>
      <w:proofErr w:type="gramStart"/>
      <w:r w:rsidRPr="005A2E2F">
        <w:rPr>
          <w:rFonts w:ascii="Times New Roman" w:hAnsi="Times New Roman" w:cs="Times New Roman"/>
          <w:sz w:val="28"/>
          <w:szCs w:val="28"/>
        </w:rPr>
        <w:t>9:The</w:t>
      </w:r>
      <w:proofErr w:type="gramEnd"/>
      <w:r w:rsidRPr="005A2E2F">
        <w:rPr>
          <w:rFonts w:ascii="Times New Roman" w:hAnsi="Times New Roman" w:cs="Times New Roman"/>
          <w:sz w:val="28"/>
          <w:szCs w:val="28"/>
        </w:rPr>
        <w:t xml:space="preserve"> immune landscape associated with ARS in NSCLC.</w:t>
      </w:r>
    </w:p>
    <w:p w14:paraId="6469B741" w14:textId="77777777" w:rsidR="00D446A0" w:rsidRPr="005A2E2F" w:rsidRDefault="00D446A0" w:rsidP="00D446A0">
      <w:pPr>
        <w:rPr>
          <w:rFonts w:ascii="Times New Roman" w:hAnsi="Times New Roman" w:cs="Times New Roman"/>
          <w:sz w:val="28"/>
          <w:szCs w:val="28"/>
        </w:rPr>
      </w:pPr>
      <w:r w:rsidRPr="005A2E2F">
        <w:rPr>
          <w:rFonts w:ascii="Times New Roman" w:hAnsi="Times New Roman" w:cs="Times New Roman"/>
          <w:sz w:val="28"/>
          <w:szCs w:val="28"/>
        </w:rPr>
        <w:tab/>
        <w:t xml:space="preserve">A-C The immune score, the ESTIMATE score, and the tumor purity were applied to quantify the different immune statuses between the </w:t>
      </w:r>
      <w:proofErr w:type="spellStart"/>
      <w:r w:rsidRPr="005A2E2F">
        <w:rPr>
          <w:rFonts w:ascii="Times New Roman" w:hAnsi="Times New Roman" w:cs="Times New Roman"/>
          <w:sz w:val="28"/>
          <w:szCs w:val="28"/>
        </w:rPr>
        <w:t>highand</w:t>
      </w:r>
      <w:proofErr w:type="spellEnd"/>
      <w:r w:rsidRPr="005A2E2F">
        <w:rPr>
          <w:rFonts w:ascii="Times New Roman" w:hAnsi="Times New Roman" w:cs="Times New Roman"/>
          <w:sz w:val="28"/>
          <w:szCs w:val="28"/>
        </w:rPr>
        <w:t xml:space="preserve"> low-risk groups. </w:t>
      </w:r>
    </w:p>
    <w:p w14:paraId="46A835BE" w14:textId="77777777" w:rsidR="00D446A0" w:rsidRPr="005A2E2F" w:rsidRDefault="00D446A0" w:rsidP="00D446A0">
      <w:pPr>
        <w:rPr>
          <w:rFonts w:ascii="Times New Roman" w:hAnsi="Times New Roman" w:cs="Times New Roman"/>
          <w:sz w:val="28"/>
          <w:szCs w:val="28"/>
        </w:rPr>
      </w:pPr>
      <w:r w:rsidRPr="005A2E2F">
        <w:rPr>
          <w:rFonts w:ascii="Times New Roman" w:hAnsi="Times New Roman" w:cs="Times New Roman"/>
          <w:sz w:val="28"/>
          <w:szCs w:val="28"/>
        </w:rPr>
        <w:tab/>
        <w:t xml:space="preserve">D-E The abundance of each TME-infiltrated cell type between high- and low-risk groups, quantified by the CIBESORT algorithm and the </w:t>
      </w:r>
      <w:proofErr w:type="spellStart"/>
      <w:r w:rsidRPr="005A2E2F">
        <w:rPr>
          <w:rFonts w:ascii="Times New Roman" w:hAnsi="Times New Roman" w:cs="Times New Roman"/>
          <w:sz w:val="28"/>
          <w:szCs w:val="28"/>
        </w:rPr>
        <w:t>ssGSEA</w:t>
      </w:r>
      <w:proofErr w:type="spellEnd"/>
      <w:r w:rsidRPr="005A2E2F">
        <w:rPr>
          <w:rFonts w:ascii="Times New Roman" w:hAnsi="Times New Roman" w:cs="Times New Roman"/>
          <w:sz w:val="28"/>
          <w:szCs w:val="28"/>
        </w:rPr>
        <w:t xml:space="preserve"> algorithm.</w:t>
      </w:r>
    </w:p>
    <w:p w14:paraId="3E22A0E7" w14:textId="77777777" w:rsidR="00D446A0" w:rsidRPr="005A2E2F" w:rsidRDefault="00D446A0" w:rsidP="00D446A0">
      <w:pPr>
        <w:rPr>
          <w:rFonts w:ascii="Times New Roman" w:hAnsi="Times New Roman" w:cs="Times New Roman"/>
          <w:sz w:val="28"/>
          <w:szCs w:val="28"/>
        </w:rPr>
      </w:pPr>
      <w:r w:rsidRPr="005A2E2F">
        <w:rPr>
          <w:rFonts w:ascii="Times New Roman" w:hAnsi="Times New Roman" w:cs="Times New Roman"/>
          <w:sz w:val="28"/>
          <w:szCs w:val="28"/>
        </w:rPr>
        <w:tab/>
        <w:t>F The association between TME-infiltrated cells and genes built-in ARS.</w:t>
      </w:r>
    </w:p>
    <w:p w14:paraId="51838074" w14:textId="77777777" w:rsidR="00D446A0" w:rsidRPr="005A2E2F" w:rsidRDefault="00D446A0" w:rsidP="00D446A0">
      <w:pPr>
        <w:rPr>
          <w:rFonts w:ascii="Times New Roman" w:hAnsi="Times New Roman" w:cs="Times New Roman"/>
          <w:sz w:val="28"/>
          <w:szCs w:val="28"/>
        </w:rPr>
      </w:pPr>
      <w:r w:rsidRPr="005A2E2F">
        <w:rPr>
          <w:rFonts w:ascii="Times New Roman" w:hAnsi="Times New Roman" w:cs="Times New Roman"/>
          <w:sz w:val="28"/>
          <w:szCs w:val="28"/>
        </w:rPr>
        <w:tab/>
        <w:t>G Correlation analysis between TME infiltrated cells and ARS.</w:t>
      </w:r>
    </w:p>
    <w:p w14:paraId="3CE3C75F" w14:textId="77777777" w:rsidR="00D446A0" w:rsidRPr="005A2E2F" w:rsidRDefault="00D446A0" w:rsidP="00D446A0">
      <w:pPr>
        <w:rPr>
          <w:rFonts w:ascii="Times New Roman" w:hAnsi="Times New Roman" w:cs="Times New Roman"/>
          <w:sz w:val="28"/>
          <w:szCs w:val="28"/>
        </w:rPr>
      </w:pPr>
      <w:r w:rsidRPr="005A2E2F">
        <w:rPr>
          <w:rFonts w:ascii="Times New Roman" w:hAnsi="Times New Roman" w:cs="Times New Roman"/>
          <w:sz w:val="28"/>
          <w:szCs w:val="28"/>
        </w:rPr>
        <w:tab/>
        <w:t>H Venn plot showing the intersecting TME-infiltrated cell types of differential analysis, correlation analysis, and survival analysis</w:t>
      </w:r>
    </w:p>
    <w:p w14:paraId="09644A34" w14:textId="77777777" w:rsidR="00D446A0" w:rsidRPr="005A2E2F" w:rsidRDefault="00D446A0" w:rsidP="00D446A0">
      <w:pPr>
        <w:rPr>
          <w:rFonts w:ascii="Times New Roman" w:hAnsi="Times New Roman" w:cs="Times New Roman"/>
          <w:sz w:val="28"/>
          <w:szCs w:val="28"/>
        </w:rPr>
      </w:pPr>
      <w:r w:rsidRPr="005A2E2F">
        <w:rPr>
          <w:rFonts w:ascii="Times New Roman" w:hAnsi="Times New Roman" w:cs="Times New Roman"/>
          <w:sz w:val="28"/>
          <w:szCs w:val="28"/>
        </w:rPr>
        <w:t>figure10:</w:t>
      </w:r>
    </w:p>
    <w:p w14:paraId="677F5354" w14:textId="77777777" w:rsidR="00D446A0" w:rsidRPr="005A2E2F" w:rsidRDefault="00D446A0" w:rsidP="00D446A0">
      <w:pPr>
        <w:rPr>
          <w:rFonts w:ascii="Times New Roman" w:hAnsi="Times New Roman" w:cs="Times New Roman"/>
          <w:sz w:val="28"/>
          <w:szCs w:val="28"/>
        </w:rPr>
      </w:pPr>
      <w:r w:rsidRPr="005A2E2F">
        <w:rPr>
          <w:rFonts w:ascii="Times New Roman" w:hAnsi="Times New Roman" w:cs="Times New Roman"/>
          <w:sz w:val="28"/>
          <w:szCs w:val="28"/>
        </w:rPr>
        <w:tab/>
        <w:t>A Heatmap showing the difference in the seven-step anticancer immunity cycle activity between high- and low-risk groups.</w:t>
      </w:r>
    </w:p>
    <w:p w14:paraId="1AAC9E53" w14:textId="77777777" w:rsidR="00D446A0" w:rsidRPr="005A2E2F" w:rsidRDefault="00D446A0" w:rsidP="00D446A0">
      <w:pPr>
        <w:rPr>
          <w:rFonts w:ascii="Times New Roman" w:hAnsi="Times New Roman" w:cs="Times New Roman"/>
          <w:sz w:val="28"/>
          <w:szCs w:val="28"/>
        </w:rPr>
      </w:pPr>
      <w:r w:rsidRPr="005A2E2F">
        <w:rPr>
          <w:rFonts w:ascii="Times New Roman" w:hAnsi="Times New Roman" w:cs="Times New Roman"/>
          <w:sz w:val="28"/>
          <w:szCs w:val="28"/>
        </w:rPr>
        <w:tab/>
        <w:t xml:space="preserve">B The radar plot demonstrating the difference in the ability of ARS </w:t>
      </w:r>
      <w:r w:rsidRPr="005A2E2F">
        <w:rPr>
          <w:rFonts w:ascii="Times New Roman" w:hAnsi="Times New Roman" w:cs="Times New Roman"/>
          <w:sz w:val="28"/>
          <w:szCs w:val="28"/>
        </w:rPr>
        <w:lastRenderedPageBreak/>
        <w:t>subgroups to recruit immune cells.</w:t>
      </w:r>
    </w:p>
    <w:p w14:paraId="6B42A3B3" w14:textId="77777777" w:rsidR="00D446A0" w:rsidRPr="005A2E2F" w:rsidRDefault="00D446A0" w:rsidP="00D446A0">
      <w:pPr>
        <w:rPr>
          <w:rFonts w:ascii="Times New Roman" w:hAnsi="Times New Roman" w:cs="Times New Roman"/>
          <w:sz w:val="28"/>
          <w:szCs w:val="28"/>
        </w:rPr>
      </w:pPr>
      <w:r w:rsidRPr="005A2E2F">
        <w:rPr>
          <w:rFonts w:ascii="Times New Roman" w:hAnsi="Times New Roman" w:cs="Times New Roman"/>
          <w:sz w:val="28"/>
          <w:szCs w:val="28"/>
        </w:rPr>
        <w:tab/>
        <w:t xml:space="preserve">C The expression of immune checkpoints in high- and low-risk groups. </w:t>
      </w:r>
    </w:p>
    <w:p w14:paraId="768F0A27" w14:textId="77777777" w:rsidR="00D446A0" w:rsidRPr="005A2E2F" w:rsidRDefault="00D446A0" w:rsidP="00D446A0">
      <w:pPr>
        <w:rPr>
          <w:rFonts w:ascii="Times New Roman" w:hAnsi="Times New Roman" w:cs="Times New Roman"/>
          <w:sz w:val="28"/>
          <w:szCs w:val="28"/>
        </w:rPr>
      </w:pPr>
      <w:r w:rsidRPr="005A2E2F">
        <w:rPr>
          <w:rFonts w:ascii="Times New Roman" w:hAnsi="Times New Roman" w:cs="Times New Roman"/>
          <w:sz w:val="28"/>
          <w:szCs w:val="28"/>
        </w:rPr>
        <w:tab/>
        <w:t xml:space="preserve">D-G The IPS score between </w:t>
      </w:r>
      <w:proofErr w:type="spellStart"/>
      <w:r w:rsidRPr="005A2E2F">
        <w:rPr>
          <w:rFonts w:ascii="Times New Roman" w:hAnsi="Times New Roman" w:cs="Times New Roman"/>
          <w:sz w:val="28"/>
          <w:szCs w:val="28"/>
        </w:rPr>
        <w:t>highand</w:t>
      </w:r>
      <w:proofErr w:type="spellEnd"/>
      <w:r w:rsidRPr="005A2E2F">
        <w:rPr>
          <w:rFonts w:ascii="Times New Roman" w:hAnsi="Times New Roman" w:cs="Times New Roman"/>
          <w:sz w:val="28"/>
          <w:szCs w:val="28"/>
        </w:rPr>
        <w:t xml:space="preserve"> low-risk groups.</w:t>
      </w:r>
    </w:p>
    <w:p w14:paraId="68856B62" w14:textId="77777777" w:rsidR="00D446A0" w:rsidRPr="005A2E2F" w:rsidRDefault="00D446A0" w:rsidP="00D446A0">
      <w:pPr>
        <w:rPr>
          <w:rFonts w:ascii="Times New Roman" w:hAnsi="Times New Roman" w:cs="Times New Roman"/>
          <w:sz w:val="28"/>
          <w:szCs w:val="28"/>
        </w:rPr>
      </w:pPr>
      <w:r w:rsidRPr="005A2E2F">
        <w:rPr>
          <w:rFonts w:ascii="Times New Roman" w:hAnsi="Times New Roman" w:cs="Times New Roman"/>
          <w:sz w:val="28"/>
          <w:szCs w:val="28"/>
        </w:rPr>
        <w:tab/>
        <w:t>H A boxplot illustrating the variation in tumor mutation burden (TMB) score between high- and low-risk groups of the IMvigor210 cohort.</w:t>
      </w:r>
    </w:p>
    <w:p w14:paraId="61757A1F" w14:textId="77777777" w:rsidR="00D446A0" w:rsidRPr="005A2E2F" w:rsidRDefault="00D446A0" w:rsidP="00D446A0">
      <w:pPr>
        <w:rPr>
          <w:rFonts w:ascii="Times New Roman" w:hAnsi="Times New Roman" w:cs="Times New Roman"/>
          <w:sz w:val="28"/>
          <w:szCs w:val="28"/>
        </w:rPr>
      </w:pPr>
      <w:r w:rsidRPr="005A2E2F">
        <w:rPr>
          <w:rFonts w:ascii="Times New Roman" w:hAnsi="Times New Roman" w:cs="Times New Roman"/>
          <w:sz w:val="28"/>
          <w:szCs w:val="28"/>
        </w:rPr>
        <w:tab/>
        <w:t>I The proportion of CR/PR or SD/PD patients, who received immunotherapy, in high- and low-risk groups of the IMvigor210 cohort.</w:t>
      </w:r>
    </w:p>
    <w:p w14:paraId="72DAEA33" w14:textId="77777777" w:rsidR="00D446A0" w:rsidRPr="005A2E2F" w:rsidRDefault="00D446A0" w:rsidP="00D446A0">
      <w:pPr>
        <w:rPr>
          <w:rFonts w:ascii="Times New Roman" w:hAnsi="Times New Roman" w:cs="Times New Roman"/>
          <w:sz w:val="28"/>
          <w:szCs w:val="28"/>
        </w:rPr>
      </w:pPr>
      <w:r w:rsidRPr="005A2E2F">
        <w:rPr>
          <w:rFonts w:ascii="Times New Roman" w:hAnsi="Times New Roman" w:cs="Times New Roman"/>
          <w:sz w:val="28"/>
          <w:szCs w:val="28"/>
        </w:rPr>
        <w:tab/>
        <w:t>J A boxplot depicting the difference in risk score between patients with CR/PR and those with SD/PD in the IMvigor210 cohort.</w:t>
      </w:r>
    </w:p>
    <w:p w14:paraId="535798CB" w14:textId="77777777" w:rsidR="00D446A0" w:rsidRPr="005A2E2F" w:rsidRDefault="00D446A0" w:rsidP="00D446A0">
      <w:pPr>
        <w:rPr>
          <w:rFonts w:ascii="Times New Roman" w:hAnsi="Times New Roman" w:cs="Times New Roman"/>
          <w:sz w:val="28"/>
          <w:szCs w:val="28"/>
        </w:rPr>
      </w:pPr>
      <w:r w:rsidRPr="005A2E2F">
        <w:rPr>
          <w:rFonts w:ascii="Times New Roman" w:hAnsi="Times New Roman" w:cs="Times New Roman"/>
          <w:sz w:val="28"/>
          <w:szCs w:val="28"/>
        </w:rPr>
        <w:tab/>
        <w:t>K A boxplot illustrating the variation in risk score among patients with CR, PR, SD, and PD in the IMvigor210 cohort. *p &lt; 0.05, **p &lt; 0.01, ***p &lt; 0.001</w:t>
      </w:r>
    </w:p>
    <w:p w14:paraId="628D7DBC" w14:textId="77777777" w:rsidR="00D446A0" w:rsidRPr="005A2E2F" w:rsidRDefault="00D446A0" w:rsidP="00D446A0">
      <w:pPr>
        <w:rPr>
          <w:rFonts w:ascii="Times New Roman" w:hAnsi="Times New Roman" w:cs="Times New Roman"/>
          <w:sz w:val="28"/>
          <w:szCs w:val="28"/>
        </w:rPr>
      </w:pPr>
      <w:r w:rsidRPr="005A2E2F">
        <w:rPr>
          <w:rFonts w:ascii="Times New Roman" w:hAnsi="Times New Roman" w:cs="Times New Roman"/>
          <w:sz w:val="28"/>
          <w:szCs w:val="28"/>
        </w:rPr>
        <w:t>figure</w:t>
      </w:r>
      <w:proofErr w:type="gramStart"/>
      <w:r w:rsidRPr="005A2E2F">
        <w:rPr>
          <w:rFonts w:ascii="Times New Roman" w:hAnsi="Times New Roman" w:cs="Times New Roman"/>
          <w:sz w:val="28"/>
          <w:szCs w:val="28"/>
        </w:rPr>
        <w:t>11:Association</w:t>
      </w:r>
      <w:proofErr w:type="gramEnd"/>
      <w:r w:rsidRPr="005A2E2F">
        <w:rPr>
          <w:rFonts w:ascii="Times New Roman" w:hAnsi="Times New Roman" w:cs="Times New Roman"/>
          <w:sz w:val="28"/>
          <w:szCs w:val="28"/>
        </w:rPr>
        <w:t xml:space="preserve"> between the ICDRS and drug sensitivity.</w:t>
      </w:r>
    </w:p>
    <w:p w14:paraId="691D74E7" w14:textId="77777777" w:rsidR="00D446A0" w:rsidRPr="005A2E2F" w:rsidRDefault="00D446A0" w:rsidP="00D446A0">
      <w:pPr>
        <w:rPr>
          <w:rFonts w:ascii="Times New Roman" w:hAnsi="Times New Roman" w:cs="Times New Roman"/>
          <w:sz w:val="28"/>
          <w:szCs w:val="28"/>
        </w:rPr>
      </w:pPr>
      <w:r w:rsidRPr="005A2E2F">
        <w:rPr>
          <w:rFonts w:ascii="Times New Roman" w:hAnsi="Times New Roman" w:cs="Times New Roman"/>
          <w:sz w:val="28"/>
          <w:szCs w:val="28"/>
        </w:rPr>
        <w:tab/>
        <w:t xml:space="preserve">a-e A comparison of the sensitivity to tyrosine kinase inhibitors (TKIs) and cytotoxic drugs, including cisplatin, paclitaxel, </w:t>
      </w:r>
      <w:proofErr w:type="spellStart"/>
      <w:r w:rsidRPr="005A2E2F">
        <w:rPr>
          <w:rFonts w:ascii="Times New Roman" w:hAnsi="Times New Roman" w:cs="Times New Roman"/>
          <w:sz w:val="28"/>
          <w:szCs w:val="28"/>
        </w:rPr>
        <w:t>ositinib</w:t>
      </w:r>
      <w:proofErr w:type="spellEnd"/>
      <w:r w:rsidRPr="005A2E2F">
        <w:rPr>
          <w:rFonts w:ascii="Times New Roman" w:hAnsi="Times New Roman" w:cs="Times New Roman"/>
          <w:sz w:val="28"/>
          <w:szCs w:val="28"/>
        </w:rPr>
        <w:t>, gefitinib and gemcitabine, between high- and low-risk groups.</w:t>
      </w:r>
    </w:p>
    <w:p w14:paraId="2A1AB96E" w14:textId="77777777" w:rsidR="00D446A0" w:rsidRPr="005A2E2F" w:rsidRDefault="00D446A0" w:rsidP="00D446A0">
      <w:pPr>
        <w:rPr>
          <w:rFonts w:ascii="Times New Roman" w:hAnsi="Times New Roman" w:cs="Times New Roman"/>
          <w:sz w:val="28"/>
          <w:szCs w:val="28"/>
        </w:rPr>
      </w:pPr>
      <w:r w:rsidRPr="005A2E2F">
        <w:rPr>
          <w:rFonts w:ascii="Times New Roman" w:hAnsi="Times New Roman" w:cs="Times New Roman"/>
          <w:sz w:val="28"/>
          <w:szCs w:val="28"/>
        </w:rPr>
        <w:tab/>
        <w:t xml:space="preserve">f-j </w:t>
      </w:r>
      <w:proofErr w:type="gramStart"/>
      <w:r w:rsidRPr="005A2E2F">
        <w:rPr>
          <w:rFonts w:ascii="Times New Roman" w:hAnsi="Times New Roman" w:cs="Times New Roman"/>
          <w:sz w:val="28"/>
          <w:szCs w:val="28"/>
        </w:rPr>
        <w:t>The</w:t>
      </w:r>
      <w:proofErr w:type="gramEnd"/>
      <w:r w:rsidRPr="005A2E2F">
        <w:rPr>
          <w:rFonts w:ascii="Times New Roman" w:hAnsi="Times New Roman" w:cs="Times New Roman"/>
          <w:sz w:val="28"/>
          <w:szCs w:val="28"/>
        </w:rPr>
        <w:t xml:space="preserve"> correlation between the risk score and the half-maximal inhibitory concentration (IC50) of small molecule drugs, including cisplatin, paclitaxel, </w:t>
      </w:r>
      <w:proofErr w:type="spellStart"/>
      <w:r w:rsidRPr="005A2E2F">
        <w:rPr>
          <w:rFonts w:ascii="Times New Roman" w:hAnsi="Times New Roman" w:cs="Times New Roman"/>
          <w:sz w:val="28"/>
          <w:szCs w:val="28"/>
        </w:rPr>
        <w:t>ositinib</w:t>
      </w:r>
      <w:proofErr w:type="spellEnd"/>
      <w:r w:rsidRPr="005A2E2F">
        <w:rPr>
          <w:rFonts w:ascii="Times New Roman" w:hAnsi="Times New Roman" w:cs="Times New Roman"/>
          <w:sz w:val="28"/>
          <w:szCs w:val="28"/>
        </w:rPr>
        <w:t>, gefitinib and gemcitabine, in NSCLC.</w:t>
      </w:r>
    </w:p>
    <w:p w14:paraId="5E487FEF" w14:textId="77777777" w:rsidR="00D446A0" w:rsidRPr="005A2E2F" w:rsidRDefault="00D446A0" w:rsidP="00D446A0">
      <w:pPr>
        <w:rPr>
          <w:rFonts w:ascii="Times New Roman" w:hAnsi="Times New Roman" w:cs="Times New Roman"/>
          <w:sz w:val="28"/>
          <w:szCs w:val="28"/>
        </w:rPr>
      </w:pPr>
    </w:p>
    <w:p w14:paraId="1E60DEE6" w14:textId="77777777" w:rsidR="00D446A0" w:rsidRPr="005A2E2F" w:rsidRDefault="00D446A0" w:rsidP="00D446A0">
      <w:pPr>
        <w:rPr>
          <w:rFonts w:ascii="Times New Roman" w:hAnsi="Times New Roman" w:cs="Times New Roman"/>
          <w:sz w:val="28"/>
          <w:szCs w:val="28"/>
        </w:rPr>
      </w:pPr>
      <w:r w:rsidRPr="005A2E2F">
        <w:rPr>
          <w:rFonts w:ascii="Times New Roman" w:hAnsi="Times New Roman" w:cs="Times New Roman"/>
          <w:sz w:val="28"/>
          <w:szCs w:val="28"/>
        </w:rPr>
        <w:t>Supplementary file 1: ANO genes</w:t>
      </w:r>
    </w:p>
    <w:p w14:paraId="0553E6B0" w14:textId="77777777" w:rsidR="00D446A0" w:rsidRPr="005A2E2F" w:rsidRDefault="00D446A0" w:rsidP="00D446A0">
      <w:pPr>
        <w:rPr>
          <w:rFonts w:ascii="Times New Roman" w:hAnsi="Times New Roman" w:cs="Times New Roman"/>
          <w:sz w:val="28"/>
          <w:szCs w:val="28"/>
        </w:rPr>
      </w:pPr>
      <w:r w:rsidRPr="005A2E2F">
        <w:rPr>
          <w:rFonts w:ascii="Times New Roman" w:hAnsi="Times New Roman" w:cs="Times New Roman"/>
          <w:sz w:val="28"/>
          <w:szCs w:val="28"/>
        </w:rPr>
        <w:t xml:space="preserve">Supplementary file 2: </w:t>
      </w:r>
      <w:proofErr w:type="spellStart"/>
      <w:r w:rsidRPr="005A2E2F">
        <w:rPr>
          <w:rFonts w:ascii="Times New Roman" w:hAnsi="Times New Roman" w:cs="Times New Roman"/>
          <w:sz w:val="28"/>
          <w:szCs w:val="28"/>
        </w:rPr>
        <w:t>Tsne</w:t>
      </w:r>
      <w:proofErr w:type="spellEnd"/>
    </w:p>
    <w:p w14:paraId="7EC5AC33" w14:textId="77777777" w:rsidR="00D446A0" w:rsidRPr="005A2E2F" w:rsidRDefault="00D446A0" w:rsidP="00D446A0">
      <w:pPr>
        <w:rPr>
          <w:rFonts w:ascii="Times New Roman" w:hAnsi="Times New Roman" w:cs="Times New Roman"/>
          <w:sz w:val="28"/>
          <w:szCs w:val="28"/>
        </w:rPr>
      </w:pPr>
      <w:r w:rsidRPr="005A2E2F">
        <w:rPr>
          <w:rFonts w:ascii="Times New Roman" w:hAnsi="Times New Roman" w:cs="Times New Roman"/>
          <w:sz w:val="28"/>
          <w:szCs w:val="28"/>
        </w:rPr>
        <w:lastRenderedPageBreak/>
        <w:t>Supplementary file 3: Soft Threshold</w:t>
      </w:r>
    </w:p>
    <w:p w14:paraId="006C1E90" w14:textId="77777777" w:rsidR="00D446A0" w:rsidRPr="005A2E2F" w:rsidRDefault="00D446A0" w:rsidP="00D446A0">
      <w:pPr>
        <w:rPr>
          <w:rFonts w:ascii="Times New Roman" w:hAnsi="Times New Roman" w:cs="Times New Roman"/>
          <w:sz w:val="28"/>
          <w:szCs w:val="28"/>
        </w:rPr>
      </w:pPr>
      <w:r w:rsidRPr="005A2E2F">
        <w:rPr>
          <w:rFonts w:ascii="Times New Roman" w:hAnsi="Times New Roman" w:cs="Times New Roman"/>
          <w:sz w:val="28"/>
          <w:szCs w:val="28"/>
        </w:rPr>
        <w:t>Supplementary file 4: Interaction relationship</w:t>
      </w:r>
    </w:p>
    <w:p w14:paraId="4D1BC155" w14:textId="4EDD1B81" w:rsidR="0056064C" w:rsidRPr="005A2E2F" w:rsidRDefault="00D446A0" w:rsidP="00D446A0">
      <w:pPr>
        <w:rPr>
          <w:rFonts w:ascii="Times New Roman" w:hAnsi="Times New Roman" w:cs="Times New Roman"/>
          <w:sz w:val="28"/>
          <w:szCs w:val="28"/>
        </w:rPr>
      </w:pPr>
      <w:r w:rsidRPr="005A2E2F">
        <w:rPr>
          <w:rFonts w:ascii="Times New Roman" w:hAnsi="Times New Roman" w:cs="Times New Roman"/>
          <w:sz w:val="28"/>
          <w:szCs w:val="28"/>
        </w:rPr>
        <w:t>Supplementary file 5: Prediction model</w:t>
      </w:r>
    </w:p>
    <w:sectPr w:rsidR="0056064C" w:rsidRPr="005A2E2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064C"/>
    <w:rsid w:val="00242367"/>
    <w:rsid w:val="0056064C"/>
    <w:rsid w:val="005A2E2F"/>
    <w:rsid w:val="00D44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A8C7FEC-1904-442A-92AA-2263DCD21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908</Words>
  <Characters>5178</Characters>
  <Application>Microsoft Office Word</Application>
  <DocSecurity>0</DocSecurity>
  <Lines>43</Lines>
  <Paragraphs>12</Paragraphs>
  <ScaleCrop>false</ScaleCrop>
  <Company/>
  <LinksUpToDate>false</LinksUpToDate>
  <CharactersWithSpaces>6074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 Yuqi</dc:creator>
  <cp:keywords/>
  <dc:description/>
  <cp:lastModifiedBy>Ma Yuqi</cp:lastModifiedBy>
  <cp:revision>3</cp:revision>
  <dcterms:created xsi:type="dcterms:W3CDTF">2024-06-16T13:16:00Z</dcterms:created>
  <dcterms:modified xsi:type="dcterms:W3CDTF">2024-06-16T13:16:00Z</dcterms:modified>
</cp:coreProperties>
</file>