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572E" w14:textId="77777777" w:rsidR="002B0A1A" w:rsidRPr="00245091" w:rsidRDefault="002B0A1A" w:rsidP="002B0A1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A14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Table 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Baseline sociodemographic and clinical characteristics of patients. </w:t>
      </w:r>
    </w:p>
    <w:p w14:paraId="64625E6B" w14:textId="77777777" w:rsidR="002B0A1A" w:rsidRDefault="002B0A1A" w:rsidP="002B0A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338BE">
        <w:rPr>
          <w:noProof/>
        </w:rPr>
        <w:drawing>
          <wp:inline distT="0" distB="0" distL="0" distR="0" wp14:anchorId="5A1EF0F9" wp14:editId="700F66F5">
            <wp:extent cx="5943600" cy="6775450"/>
            <wp:effectExtent l="0" t="0" r="0" b="6350"/>
            <wp:docPr id="837621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D1F7D" w14:textId="77777777" w:rsidR="002B0A1A" w:rsidRDefault="002B0A1A" w:rsidP="002B0A1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HbA1c = hemoglobin A1c, BMI = body mass index, COPD = chronic obstructive pulmonary disease, PE = pulmonary embolism, GERD = gastroesophageal reflux disease, MI = myocardial infarction, PCI/PTCA = </w:t>
      </w:r>
      <w:r w:rsidRPr="000D08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primary coronary intervention (PCI)/percutaneous transluminal coronary angioplasty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DVT = deep vein thrombosis, IVC = inferior vena cava, ASA =</w:t>
      </w:r>
      <w:r w:rsidRPr="00245091">
        <w:t xml:space="preserve"> </w:t>
      </w:r>
      <w:r w:rsidRPr="002450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American Society of Anesthesiologists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1D4EE6CA" w14:textId="77777777" w:rsidR="00FA6FB6" w:rsidRDefault="00FA6FB6" w:rsidP="002B0A1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A6E1429" w14:textId="77777777" w:rsidR="00FA6FB6" w:rsidRDefault="00FA6FB6" w:rsidP="002B0A1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FCB9F29" w14:textId="77777777" w:rsidR="00FA6FB6" w:rsidRDefault="00FA6FB6" w:rsidP="00FA6F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Table 2.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Summary of logistic regression output evaluating the association between diabetes status (predictor variable) and receipt of an A1C test (outcome), covarying for sociodemographic and clinical factors. </w:t>
      </w:r>
    </w:p>
    <w:p w14:paraId="31A5AD5B" w14:textId="4CAA5ABE" w:rsidR="00FA6FB6" w:rsidRDefault="00FA6FB6" w:rsidP="00FA6FB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A483951" wp14:editId="630B8997">
            <wp:extent cx="5695950" cy="5324475"/>
            <wp:effectExtent l="0" t="0" r="0" b="9525"/>
            <wp:docPr id="194378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3E25" w14:textId="77777777" w:rsidR="00FA6FB6" w:rsidRDefault="00FA6FB6" w:rsidP="00FA6F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A1C = hemoglobin A1c, RYGB = Roux-en-Y gastric bypass, ASA =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American Society of Anesthesiologists </w:t>
      </w:r>
    </w:p>
    <w:p w14:paraId="3D74F339" w14:textId="77777777" w:rsidR="00FA6FB6" w:rsidRDefault="00FA6FB6" w:rsidP="00FA6FB6"/>
    <w:p w14:paraId="51659574" w14:textId="77777777" w:rsidR="00FA6FB6" w:rsidRDefault="00FA6FB6" w:rsidP="002B0A1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sectPr w:rsidR="00FA6FB6" w:rsidSect="002B0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1A"/>
    <w:rsid w:val="000C0335"/>
    <w:rsid w:val="001D7086"/>
    <w:rsid w:val="002B0A1A"/>
    <w:rsid w:val="003E685B"/>
    <w:rsid w:val="005B0D36"/>
    <w:rsid w:val="00695638"/>
    <w:rsid w:val="0095182A"/>
    <w:rsid w:val="00FA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4751"/>
  <w15:chartTrackingRefBased/>
  <w15:docId w15:val="{C3DBA4A2-9292-402F-9BD4-EEDD159D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A1A"/>
  </w:style>
  <w:style w:type="paragraph" w:styleId="Heading1">
    <w:name w:val="heading 1"/>
    <w:basedOn w:val="Normal"/>
    <w:next w:val="Normal"/>
    <w:link w:val="Heading1Char"/>
    <w:uiPriority w:val="9"/>
    <w:qFormat/>
    <w:rsid w:val="002B0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5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Safraz A. Hamid</dc:creator>
  <cp:keywords/>
  <dc:description/>
  <cp:lastModifiedBy>Hamid, Safraz</cp:lastModifiedBy>
  <cp:revision>2</cp:revision>
  <dcterms:created xsi:type="dcterms:W3CDTF">2024-06-25T22:54:00Z</dcterms:created>
  <dcterms:modified xsi:type="dcterms:W3CDTF">2024-06-25T22:54:00Z</dcterms:modified>
</cp:coreProperties>
</file>