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A70ED2" w14:textId="77777777" w:rsidR="00EB23AB" w:rsidRPr="00633EE3" w:rsidRDefault="00EB23AB" w:rsidP="00EB23AB">
      <w:pPr>
        <w:pStyle w:val="Caption"/>
        <w:keepNext/>
        <w:jc w:val="both"/>
        <w:rPr>
          <w:rFonts w:ascii="Times New Roman" w:hAnsi="Times New Roman" w:cs="Times New Roman"/>
          <w:b/>
          <w:bCs/>
          <w:i w:val="0"/>
          <w:color w:val="auto"/>
          <w:sz w:val="22"/>
          <w:szCs w:val="22"/>
        </w:rPr>
      </w:pPr>
      <w:r w:rsidRPr="00633EE3">
        <w:rPr>
          <w:rFonts w:ascii="Times New Roman" w:hAnsi="Times New Roman" w:cs="Times New Roman"/>
          <w:b/>
          <w:bCs/>
          <w:i w:val="0"/>
          <w:color w:val="auto"/>
          <w:sz w:val="22"/>
          <w:szCs w:val="22"/>
        </w:rPr>
        <w:t>Supplements</w:t>
      </w:r>
    </w:p>
    <w:p w14:paraId="54F079CF" w14:textId="77777777" w:rsidR="00EB23AB" w:rsidRPr="00633EE3" w:rsidRDefault="00EB23AB" w:rsidP="00EB23AB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</w:p>
    <w:p w14:paraId="287DED24" w14:textId="77777777" w:rsidR="00EB23AB" w:rsidRPr="00633EE3" w:rsidRDefault="00EB23AB" w:rsidP="00EB23AB">
      <w:pPr>
        <w:pStyle w:val="Caption"/>
        <w:keepNext/>
        <w:jc w:val="both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633EE3">
        <w:rPr>
          <w:rFonts w:ascii="Times New Roman" w:hAnsi="Times New Roman" w:cs="Times New Roman"/>
          <w:b/>
          <w:bCs/>
          <w:i w:val="0"/>
          <w:color w:val="auto"/>
          <w:sz w:val="22"/>
          <w:szCs w:val="22"/>
        </w:rPr>
        <w:t>Supplementary Table S</w:t>
      </w:r>
      <w:r w:rsidRPr="00633EE3">
        <w:rPr>
          <w:rFonts w:ascii="Times New Roman" w:hAnsi="Times New Roman" w:cs="Times New Roman"/>
          <w:b/>
          <w:bCs/>
          <w:i w:val="0"/>
          <w:color w:val="auto"/>
          <w:sz w:val="22"/>
          <w:szCs w:val="22"/>
        </w:rPr>
        <w:fldChar w:fldCharType="begin"/>
      </w:r>
      <w:r w:rsidRPr="00633EE3">
        <w:rPr>
          <w:rFonts w:ascii="Times New Roman" w:hAnsi="Times New Roman" w:cs="Times New Roman"/>
          <w:b/>
          <w:bCs/>
          <w:i w:val="0"/>
          <w:color w:val="auto"/>
          <w:sz w:val="22"/>
          <w:szCs w:val="22"/>
        </w:rPr>
        <w:instrText xml:space="preserve"> SEQ Table \* ARABIC </w:instrText>
      </w:r>
      <w:r w:rsidRPr="00633EE3">
        <w:rPr>
          <w:rFonts w:ascii="Times New Roman" w:hAnsi="Times New Roman" w:cs="Times New Roman"/>
          <w:b/>
          <w:bCs/>
          <w:i w:val="0"/>
          <w:color w:val="auto"/>
          <w:sz w:val="22"/>
          <w:szCs w:val="22"/>
        </w:rPr>
        <w:fldChar w:fldCharType="separate"/>
      </w:r>
      <w:r w:rsidRPr="00633EE3">
        <w:rPr>
          <w:rFonts w:ascii="Times New Roman" w:hAnsi="Times New Roman" w:cs="Times New Roman"/>
          <w:b/>
          <w:bCs/>
          <w:i w:val="0"/>
          <w:noProof/>
          <w:color w:val="auto"/>
          <w:sz w:val="22"/>
          <w:szCs w:val="22"/>
        </w:rPr>
        <w:t>2</w:t>
      </w:r>
      <w:r w:rsidRPr="00633EE3">
        <w:rPr>
          <w:rFonts w:ascii="Times New Roman" w:hAnsi="Times New Roman" w:cs="Times New Roman"/>
          <w:b/>
          <w:bCs/>
          <w:i w:val="0"/>
          <w:color w:val="auto"/>
          <w:sz w:val="22"/>
          <w:szCs w:val="22"/>
        </w:rPr>
        <w:fldChar w:fldCharType="end"/>
      </w:r>
      <w:r w:rsidRPr="00633EE3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PERMANOVA analysis based on Bray-Curtis distances (10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>,</w:t>
      </w:r>
      <w:r w:rsidRPr="00633EE3">
        <w:rPr>
          <w:rFonts w:ascii="Times New Roman" w:hAnsi="Times New Roman" w:cs="Times New Roman"/>
          <w:i w:val="0"/>
          <w:color w:val="auto"/>
          <w:sz w:val="22"/>
          <w:szCs w:val="22"/>
        </w:rPr>
        <w:t>000 permutations) of bacterial/archaeal communities in root-affected soils (RA) and in the rhizosphere (RH) of winter wheat obtained from central plots and root windows. *</w:t>
      </w:r>
      <w:r w:rsidRPr="00633EE3">
        <w:rPr>
          <w:rFonts w:ascii="Times New Roman" w:hAnsi="Times New Roman" w:cs="Times New Roman"/>
          <w:iCs w:val="0"/>
          <w:color w:val="auto"/>
          <w:sz w:val="22"/>
          <w:szCs w:val="22"/>
        </w:rPr>
        <w:t>p</w:t>
      </w:r>
      <w:r>
        <w:rPr>
          <w:rFonts w:ascii="Times New Roman" w:hAnsi="Times New Roman" w:cs="Times New Roman"/>
          <w:iCs w:val="0"/>
          <w:color w:val="auto"/>
          <w:sz w:val="22"/>
          <w:szCs w:val="22"/>
        </w:rPr>
        <w:t xml:space="preserve"> </w:t>
      </w:r>
      <w:r w:rsidRPr="00633EE3">
        <w:rPr>
          <w:rFonts w:ascii="Times New Roman" w:hAnsi="Times New Roman" w:cs="Times New Roman"/>
          <w:i w:val="0"/>
          <w:color w:val="auto"/>
          <w:sz w:val="22"/>
          <w:szCs w:val="22"/>
        </w:rPr>
        <w:t>&lt;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Pr="00633EE3">
        <w:rPr>
          <w:rFonts w:ascii="Times New Roman" w:hAnsi="Times New Roman" w:cs="Times New Roman"/>
          <w:i w:val="0"/>
          <w:color w:val="auto"/>
          <w:sz w:val="22"/>
          <w:szCs w:val="22"/>
        </w:rPr>
        <w:t>0.05, **</w:t>
      </w:r>
      <w:r w:rsidRPr="00633EE3">
        <w:rPr>
          <w:rFonts w:ascii="Times New Roman" w:hAnsi="Times New Roman" w:cs="Times New Roman"/>
          <w:iCs w:val="0"/>
          <w:color w:val="auto"/>
          <w:sz w:val="22"/>
          <w:szCs w:val="22"/>
        </w:rPr>
        <w:t>p</w:t>
      </w:r>
      <w:r>
        <w:rPr>
          <w:rFonts w:ascii="Times New Roman" w:hAnsi="Times New Roman" w:cs="Times New Roman"/>
          <w:iCs w:val="0"/>
          <w:color w:val="auto"/>
          <w:sz w:val="22"/>
          <w:szCs w:val="22"/>
        </w:rPr>
        <w:t xml:space="preserve"> </w:t>
      </w:r>
      <w:r w:rsidRPr="00633EE3">
        <w:rPr>
          <w:rFonts w:ascii="Times New Roman" w:hAnsi="Times New Roman" w:cs="Times New Roman"/>
          <w:i w:val="0"/>
          <w:color w:val="auto"/>
          <w:sz w:val="22"/>
          <w:szCs w:val="22"/>
        </w:rPr>
        <w:t>&lt;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Pr="00633EE3">
        <w:rPr>
          <w:rFonts w:ascii="Times New Roman" w:hAnsi="Times New Roman" w:cs="Times New Roman"/>
          <w:i w:val="0"/>
          <w:color w:val="auto"/>
          <w:sz w:val="22"/>
          <w:szCs w:val="22"/>
        </w:rPr>
        <w:t>0.01, ***</w:t>
      </w:r>
      <w:r w:rsidRPr="00633EE3">
        <w:rPr>
          <w:rFonts w:ascii="Times New Roman" w:hAnsi="Times New Roman" w:cs="Times New Roman"/>
          <w:iCs w:val="0"/>
          <w:color w:val="auto"/>
          <w:sz w:val="22"/>
          <w:szCs w:val="22"/>
        </w:rPr>
        <w:t>p</w:t>
      </w:r>
      <w:r>
        <w:rPr>
          <w:rFonts w:ascii="Times New Roman" w:hAnsi="Times New Roman" w:cs="Times New Roman"/>
          <w:iCs w:val="0"/>
          <w:color w:val="auto"/>
          <w:sz w:val="22"/>
          <w:szCs w:val="22"/>
        </w:rPr>
        <w:t xml:space="preserve"> </w:t>
      </w:r>
      <w:r w:rsidRPr="00633EE3">
        <w:rPr>
          <w:rFonts w:ascii="Times New Roman" w:hAnsi="Times New Roman" w:cs="Times New Roman"/>
          <w:i w:val="0"/>
          <w:color w:val="auto"/>
          <w:sz w:val="22"/>
          <w:szCs w:val="22"/>
        </w:rPr>
        <w:t>&lt;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Pr="00633EE3">
        <w:rPr>
          <w:rFonts w:ascii="Times New Roman" w:hAnsi="Times New Roman" w:cs="Times New Roman"/>
          <w:i w:val="0"/>
          <w:color w:val="auto"/>
          <w:sz w:val="22"/>
          <w:szCs w:val="22"/>
        </w:rPr>
        <w:t>0.001.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6"/>
        <w:gridCol w:w="1810"/>
        <w:gridCol w:w="1809"/>
        <w:gridCol w:w="1809"/>
        <w:gridCol w:w="1818"/>
      </w:tblGrid>
      <w:tr w:rsidR="00EB23AB" w:rsidRPr="00633EE3" w14:paraId="72185C7A" w14:textId="77777777" w:rsidTr="004D7211">
        <w:tc>
          <w:tcPr>
            <w:tcW w:w="1826" w:type="dxa"/>
            <w:vMerge w:val="restart"/>
            <w:tcBorders>
              <w:top w:val="single" w:sz="4" w:space="0" w:color="auto"/>
            </w:tcBorders>
          </w:tcPr>
          <w:p w14:paraId="01FF49FC" w14:textId="77777777" w:rsidR="00EB23AB" w:rsidRPr="00633EE3" w:rsidRDefault="00EB23AB" w:rsidP="004D7211">
            <w:pPr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>Factor</w:t>
            </w:r>
          </w:p>
        </w:tc>
        <w:tc>
          <w:tcPr>
            <w:tcW w:w="3619" w:type="dxa"/>
            <w:gridSpan w:val="2"/>
            <w:tcBorders>
              <w:top w:val="single" w:sz="4" w:space="0" w:color="auto"/>
            </w:tcBorders>
          </w:tcPr>
          <w:p w14:paraId="39C5FC19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>Root Window</w:t>
            </w:r>
          </w:p>
        </w:tc>
        <w:tc>
          <w:tcPr>
            <w:tcW w:w="3627" w:type="dxa"/>
            <w:gridSpan w:val="2"/>
            <w:tcBorders>
              <w:top w:val="single" w:sz="4" w:space="0" w:color="auto"/>
            </w:tcBorders>
          </w:tcPr>
          <w:p w14:paraId="7B6523B9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>Central Plot</w:t>
            </w:r>
          </w:p>
        </w:tc>
      </w:tr>
      <w:tr w:rsidR="00EB23AB" w:rsidRPr="00633EE3" w14:paraId="298FC3B1" w14:textId="77777777" w:rsidTr="004D7211">
        <w:tc>
          <w:tcPr>
            <w:tcW w:w="1826" w:type="dxa"/>
            <w:vMerge/>
            <w:tcBorders>
              <w:bottom w:val="single" w:sz="4" w:space="0" w:color="auto"/>
            </w:tcBorders>
          </w:tcPr>
          <w:p w14:paraId="2BA0A04B" w14:textId="77777777" w:rsidR="00EB23AB" w:rsidRPr="00633EE3" w:rsidRDefault="00EB23AB" w:rsidP="004D72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0" w:type="dxa"/>
            <w:tcBorders>
              <w:bottom w:val="single" w:sz="4" w:space="0" w:color="auto"/>
            </w:tcBorders>
          </w:tcPr>
          <w:p w14:paraId="4C322D58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 xml:space="preserve">Explained variance [%] </w:t>
            </w:r>
            <w:r w:rsidRPr="00633EE3">
              <w:rPr>
                <w:rFonts w:ascii="Times New Roman" w:hAnsi="Times New Roman" w:cs="Times New Roman"/>
              </w:rPr>
              <w:br/>
              <w:t>RA</w:t>
            </w:r>
          </w:p>
        </w:tc>
        <w:tc>
          <w:tcPr>
            <w:tcW w:w="1809" w:type="dxa"/>
            <w:tcBorders>
              <w:bottom w:val="single" w:sz="4" w:space="0" w:color="auto"/>
            </w:tcBorders>
          </w:tcPr>
          <w:p w14:paraId="3C02697A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 xml:space="preserve">Explained variance [%] </w:t>
            </w:r>
            <w:r w:rsidRPr="00633EE3">
              <w:rPr>
                <w:rFonts w:ascii="Times New Roman" w:hAnsi="Times New Roman" w:cs="Times New Roman"/>
              </w:rPr>
              <w:br/>
              <w:t>RH</w:t>
            </w:r>
          </w:p>
        </w:tc>
        <w:tc>
          <w:tcPr>
            <w:tcW w:w="1809" w:type="dxa"/>
            <w:tcBorders>
              <w:bottom w:val="single" w:sz="4" w:space="0" w:color="auto"/>
            </w:tcBorders>
          </w:tcPr>
          <w:p w14:paraId="4395455C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 xml:space="preserve">Explained variance [%] </w:t>
            </w:r>
            <w:r w:rsidRPr="00633EE3">
              <w:rPr>
                <w:rFonts w:ascii="Times New Roman" w:hAnsi="Times New Roman" w:cs="Times New Roman"/>
              </w:rPr>
              <w:br/>
              <w:t>RA</w:t>
            </w:r>
          </w:p>
        </w:tc>
        <w:tc>
          <w:tcPr>
            <w:tcW w:w="1818" w:type="dxa"/>
            <w:tcBorders>
              <w:bottom w:val="single" w:sz="4" w:space="0" w:color="auto"/>
            </w:tcBorders>
          </w:tcPr>
          <w:p w14:paraId="5092C4AB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 xml:space="preserve">Explained variance [%] </w:t>
            </w:r>
            <w:r w:rsidRPr="00633EE3">
              <w:rPr>
                <w:rFonts w:ascii="Times New Roman" w:hAnsi="Times New Roman" w:cs="Times New Roman"/>
              </w:rPr>
              <w:br/>
              <w:t>RH</w:t>
            </w:r>
          </w:p>
        </w:tc>
      </w:tr>
      <w:tr w:rsidR="00EB23AB" w:rsidRPr="00633EE3" w14:paraId="4E829210" w14:textId="77777777" w:rsidTr="004D7211">
        <w:tc>
          <w:tcPr>
            <w:tcW w:w="1826" w:type="dxa"/>
            <w:tcBorders>
              <w:top w:val="single" w:sz="4" w:space="0" w:color="auto"/>
            </w:tcBorders>
          </w:tcPr>
          <w:p w14:paraId="0B53228A" w14:textId="77777777" w:rsidR="00EB23AB" w:rsidRPr="00633EE3" w:rsidRDefault="00EB23AB" w:rsidP="004D7211">
            <w:pPr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>Tillage practice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0F60B551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  <w:bCs/>
                <w:kern w:val="24"/>
              </w:rPr>
              <w:t xml:space="preserve">       17.8***</w:t>
            </w:r>
          </w:p>
        </w:tc>
        <w:tc>
          <w:tcPr>
            <w:tcW w:w="1809" w:type="dxa"/>
            <w:tcBorders>
              <w:top w:val="single" w:sz="4" w:space="0" w:color="auto"/>
            </w:tcBorders>
          </w:tcPr>
          <w:p w14:paraId="0C18AC36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  <w:bCs/>
                <w:kern w:val="24"/>
              </w:rPr>
              <w:t xml:space="preserve">     29.2***</w:t>
            </w:r>
          </w:p>
        </w:tc>
        <w:tc>
          <w:tcPr>
            <w:tcW w:w="1809" w:type="dxa"/>
            <w:tcBorders>
              <w:top w:val="single" w:sz="4" w:space="0" w:color="auto"/>
            </w:tcBorders>
          </w:tcPr>
          <w:p w14:paraId="2993478B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  <w:bCs/>
                <w:kern w:val="24"/>
              </w:rPr>
              <w:t xml:space="preserve">     17.6***</w:t>
            </w:r>
          </w:p>
        </w:tc>
        <w:tc>
          <w:tcPr>
            <w:tcW w:w="1818" w:type="dxa"/>
            <w:tcBorders>
              <w:top w:val="single" w:sz="4" w:space="0" w:color="auto"/>
            </w:tcBorders>
          </w:tcPr>
          <w:p w14:paraId="122C749E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  <w:bCs/>
                <w:kern w:val="24"/>
              </w:rPr>
              <w:t xml:space="preserve">     28.2***</w:t>
            </w:r>
          </w:p>
        </w:tc>
      </w:tr>
      <w:tr w:rsidR="00EB23AB" w:rsidRPr="00633EE3" w14:paraId="479D19BD" w14:textId="77777777" w:rsidTr="004D7211">
        <w:tc>
          <w:tcPr>
            <w:tcW w:w="1826" w:type="dxa"/>
          </w:tcPr>
          <w:p w14:paraId="022A404A" w14:textId="77777777" w:rsidR="00EB23AB" w:rsidRPr="00633EE3" w:rsidRDefault="00EB23AB" w:rsidP="004D7211">
            <w:pPr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>N-fertilization</w:t>
            </w:r>
          </w:p>
        </w:tc>
        <w:tc>
          <w:tcPr>
            <w:tcW w:w="1810" w:type="dxa"/>
          </w:tcPr>
          <w:p w14:paraId="29F10D82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  <w:kern w:val="24"/>
              </w:rPr>
              <w:t xml:space="preserve">     9.6*</w:t>
            </w:r>
          </w:p>
        </w:tc>
        <w:tc>
          <w:tcPr>
            <w:tcW w:w="1809" w:type="dxa"/>
          </w:tcPr>
          <w:p w14:paraId="1F9FF7AB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  <w:kern w:val="24"/>
              </w:rPr>
              <w:t xml:space="preserve"> 8.2</w:t>
            </w:r>
          </w:p>
        </w:tc>
        <w:tc>
          <w:tcPr>
            <w:tcW w:w="1809" w:type="dxa"/>
          </w:tcPr>
          <w:p w14:paraId="56ED1185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  <w:kern w:val="24"/>
              </w:rPr>
              <w:t xml:space="preserve"> 6.5</w:t>
            </w:r>
          </w:p>
        </w:tc>
        <w:tc>
          <w:tcPr>
            <w:tcW w:w="1818" w:type="dxa"/>
          </w:tcPr>
          <w:p w14:paraId="5FC5F035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  <w:kern w:val="24"/>
              </w:rPr>
              <w:t xml:space="preserve"> 6.1</w:t>
            </w:r>
          </w:p>
        </w:tc>
      </w:tr>
      <w:tr w:rsidR="00EB23AB" w:rsidRPr="00633EE3" w14:paraId="62A9170F" w14:textId="77777777" w:rsidTr="004D7211">
        <w:tc>
          <w:tcPr>
            <w:tcW w:w="1826" w:type="dxa"/>
            <w:tcBorders>
              <w:bottom w:val="single" w:sz="4" w:space="0" w:color="auto"/>
            </w:tcBorders>
          </w:tcPr>
          <w:p w14:paraId="70F1447E" w14:textId="77777777" w:rsidR="00EB23AB" w:rsidRPr="00633EE3" w:rsidRDefault="00EB23AB" w:rsidP="004D7211">
            <w:pPr>
              <w:rPr>
                <w:rFonts w:ascii="Times New Roman" w:hAnsi="Times New Roman" w:cs="Times New Roman"/>
                <w:lang w:val="en-US"/>
              </w:rPr>
            </w:pPr>
            <w:r w:rsidRPr="00633EE3">
              <w:rPr>
                <w:rFonts w:ascii="Times New Roman" w:hAnsi="Times New Roman" w:cs="Times New Roman"/>
                <w:lang w:val="en-US"/>
              </w:rPr>
              <w:t>Tillage practice x N-fertilization</w:t>
            </w:r>
          </w:p>
        </w:tc>
        <w:tc>
          <w:tcPr>
            <w:tcW w:w="1810" w:type="dxa"/>
            <w:tcBorders>
              <w:bottom w:val="single" w:sz="4" w:space="0" w:color="auto"/>
            </w:tcBorders>
          </w:tcPr>
          <w:p w14:paraId="72DD97FF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  <w:kern w:val="24"/>
                <w:lang w:val="en-US"/>
              </w:rPr>
              <w:t xml:space="preserve">  </w:t>
            </w:r>
            <w:r w:rsidRPr="00633EE3">
              <w:rPr>
                <w:rFonts w:ascii="Times New Roman" w:hAnsi="Times New Roman" w:cs="Times New Roman"/>
                <w:kern w:val="24"/>
              </w:rPr>
              <w:t>7.7</w:t>
            </w:r>
          </w:p>
        </w:tc>
        <w:tc>
          <w:tcPr>
            <w:tcW w:w="1809" w:type="dxa"/>
            <w:tcBorders>
              <w:bottom w:val="single" w:sz="4" w:space="0" w:color="auto"/>
            </w:tcBorders>
          </w:tcPr>
          <w:p w14:paraId="3A1D0627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  <w:kern w:val="24"/>
              </w:rPr>
              <w:t xml:space="preserve"> 6.7</w:t>
            </w:r>
          </w:p>
        </w:tc>
        <w:tc>
          <w:tcPr>
            <w:tcW w:w="1809" w:type="dxa"/>
            <w:tcBorders>
              <w:bottom w:val="single" w:sz="4" w:space="0" w:color="auto"/>
            </w:tcBorders>
          </w:tcPr>
          <w:p w14:paraId="0681CB08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  <w:kern w:val="24"/>
              </w:rPr>
              <w:t xml:space="preserve"> 6.4</w:t>
            </w:r>
          </w:p>
        </w:tc>
        <w:tc>
          <w:tcPr>
            <w:tcW w:w="1818" w:type="dxa"/>
            <w:tcBorders>
              <w:bottom w:val="single" w:sz="4" w:space="0" w:color="auto"/>
            </w:tcBorders>
          </w:tcPr>
          <w:p w14:paraId="3C56A29C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  <w:kern w:val="24"/>
              </w:rPr>
              <w:t xml:space="preserve"> 6.4</w:t>
            </w:r>
          </w:p>
        </w:tc>
      </w:tr>
      <w:tr w:rsidR="00EB23AB" w:rsidRPr="00633EE3" w14:paraId="13D0FE4B" w14:textId="77777777" w:rsidTr="004D7211">
        <w:tc>
          <w:tcPr>
            <w:tcW w:w="1826" w:type="dxa"/>
            <w:tcBorders>
              <w:top w:val="single" w:sz="4" w:space="0" w:color="auto"/>
              <w:bottom w:val="single" w:sz="4" w:space="0" w:color="auto"/>
            </w:tcBorders>
          </w:tcPr>
          <w:p w14:paraId="0BE672DE" w14:textId="77777777" w:rsidR="00EB23AB" w:rsidRPr="00633EE3" w:rsidRDefault="00EB23AB" w:rsidP="004D7211">
            <w:pPr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>Residuals</w:t>
            </w:r>
          </w:p>
        </w:tc>
        <w:tc>
          <w:tcPr>
            <w:tcW w:w="1810" w:type="dxa"/>
            <w:tcBorders>
              <w:top w:val="single" w:sz="4" w:space="0" w:color="auto"/>
              <w:bottom w:val="single" w:sz="4" w:space="0" w:color="auto"/>
            </w:tcBorders>
          </w:tcPr>
          <w:p w14:paraId="22D16F04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  <w:kern w:val="24"/>
              </w:rPr>
              <w:t>64.9</w:t>
            </w:r>
          </w:p>
        </w:tc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14:paraId="579CA10D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  <w:kern w:val="24"/>
              </w:rPr>
              <w:t>55.8</w:t>
            </w:r>
          </w:p>
        </w:tc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14:paraId="2EDB5D32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  <w:kern w:val="24"/>
              </w:rPr>
              <w:t>69.4</w:t>
            </w:r>
          </w:p>
        </w:tc>
        <w:tc>
          <w:tcPr>
            <w:tcW w:w="1818" w:type="dxa"/>
            <w:tcBorders>
              <w:top w:val="single" w:sz="4" w:space="0" w:color="auto"/>
              <w:bottom w:val="single" w:sz="4" w:space="0" w:color="auto"/>
            </w:tcBorders>
          </w:tcPr>
          <w:p w14:paraId="3093091A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  <w:kern w:val="24"/>
              </w:rPr>
              <w:t>59.3</w:t>
            </w:r>
          </w:p>
        </w:tc>
      </w:tr>
    </w:tbl>
    <w:p w14:paraId="53B84089" w14:textId="77777777" w:rsidR="00EB23AB" w:rsidRPr="00633EE3" w:rsidRDefault="00EB23AB" w:rsidP="00EB23AB">
      <w:pPr>
        <w:spacing w:before="60" w:after="0" w:line="360" w:lineRule="auto"/>
        <w:jc w:val="both"/>
        <w:rPr>
          <w:rFonts w:ascii="Times New Roman" w:hAnsi="Times New Roman" w:cs="Times New Roman"/>
          <w:lang w:val="en-US"/>
        </w:rPr>
      </w:pPr>
    </w:p>
    <w:p w14:paraId="5E90B7F0" w14:textId="77777777" w:rsidR="00EB23AB" w:rsidRPr="00633EE3" w:rsidRDefault="00EB23AB" w:rsidP="00EB23AB">
      <w:pPr>
        <w:rPr>
          <w:rFonts w:ascii="Times New Roman" w:hAnsi="Times New Roman" w:cs="Times New Roman"/>
          <w:lang w:val="en-GB"/>
        </w:rPr>
      </w:pPr>
    </w:p>
    <w:p w14:paraId="70ED48CD" w14:textId="77777777" w:rsidR="00EB23AB" w:rsidRPr="00633EE3" w:rsidRDefault="00EB23AB" w:rsidP="00EB23AB">
      <w:pPr>
        <w:pStyle w:val="Caption"/>
        <w:keepNext/>
        <w:jc w:val="both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633EE3">
        <w:rPr>
          <w:rFonts w:ascii="Times New Roman" w:hAnsi="Times New Roman" w:cs="Times New Roman"/>
          <w:b/>
          <w:bCs/>
          <w:i w:val="0"/>
          <w:color w:val="auto"/>
          <w:sz w:val="22"/>
          <w:szCs w:val="22"/>
        </w:rPr>
        <w:t>Supplementary Table S3</w:t>
      </w:r>
      <w:r w:rsidRPr="00633EE3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PERMANOVA analysis based on Bray-Curtis distances (10,000 permutations) of fungal communities in root-affected soils (RA) and in the rhizosphere (RH) of winter wheat obtained from central plots and root windows. *</w:t>
      </w:r>
      <w:r w:rsidRPr="00633EE3">
        <w:rPr>
          <w:rFonts w:ascii="Times New Roman" w:hAnsi="Times New Roman" w:cs="Times New Roman"/>
          <w:iCs w:val="0"/>
          <w:color w:val="auto"/>
          <w:sz w:val="22"/>
          <w:szCs w:val="22"/>
        </w:rPr>
        <w:t>p</w:t>
      </w:r>
      <w:r>
        <w:rPr>
          <w:rFonts w:ascii="Times New Roman" w:hAnsi="Times New Roman" w:cs="Times New Roman"/>
          <w:iCs w:val="0"/>
          <w:color w:val="auto"/>
          <w:sz w:val="22"/>
          <w:szCs w:val="22"/>
        </w:rPr>
        <w:t xml:space="preserve"> </w:t>
      </w:r>
      <w:r w:rsidRPr="00633EE3">
        <w:rPr>
          <w:rFonts w:ascii="Times New Roman" w:hAnsi="Times New Roman" w:cs="Times New Roman"/>
          <w:i w:val="0"/>
          <w:color w:val="auto"/>
          <w:sz w:val="22"/>
          <w:szCs w:val="22"/>
        </w:rPr>
        <w:t>&lt;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Pr="00633EE3">
        <w:rPr>
          <w:rFonts w:ascii="Times New Roman" w:hAnsi="Times New Roman" w:cs="Times New Roman"/>
          <w:i w:val="0"/>
          <w:color w:val="auto"/>
          <w:sz w:val="22"/>
          <w:szCs w:val="22"/>
        </w:rPr>
        <w:t>0.05, **</w:t>
      </w:r>
      <w:r w:rsidRPr="00633EE3">
        <w:rPr>
          <w:rFonts w:ascii="Times New Roman" w:hAnsi="Times New Roman" w:cs="Times New Roman"/>
          <w:iCs w:val="0"/>
          <w:color w:val="auto"/>
          <w:sz w:val="22"/>
          <w:szCs w:val="22"/>
        </w:rPr>
        <w:t>p</w:t>
      </w:r>
      <w:r>
        <w:rPr>
          <w:rFonts w:ascii="Times New Roman" w:hAnsi="Times New Roman" w:cs="Times New Roman"/>
          <w:iCs w:val="0"/>
          <w:color w:val="auto"/>
          <w:sz w:val="22"/>
          <w:szCs w:val="22"/>
        </w:rPr>
        <w:t xml:space="preserve"> </w:t>
      </w:r>
      <w:r w:rsidRPr="00633EE3">
        <w:rPr>
          <w:rFonts w:ascii="Times New Roman" w:hAnsi="Times New Roman" w:cs="Times New Roman"/>
          <w:i w:val="0"/>
          <w:color w:val="auto"/>
          <w:sz w:val="22"/>
          <w:szCs w:val="22"/>
        </w:rPr>
        <w:t>&lt;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Pr="00633EE3">
        <w:rPr>
          <w:rFonts w:ascii="Times New Roman" w:hAnsi="Times New Roman" w:cs="Times New Roman"/>
          <w:i w:val="0"/>
          <w:color w:val="auto"/>
          <w:sz w:val="22"/>
          <w:szCs w:val="22"/>
        </w:rPr>
        <w:t>0.01, ***</w:t>
      </w:r>
      <w:r w:rsidRPr="00633EE3">
        <w:rPr>
          <w:rFonts w:ascii="Times New Roman" w:hAnsi="Times New Roman" w:cs="Times New Roman"/>
          <w:iCs w:val="0"/>
          <w:color w:val="auto"/>
          <w:sz w:val="22"/>
          <w:szCs w:val="22"/>
        </w:rPr>
        <w:t>p</w:t>
      </w:r>
      <w:r>
        <w:rPr>
          <w:rFonts w:ascii="Times New Roman" w:hAnsi="Times New Roman" w:cs="Times New Roman"/>
          <w:iCs w:val="0"/>
          <w:color w:val="auto"/>
          <w:sz w:val="22"/>
          <w:szCs w:val="22"/>
        </w:rPr>
        <w:t xml:space="preserve"> </w:t>
      </w:r>
      <w:r w:rsidRPr="00633EE3">
        <w:rPr>
          <w:rFonts w:ascii="Times New Roman" w:hAnsi="Times New Roman" w:cs="Times New Roman"/>
          <w:i w:val="0"/>
          <w:color w:val="auto"/>
          <w:sz w:val="22"/>
          <w:szCs w:val="22"/>
        </w:rPr>
        <w:t>&lt;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Pr="00633EE3">
        <w:rPr>
          <w:rFonts w:ascii="Times New Roman" w:hAnsi="Times New Roman" w:cs="Times New Roman"/>
          <w:i w:val="0"/>
          <w:color w:val="auto"/>
          <w:sz w:val="22"/>
          <w:szCs w:val="22"/>
        </w:rPr>
        <w:t>0.001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1871"/>
        <w:gridCol w:w="1872"/>
        <w:gridCol w:w="1872"/>
        <w:gridCol w:w="1873"/>
      </w:tblGrid>
      <w:tr w:rsidR="00EB23AB" w:rsidRPr="00633EE3" w14:paraId="49486E70" w14:textId="77777777" w:rsidTr="004D7211">
        <w:tc>
          <w:tcPr>
            <w:tcW w:w="1879" w:type="dxa"/>
            <w:vMerge w:val="restart"/>
            <w:tcBorders>
              <w:top w:val="single" w:sz="4" w:space="0" w:color="auto"/>
            </w:tcBorders>
          </w:tcPr>
          <w:p w14:paraId="5A0EDFC6" w14:textId="77777777" w:rsidR="00EB23AB" w:rsidRPr="00633EE3" w:rsidRDefault="00EB23AB" w:rsidP="004D7211">
            <w:pPr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>Factor</w:t>
            </w:r>
          </w:p>
        </w:tc>
        <w:tc>
          <w:tcPr>
            <w:tcW w:w="3758" w:type="dxa"/>
            <w:gridSpan w:val="2"/>
            <w:tcBorders>
              <w:top w:val="single" w:sz="4" w:space="0" w:color="auto"/>
            </w:tcBorders>
          </w:tcPr>
          <w:p w14:paraId="07ABA026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>Root Window</w:t>
            </w:r>
          </w:p>
        </w:tc>
        <w:tc>
          <w:tcPr>
            <w:tcW w:w="3759" w:type="dxa"/>
            <w:gridSpan w:val="2"/>
            <w:tcBorders>
              <w:top w:val="single" w:sz="4" w:space="0" w:color="auto"/>
            </w:tcBorders>
          </w:tcPr>
          <w:p w14:paraId="5E2B96E3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>Central Plot</w:t>
            </w:r>
          </w:p>
        </w:tc>
      </w:tr>
      <w:tr w:rsidR="00EB23AB" w:rsidRPr="00633EE3" w14:paraId="0699CB57" w14:textId="77777777" w:rsidTr="004D7211">
        <w:tc>
          <w:tcPr>
            <w:tcW w:w="1879" w:type="dxa"/>
            <w:vMerge/>
            <w:tcBorders>
              <w:bottom w:val="single" w:sz="4" w:space="0" w:color="auto"/>
            </w:tcBorders>
          </w:tcPr>
          <w:p w14:paraId="7AC18EB5" w14:textId="77777777" w:rsidR="00EB23AB" w:rsidRPr="00633EE3" w:rsidRDefault="00EB23AB" w:rsidP="004D72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6E8CB5A7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 xml:space="preserve">Explained variance [%] </w:t>
            </w:r>
            <w:r w:rsidRPr="00633EE3">
              <w:rPr>
                <w:rFonts w:ascii="Times New Roman" w:hAnsi="Times New Roman" w:cs="Times New Roman"/>
              </w:rPr>
              <w:br/>
              <w:t>RA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2721CA45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 xml:space="preserve">Explained variance [%] </w:t>
            </w:r>
            <w:r w:rsidRPr="00633EE3">
              <w:rPr>
                <w:rFonts w:ascii="Times New Roman" w:hAnsi="Times New Roman" w:cs="Times New Roman"/>
              </w:rPr>
              <w:br/>
              <w:t>RH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5659839E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 xml:space="preserve">Explained variance [%] </w:t>
            </w:r>
            <w:r w:rsidRPr="00633EE3">
              <w:rPr>
                <w:rFonts w:ascii="Times New Roman" w:hAnsi="Times New Roman" w:cs="Times New Roman"/>
              </w:rPr>
              <w:br/>
              <w:t>RA</w:t>
            </w:r>
          </w:p>
        </w:tc>
        <w:tc>
          <w:tcPr>
            <w:tcW w:w="1880" w:type="dxa"/>
            <w:tcBorders>
              <w:bottom w:val="single" w:sz="4" w:space="0" w:color="auto"/>
            </w:tcBorders>
          </w:tcPr>
          <w:p w14:paraId="431B3A56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 xml:space="preserve">Explained variance [%] </w:t>
            </w:r>
            <w:r w:rsidRPr="00633EE3">
              <w:rPr>
                <w:rFonts w:ascii="Times New Roman" w:hAnsi="Times New Roman" w:cs="Times New Roman"/>
              </w:rPr>
              <w:br/>
              <w:t>RH</w:t>
            </w:r>
          </w:p>
        </w:tc>
      </w:tr>
      <w:tr w:rsidR="00EB23AB" w:rsidRPr="00633EE3" w14:paraId="6D819D81" w14:textId="77777777" w:rsidTr="004D7211">
        <w:tc>
          <w:tcPr>
            <w:tcW w:w="1879" w:type="dxa"/>
            <w:tcBorders>
              <w:top w:val="single" w:sz="4" w:space="0" w:color="auto"/>
            </w:tcBorders>
          </w:tcPr>
          <w:p w14:paraId="551A70C4" w14:textId="77777777" w:rsidR="00EB23AB" w:rsidRPr="00633EE3" w:rsidRDefault="00EB23AB" w:rsidP="004D7211">
            <w:pPr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>Tillage practice</w:t>
            </w:r>
          </w:p>
        </w:tc>
        <w:tc>
          <w:tcPr>
            <w:tcW w:w="1879" w:type="dxa"/>
            <w:tcBorders>
              <w:top w:val="single" w:sz="4" w:space="0" w:color="auto"/>
            </w:tcBorders>
          </w:tcPr>
          <w:p w14:paraId="7264F6D4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 xml:space="preserve">      28.2***</w:t>
            </w:r>
          </w:p>
        </w:tc>
        <w:tc>
          <w:tcPr>
            <w:tcW w:w="1879" w:type="dxa"/>
            <w:tcBorders>
              <w:top w:val="single" w:sz="4" w:space="0" w:color="auto"/>
            </w:tcBorders>
          </w:tcPr>
          <w:p w14:paraId="265E04E0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 xml:space="preserve">      23.6***</w:t>
            </w:r>
          </w:p>
        </w:tc>
        <w:tc>
          <w:tcPr>
            <w:tcW w:w="1879" w:type="dxa"/>
            <w:tcBorders>
              <w:top w:val="single" w:sz="4" w:space="0" w:color="auto"/>
            </w:tcBorders>
          </w:tcPr>
          <w:p w14:paraId="7FEDC18A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 xml:space="preserve">       33.6***</w:t>
            </w:r>
          </w:p>
        </w:tc>
        <w:tc>
          <w:tcPr>
            <w:tcW w:w="1880" w:type="dxa"/>
            <w:tcBorders>
              <w:top w:val="single" w:sz="4" w:space="0" w:color="auto"/>
            </w:tcBorders>
          </w:tcPr>
          <w:p w14:paraId="5F26C5DD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 xml:space="preserve">    41.2***</w:t>
            </w:r>
          </w:p>
        </w:tc>
      </w:tr>
      <w:tr w:rsidR="00EB23AB" w:rsidRPr="00633EE3" w14:paraId="2DD1451F" w14:textId="77777777" w:rsidTr="004D7211">
        <w:tc>
          <w:tcPr>
            <w:tcW w:w="1879" w:type="dxa"/>
          </w:tcPr>
          <w:p w14:paraId="20843F1F" w14:textId="77777777" w:rsidR="00EB23AB" w:rsidRPr="00633EE3" w:rsidRDefault="00EB23AB" w:rsidP="004D7211">
            <w:pPr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>N-fertilization</w:t>
            </w:r>
          </w:p>
        </w:tc>
        <w:tc>
          <w:tcPr>
            <w:tcW w:w="1879" w:type="dxa"/>
          </w:tcPr>
          <w:p w14:paraId="0C76596A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 xml:space="preserve">    15.7**</w:t>
            </w:r>
          </w:p>
        </w:tc>
        <w:tc>
          <w:tcPr>
            <w:tcW w:w="1879" w:type="dxa"/>
          </w:tcPr>
          <w:p w14:paraId="3350E01F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 xml:space="preserve">      17.1***</w:t>
            </w:r>
          </w:p>
        </w:tc>
        <w:tc>
          <w:tcPr>
            <w:tcW w:w="1879" w:type="dxa"/>
          </w:tcPr>
          <w:p w14:paraId="40B2C9F9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 xml:space="preserve">       18.1***</w:t>
            </w:r>
          </w:p>
        </w:tc>
        <w:tc>
          <w:tcPr>
            <w:tcW w:w="1880" w:type="dxa"/>
          </w:tcPr>
          <w:p w14:paraId="25FB1E97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 xml:space="preserve">  13.5**</w:t>
            </w:r>
          </w:p>
        </w:tc>
      </w:tr>
      <w:tr w:rsidR="00EB23AB" w:rsidRPr="00633EE3" w14:paraId="6A7BE0C9" w14:textId="77777777" w:rsidTr="004D7211">
        <w:tc>
          <w:tcPr>
            <w:tcW w:w="1879" w:type="dxa"/>
            <w:tcBorders>
              <w:bottom w:val="single" w:sz="4" w:space="0" w:color="auto"/>
            </w:tcBorders>
          </w:tcPr>
          <w:p w14:paraId="50558DED" w14:textId="77777777" w:rsidR="00EB23AB" w:rsidRPr="00633EE3" w:rsidRDefault="00EB23AB" w:rsidP="004D7211">
            <w:pPr>
              <w:rPr>
                <w:rFonts w:ascii="Times New Roman" w:hAnsi="Times New Roman" w:cs="Times New Roman"/>
                <w:lang w:val="en-US"/>
              </w:rPr>
            </w:pPr>
            <w:r w:rsidRPr="00633EE3">
              <w:rPr>
                <w:rFonts w:ascii="Times New Roman" w:hAnsi="Times New Roman" w:cs="Times New Roman"/>
                <w:lang w:val="en-US"/>
              </w:rPr>
              <w:t>Tillage practice x N-fertilization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7D32AADD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633EE3">
              <w:rPr>
                <w:rFonts w:ascii="Times New Roman" w:hAnsi="Times New Roman" w:cs="Times New Roman"/>
              </w:rPr>
              <w:t>4.6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1BD1E476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 xml:space="preserve">      12.5***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5E36463A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 xml:space="preserve">    8.2*</w:t>
            </w:r>
          </w:p>
        </w:tc>
        <w:tc>
          <w:tcPr>
            <w:tcW w:w="1880" w:type="dxa"/>
            <w:tcBorders>
              <w:bottom w:val="single" w:sz="4" w:space="0" w:color="auto"/>
            </w:tcBorders>
          </w:tcPr>
          <w:p w14:paraId="63310439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>6.3</w:t>
            </w:r>
          </w:p>
        </w:tc>
      </w:tr>
      <w:tr w:rsidR="00EB23AB" w:rsidRPr="00633EE3" w14:paraId="25837EE9" w14:textId="77777777" w:rsidTr="004D7211">
        <w:tc>
          <w:tcPr>
            <w:tcW w:w="1879" w:type="dxa"/>
            <w:tcBorders>
              <w:top w:val="single" w:sz="4" w:space="0" w:color="auto"/>
              <w:bottom w:val="single" w:sz="4" w:space="0" w:color="auto"/>
            </w:tcBorders>
          </w:tcPr>
          <w:p w14:paraId="2D6B764F" w14:textId="77777777" w:rsidR="00EB23AB" w:rsidRPr="00633EE3" w:rsidRDefault="00EB23AB" w:rsidP="004D7211">
            <w:pPr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>Residuals</w:t>
            </w:r>
          </w:p>
        </w:tc>
        <w:tc>
          <w:tcPr>
            <w:tcW w:w="1879" w:type="dxa"/>
            <w:tcBorders>
              <w:top w:val="single" w:sz="4" w:space="0" w:color="auto"/>
              <w:bottom w:val="single" w:sz="4" w:space="0" w:color="auto"/>
            </w:tcBorders>
          </w:tcPr>
          <w:p w14:paraId="0EA66EC6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>51.5</w:t>
            </w:r>
          </w:p>
        </w:tc>
        <w:tc>
          <w:tcPr>
            <w:tcW w:w="1879" w:type="dxa"/>
            <w:tcBorders>
              <w:top w:val="single" w:sz="4" w:space="0" w:color="auto"/>
              <w:bottom w:val="single" w:sz="4" w:space="0" w:color="auto"/>
            </w:tcBorders>
          </w:tcPr>
          <w:p w14:paraId="21F44CA4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>46.8</w:t>
            </w:r>
          </w:p>
        </w:tc>
        <w:tc>
          <w:tcPr>
            <w:tcW w:w="1879" w:type="dxa"/>
            <w:tcBorders>
              <w:top w:val="single" w:sz="4" w:space="0" w:color="auto"/>
              <w:bottom w:val="single" w:sz="4" w:space="0" w:color="auto"/>
            </w:tcBorders>
          </w:tcPr>
          <w:p w14:paraId="342CF796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>40.1</w:t>
            </w:r>
          </w:p>
        </w:tc>
        <w:tc>
          <w:tcPr>
            <w:tcW w:w="1880" w:type="dxa"/>
            <w:tcBorders>
              <w:top w:val="single" w:sz="4" w:space="0" w:color="auto"/>
              <w:bottom w:val="single" w:sz="4" w:space="0" w:color="auto"/>
            </w:tcBorders>
          </w:tcPr>
          <w:p w14:paraId="3C22FE53" w14:textId="77777777" w:rsidR="00EB23AB" w:rsidRPr="00633EE3" w:rsidRDefault="00EB23AB" w:rsidP="004D7211">
            <w:pPr>
              <w:jc w:val="center"/>
              <w:rPr>
                <w:rFonts w:ascii="Times New Roman" w:hAnsi="Times New Roman" w:cs="Times New Roman"/>
              </w:rPr>
            </w:pPr>
            <w:r w:rsidRPr="00633EE3">
              <w:rPr>
                <w:rFonts w:ascii="Times New Roman" w:hAnsi="Times New Roman" w:cs="Times New Roman"/>
              </w:rPr>
              <w:t>39.1</w:t>
            </w:r>
          </w:p>
        </w:tc>
      </w:tr>
    </w:tbl>
    <w:p w14:paraId="40A8726F" w14:textId="77777777" w:rsidR="00EB23AB" w:rsidRPr="00633EE3" w:rsidRDefault="00EB23AB" w:rsidP="00EB23AB">
      <w:pPr>
        <w:rPr>
          <w:rFonts w:ascii="Times New Roman" w:hAnsi="Times New Roman" w:cs="Times New Roman"/>
          <w:lang w:val="en-GB"/>
        </w:rPr>
      </w:pPr>
    </w:p>
    <w:p w14:paraId="193AD23C" w14:textId="77777777" w:rsidR="00EB23AB" w:rsidRDefault="00EB23AB" w:rsidP="00EB23AB">
      <w:pPr>
        <w:rPr>
          <w:rFonts w:ascii="Times New Roman" w:hAnsi="Times New Roman" w:cs="Times New Roman"/>
          <w:lang w:val="en-GB"/>
        </w:rPr>
      </w:pPr>
    </w:p>
    <w:p w14:paraId="00A00D56" w14:textId="77777777" w:rsidR="00EB23AB" w:rsidRPr="00633EE3" w:rsidRDefault="00EB23AB" w:rsidP="00EB23AB">
      <w:pPr>
        <w:rPr>
          <w:rFonts w:ascii="Times New Roman" w:hAnsi="Times New Roman" w:cs="Times New Roman"/>
          <w:lang w:val="en-GB"/>
        </w:rPr>
      </w:pPr>
      <w:r w:rsidRPr="000F742A">
        <w:rPr>
          <w:rFonts w:ascii="Times New Roman" w:hAnsi="Times New Roman" w:cs="Times New Roman"/>
          <w:noProof/>
          <w:lang w:val="en-GB"/>
        </w:rPr>
        <w:lastRenderedPageBreak/>
        <w:drawing>
          <wp:inline distT="0" distB="0" distL="0" distR="0" wp14:anchorId="53256056" wp14:editId="5BED98EC">
            <wp:extent cx="5760720" cy="324040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C3EF0" w14:textId="77777777" w:rsidR="00EB23AB" w:rsidRPr="00633EE3" w:rsidRDefault="00EB23AB" w:rsidP="00EB23AB">
      <w:pPr>
        <w:spacing w:before="60" w:after="0" w:line="360" w:lineRule="auto"/>
        <w:jc w:val="both"/>
        <w:rPr>
          <w:rFonts w:ascii="Times New Roman" w:eastAsiaTheme="minorEastAsia" w:hAnsi="Times New Roman" w:cs="Times New Roman"/>
          <w:iCs/>
          <w:lang w:val="en-GB" w:eastAsia="de-DE"/>
        </w:rPr>
      </w:pPr>
      <w:r w:rsidRPr="006B034B">
        <w:rPr>
          <w:rFonts w:ascii="Times New Roman" w:eastAsiaTheme="minorEastAsia" w:hAnsi="Times New Roman" w:cs="Times New Roman"/>
          <w:b/>
          <w:bCs/>
          <w:iCs/>
          <w:lang w:val="en-GB" w:eastAsia="de-DE"/>
        </w:rPr>
        <w:t>Suppl. Fig. S1</w:t>
      </w:r>
      <w:r w:rsidRPr="00633EE3">
        <w:rPr>
          <w:rFonts w:ascii="Times New Roman" w:eastAsiaTheme="minorEastAsia" w:hAnsi="Times New Roman" w:cs="Times New Roman"/>
          <w:iCs/>
          <w:lang w:val="en-GB" w:eastAsia="de-DE"/>
        </w:rPr>
        <w:t xml:space="preserve"> Symptoms of powdery mildew caused by </w:t>
      </w:r>
      <w:r w:rsidRPr="00633EE3">
        <w:rPr>
          <w:rFonts w:ascii="Times New Roman" w:eastAsiaTheme="minorEastAsia" w:hAnsi="Times New Roman" w:cs="Times New Roman"/>
          <w:i/>
          <w:lang w:val="en-GB" w:eastAsia="de-DE"/>
        </w:rPr>
        <w:t>Blumeria graminis</w:t>
      </w:r>
      <w:r w:rsidRPr="00633EE3">
        <w:rPr>
          <w:rFonts w:ascii="Times New Roman" w:eastAsiaTheme="minorEastAsia" w:hAnsi="Times New Roman" w:cs="Times New Roman"/>
          <w:iCs/>
          <w:lang w:val="en-GB" w:eastAsia="de-DE"/>
        </w:rPr>
        <w:t xml:space="preserve"> on winter wheat (cv. Lemmy) in MP-Int plants with high N supply </w:t>
      </w:r>
      <w:r>
        <w:rPr>
          <w:rFonts w:ascii="Times New Roman" w:eastAsiaTheme="minorEastAsia" w:hAnsi="Times New Roman" w:cs="Times New Roman"/>
          <w:iCs/>
          <w:lang w:val="en-GB" w:eastAsia="de-DE"/>
        </w:rPr>
        <w:t xml:space="preserve">(A) </w:t>
      </w:r>
      <w:r w:rsidRPr="00633EE3">
        <w:rPr>
          <w:rFonts w:ascii="Times New Roman" w:eastAsiaTheme="minorEastAsia" w:hAnsi="Times New Roman" w:cs="Times New Roman"/>
          <w:iCs/>
          <w:lang w:val="en-GB" w:eastAsia="de-DE"/>
        </w:rPr>
        <w:t xml:space="preserve">compared to plants with reduced N supply (B). </w:t>
      </w:r>
    </w:p>
    <w:p w14:paraId="1777347D" w14:textId="77777777" w:rsidR="00EB23AB" w:rsidRPr="00633EE3" w:rsidRDefault="00EB23AB" w:rsidP="00EB23AB">
      <w:pPr>
        <w:rPr>
          <w:rFonts w:ascii="Times New Roman" w:hAnsi="Times New Roman" w:cs="Times New Roman"/>
          <w:lang w:val="en-GB"/>
        </w:rPr>
      </w:pPr>
    </w:p>
    <w:p w14:paraId="00AC5956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3AB"/>
    <w:rsid w:val="003C2EF4"/>
    <w:rsid w:val="00727D17"/>
    <w:rsid w:val="00B74216"/>
    <w:rsid w:val="00EB23AB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02A68"/>
  <w15:chartTrackingRefBased/>
  <w15:docId w15:val="{F0916777-48C9-4EE1-87C4-896CB9065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23AB"/>
    <w:rPr>
      <w:kern w:val="0"/>
      <w:lang w:val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23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23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23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23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23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23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23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23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23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23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23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23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23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23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23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23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23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23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23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B23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23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B23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23AB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B23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23AB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B23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23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23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23AB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EB23AB"/>
    <w:pPr>
      <w:spacing w:after="200" w:line="240" w:lineRule="auto"/>
    </w:pPr>
    <w:rPr>
      <w:i/>
      <w:iCs/>
      <w:color w:val="0E2841" w:themeColor="text2"/>
      <w:sz w:val="18"/>
      <w:szCs w:val="18"/>
      <w:lang w:val="en-US"/>
    </w:rPr>
  </w:style>
  <w:style w:type="table" w:styleId="TableGrid">
    <w:name w:val="Table Grid"/>
    <w:basedOn w:val="TableNormal"/>
    <w:uiPriority w:val="39"/>
    <w:rsid w:val="00EB23AB"/>
    <w:pPr>
      <w:suppressAutoHyphens/>
      <w:spacing w:after="0" w:line="240" w:lineRule="auto"/>
    </w:pPr>
    <w:rPr>
      <w:kern w:val="0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225</Words>
  <Characters>1286</Characters>
  <Application>Microsoft Office Word</Application>
  <DocSecurity>0</DocSecurity>
  <Lines>10</Lines>
  <Paragraphs>3</Paragraphs>
  <ScaleCrop>false</ScaleCrop>
  <Company>Springer Nature</Company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2024-07-22T15:53:00Z</dcterms:created>
  <dcterms:modified xsi:type="dcterms:W3CDTF">2024-07-22T15:53:00Z</dcterms:modified>
</cp:coreProperties>
</file>