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76" w:tblpY="1975"/>
        <w:tblOverlap w:val="never"/>
        <w:tblW w:w="92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711"/>
        <w:gridCol w:w="2421"/>
        <w:gridCol w:w="2068"/>
        <w:gridCol w:w="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Age(year)</w:t>
            </w:r>
          </w:p>
        </w:tc>
        <w:tc>
          <w:tcPr>
            <w:tcW w:w="5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Live birth per 1000 person-years (95%CI)</w:t>
            </w:r>
          </w:p>
        </w:tc>
        <w:tc>
          <w:tcPr>
            <w:tcW w:w="206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AFRR (95%CI)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Pre-bowel surgery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Post-bowel surgery</w:t>
            </w: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15 - 19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6.82 (3.70 - 12.25)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-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-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20 - 24</w:t>
            </w:r>
          </w:p>
        </w:tc>
        <w:tc>
          <w:tcPr>
            <w:tcW w:w="2711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37.85 (30.26 - 47.19)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11.90 (0.62 - 73.75)</w:t>
            </w:r>
          </w:p>
        </w:tc>
        <w:tc>
          <w:tcPr>
            <w:tcW w:w="2068" w:type="dxa"/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0.31 (0.04 - 2.26)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00.250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25 - 29</w:t>
            </w:r>
          </w:p>
        </w:tc>
        <w:tc>
          <w:tcPr>
            <w:tcW w:w="2711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101.88 (88.51 - 116.98）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62.20 (34.92 - 106.40)</w:t>
            </w:r>
          </w:p>
        </w:tc>
        <w:tc>
          <w:tcPr>
            <w:tcW w:w="2068" w:type="dxa"/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0.61 (0.35 - 1.07)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00.086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30 - 34</w:t>
            </w:r>
          </w:p>
        </w:tc>
        <w:tc>
          <w:tcPr>
            <w:tcW w:w="2711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77.21 (63.73 - 93.19)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75.47 (45.16 - 121.87)</w:t>
            </w:r>
          </w:p>
        </w:tc>
        <w:tc>
          <w:tcPr>
            <w:tcW w:w="2068" w:type="dxa"/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0.98 (0.58 - 1.66)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00.932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1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35 - 39</w:t>
            </w:r>
          </w:p>
        </w:tc>
        <w:tc>
          <w:tcPr>
            <w:tcW w:w="2711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35.41 (24.26 - 51.10)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21.83 (8.07 - 53.05)</w:t>
            </w:r>
          </w:p>
        </w:tc>
        <w:tc>
          <w:tcPr>
            <w:tcW w:w="2068" w:type="dxa"/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0.62 (0.24 - 1.59)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00.318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40 - 44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5.15 (0.89 - 20.56)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4.85 (0.25 - 30.92)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0.94 (0.09 - 10.39)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840" w:firstLineChars="40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00.961</w:t>
            </w:r>
          </w:p>
        </w:tc>
      </w:tr>
    </w:tbl>
    <w:p>
      <w:pPr>
        <w:ind w:firstLine="840" w:firstLineChars="40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Table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S2 </w:t>
      </w:r>
      <w:bookmarkStart w:id="0" w:name="_GoBack"/>
      <w:bookmarkEnd w:id="0"/>
      <w:r>
        <w:rPr>
          <w:rFonts w:hint="default" w:ascii="Times New Roman" w:hAnsi="Times New Roman" w:eastAsia="宋体" w:cs="Times New Roman"/>
          <w:lang w:val="en-US" w:eastAsia="zh-CN"/>
        </w:rPr>
        <w:t xml:space="preserve"> Age-Specific Fertility Rates Pre- and Post-bowel Surgery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10E46571"/>
    <w:rsid w:val="346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478</Characters>
  <Lines>0</Lines>
  <Paragraphs>0</Paragraphs>
  <TotalTime>3</TotalTime>
  <ScaleCrop>false</ScaleCrop>
  <LinksUpToDate>false</LinksUpToDate>
  <CharactersWithSpaces>554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2024-06-12T14:41:00Z</dcterms:created>
  <dc:creator>PENG XIANG</dc:creator>
  <cp:lastModifiedBy>s</cp:lastModifiedBy>
  <dcterms:modified xsi:type="dcterms:W3CDTF">2024-06-26T15:14:33Z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7B41D2649A8A41BB803F84E7149D460A_12</vt:lpwstr>
  </property>
</Properties>
</file>