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7" w:tblpY="2098"/>
        <w:tblOverlap w:val="never"/>
        <w:tblW w:w="9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685"/>
        <w:gridCol w:w="2511"/>
        <w:gridCol w:w="2036"/>
        <w:gridCol w:w="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years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Live birth per 1000 person-years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(95%CI)</w:t>
            </w: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FRR (95%CI)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8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Pre-disease 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Post-disease</w:t>
            </w: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6.88 (3.62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12.68)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5.78 (0.3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36.68)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6.50)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50.52 (40.06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63.43)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9.64 (4.23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20.68)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(0.09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0.41)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141.89 (121.44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165.05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)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51.72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(39.12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67.94)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(0.27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0.50)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88.41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(68.80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112.73)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67.76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(52.26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87.25)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(0.54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1.10)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38.89 (22.60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65.91)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29.07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(18.32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45.34)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(0.38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1.48)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6.90 (0.36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43.57)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4.45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(0.77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17.80)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0.65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(0.06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7.12)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0.721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S1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Age-Specific Fertility Rates Pre- and Post-Disease Onset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236927CD"/>
    <w:rsid w:val="52C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498</Characters>
  <Lines>0</Lines>
  <Paragraphs>0</Paragraphs>
  <TotalTime>1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2024-06-12T14:32:00Z</dcterms:created>
  <dc:creator>PENG XIANG</dc:creator>
  <cp:lastModifiedBy>s</cp:lastModifiedBy>
  <dcterms:modified xsi:type="dcterms:W3CDTF">2024-06-26T15:14:22Z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C55C1980419B4F4E91FABA2664B155D5_12</vt:lpwstr>
  </property>
</Properties>
</file>