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3D18F" w14:textId="67D34EF2" w:rsidR="00AC6428" w:rsidRDefault="00A65269" w:rsidP="007C1B74">
      <w:pPr>
        <w:spacing w:line="360" w:lineRule="auto"/>
        <w:rPr>
          <w:rFonts w:ascii="Times New Roman" w:hAnsi="Times New Roman" w:cs="Times New Roman"/>
          <w:b/>
          <w:bCs/>
          <w:sz w:val="24"/>
          <w:szCs w:val="24"/>
        </w:rPr>
      </w:pPr>
      <w:r w:rsidRPr="00A65269">
        <w:rPr>
          <w:rFonts w:ascii="Times New Roman" w:hAnsi="Times New Roman" w:cs="Times New Roman"/>
          <w:b/>
          <w:bCs/>
          <w:sz w:val="24"/>
          <w:szCs w:val="24"/>
        </w:rPr>
        <w:t>Supplementary Material</w:t>
      </w:r>
    </w:p>
    <w:p w14:paraId="30889B3E" w14:textId="52B3B6B9" w:rsidR="00A65269" w:rsidRDefault="009D227A" w:rsidP="007C1B74">
      <w:pPr>
        <w:spacing w:line="360" w:lineRule="auto"/>
        <w:rPr>
          <w:rFonts w:ascii="Times New Roman" w:hAnsi="Times New Roman" w:cs="Times New Roman"/>
          <w:sz w:val="24"/>
          <w:szCs w:val="24"/>
        </w:rPr>
      </w:pPr>
      <w:r w:rsidRPr="009D227A">
        <w:rPr>
          <w:rFonts w:ascii="Times New Roman" w:hAnsi="Times New Roman" w:cs="Times New Roman"/>
          <w:b/>
          <w:sz w:val="24"/>
          <w:szCs w:val="24"/>
        </w:rPr>
        <w:t>Figure S1</w:t>
      </w:r>
      <w:r w:rsidRPr="009D227A">
        <w:rPr>
          <w:rFonts w:ascii="Times New Roman" w:hAnsi="Times New Roman" w:cs="Times New Roman"/>
          <w:b/>
          <w:sz w:val="24"/>
          <w:szCs w:val="24"/>
        </w:rPr>
        <w:t xml:space="preserve">: </w:t>
      </w:r>
      <w:r w:rsidRPr="009D227A">
        <w:rPr>
          <w:rFonts w:ascii="Times New Roman" w:hAnsi="Times New Roman" w:cs="Times New Roman"/>
          <w:sz w:val="24"/>
          <w:szCs w:val="24"/>
        </w:rPr>
        <w:t>(a) Principal coordinates analysis (</w:t>
      </w:r>
      <w:proofErr w:type="spellStart"/>
      <w:r w:rsidRPr="009D227A">
        <w:rPr>
          <w:rFonts w:ascii="Times New Roman" w:hAnsi="Times New Roman" w:cs="Times New Roman"/>
          <w:sz w:val="24"/>
          <w:szCs w:val="24"/>
        </w:rPr>
        <w:t>PCoA</w:t>
      </w:r>
      <w:proofErr w:type="spellEnd"/>
      <w:r w:rsidRPr="009D227A">
        <w:rPr>
          <w:rFonts w:ascii="Times New Roman" w:hAnsi="Times New Roman" w:cs="Times New Roman"/>
          <w:sz w:val="24"/>
          <w:szCs w:val="24"/>
        </w:rPr>
        <w:t xml:space="preserve">) plot of weighted </w:t>
      </w:r>
      <w:proofErr w:type="spellStart"/>
      <w:r w:rsidRPr="009D227A">
        <w:rPr>
          <w:rFonts w:ascii="Times New Roman" w:hAnsi="Times New Roman" w:cs="Times New Roman"/>
          <w:sz w:val="24"/>
          <w:szCs w:val="24"/>
        </w:rPr>
        <w:t>UniFrac</w:t>
      </w:r>
      <w:proofErr w:type="spellEnd"/>
      <w:r w:rsidRPr="009D227A">
        <w:rPr>
          <w:rFonts w:ascii="Times New Roman" w:hAnsi="Times New Roman" w:cs="Times New Roman"/>
          <w:sz w:val="24"/>
          <w:szCs w:val="24"/>
        </w:rPr>
        <w:t xml:space="preserve"> distances based on phylum profile in Tibetan population. Each dot represented one individual. Color and size of dots indicated relative abundance of Bacteroidetes and Firmicutes. (b) Relative abundance of core genera (top) and taxonomic tree of phyla belonging to Bacteroidetes (bottom). Core, unique, and common genera were shown by different colors. (c) Distribution of Observed OTUs. (d) Tibetan samples were clustered into enterotype 1 (</w:t>
      </w:r>
      <w:proofErr w:type="spellStart"/>
      <w:r w:rsidRPr="009D227A">
        <w:rPr>
          <w:rFonts w:ascii="Times New Roman" w:hAnsi="Times New Roman" w:cs="Times New Roman"/>
          <w:sz w:val="24"/>
          <w:szCs w:val="24"/>
        </w:rPr>
        <w:t>Prevotella</w:t>
      </w:r>
      <w:proofErr w:type="spellEnd"/>
      <w:r w:rsidRPr="009D227A">
        <w:rPr>
          <w:rFonts w:ascii="Times New Roman" w:hAnsi="Times New Roman" w:cs="Times New Roman"/>
          <w:sz w:val="24"/>
          <w:szCs w:val="24"/>
        </w:rPr>
        <w:t xml:space="preserve">, blue) and enterotype 2 (Bacteroides, red) by a </w:t>
      </w:r>
      <w:proofErr w:type="spellStart"/>
      <w:r w:rsidRPr="009D227A">
        <w:rPr>
          <w:rFonts w:ascii="Times New Roman" w:hAnsi="Times New Roman" w:cs="Times New Roman"/>
          <w:sz w:val="24"/>
          <w:szCs w:val="24"/>
        </w:rPr>
        <w:t>PCoA</w:t>
      </w:r>
      <w:proofErr w:type="spellEnd"/>
      <w:r w:rsidRPr="009D227A">
        <w:rPr>
          <w:rFonts w:ascii="Times New Roman" w:hAnsi="Times New Roman" w:cs="Times New Roman"/>
          <w:sz w:val="24"/>
          <w:szCs w:val="24"/>
        </w:rPr>
        <w:t xml:space="preserve"> based on Jensen-Shannon distances at genus level.</w:t>
      </w:r>
    </w:p>
    <w:p w14:paraId="52E279B1" w14:textId="3560334C" w:rsidR="009D227A" w:rsidRPr="009D227A" w:rsidRDefault="009D227A" w:rsidP="007C1B74">
      <w:pPr>
        <w:spacing w:line="360" w:lineRule="auto"/>
        <w:rPr>
          <w:rFonts w:ascii="Times New Roman" w:hAnsi="Times New Roman" w:cs="Times New Roman"/>
          <w:sz w:val="24"/>
          <w:szCs w:val="24"/>
        </w:rPr>
      </w:pPr>
      <w:r w:rsidRPr="009D227A">
        <w:rPr>
          <w:rFonts w:ascii="Times New Roman" w:hAnsi="Times New Roman" w:cs="Times New Roman"/>
          <w:b/>
          <w:sz w:val="24"/>
          <w:szCs w:val="24"/>
        </w:rPr>
        <w:t>Figure S</w:t>
      </w:r>
      <w:r>
        <w:rPr>
          <w:rFonts w:ascii="Times New Roman" w:hAnsi="Times New Roman" w:cs="Times New Roman"/>
          <w:b/>
          <w:sz w:val="24"/>
          <w:szCs w:val="24"/>
        </w:rPr>
        <w:t>2</w:t>
      </w:r>
      <w:r w:rsidRPr="009D227A">
        <w:rPr>
          <w:rFonts w:ascii="Times New Roman" w:hAnsi="Times New Roman" w:cs="Times New Roman"/>
          <w:b/>
          <w:sz w:val="24"/>
          <w:szCs w:val="24"/>
        </w:rPr>
        <w:t>:</w:t>
      </w:r>
      <w:r>
        <w:rPr>
          <w:rFonts w:ascii="Times New Roman" w:hAnsi="Times New Roman" w:cs="Times New Roman"/>
          <w:b/>
          <w:sz w:val="24"/>
          <w:szCs w:val="24"/>
        </w:rPr>
        <w:t xml:space="preserve"> </w:t>
      </w:r>
      <w:r w:rsidRPr="009D227A">
        <w:rPr>
          <w:rFonts w:ascii="Times New Roman" w:hAnsi="Times New Roman" w:cs="Times New Roman"/>
          <w:sz w:val="24"/>
          <w:szCs w:val="24"/>
        </w:rPr>
        <w:t>3D map of the gut microbiota in five datasets</w:t>
      </w:r>
      <w:r w:rsidR="00281DC4">
        <w:rPr>
          <w:rFonts w:ascii="Times New Roman" w:hAnsi="Times New Roman" w:cs="Times New Roman"/>
          <w:sz w:val="24"/>
          <w:szCs w:val="24"/>
        </w:rPr>
        <w:t xml:space="preserve"> (LLD, n=</w:t>
      </w:r>
      <w:r w:rsidR="00281DC4" w:rsidRPr="00281DC4">
        <w:rPr>
          <w:rFonts w:ascii="Times New Roman" w:hAnsi="Times New Roman" w:cs="Times New Roman"/>
          <w:bCs/>
          <w:sz w:val="24"/>
          <w:szCs w:val="24"/>
        </w:rPr>
        <w:t>1010</w:t>
      </w:r>
      <w:r w:rsidR="00281DC4">
        <w:rPr>
          <w:rFonts w:ascii="Times New Roman" w:hAnsi="Times New Roman" w:cs="Times New Roman"/>
          <w:bCs/>
          <w:sz w:val="24"/>
          <w:szCs w:val="24"/>
        </w:rPr>
        <w:t xml:space="preserve">; </w:t>
      </w:r>
      <w:r w:rsidR="00281DC4" w:rsidRPr="00281DC4">
        <w:rPr>
          <w:rFonts w:ascii="Times New Roman" w:hAnsi="Times New Roman" w:cs="Times New Roman"/>
          <w:bCs/>
          <w:sz w:val="24"/>
          <w:szCs w:val="24"/>
        </w:rPr>
        <w:t>Zang, n=1059; AGP, n=1244; S208, n=208</w:t>
      </w:r>
      <w:r w:rsidR="00281DC4">
        <w:rPr>
          <w:rFonts w:ascii="Times New Roman" w:hAnsi="Times New Roman" w:cs="Times New Roman"/>
          <w:bCs/>
          <w:sz w:val="24"/>
          <w:szCs w:val="24"/>
        </w:rPr>
        <w:t>; S314, n=314</w:t>
      </w:r>
      <w:r w:rsidR="00281DC4">
        <w:rPr>
          <w:rFonts w:ascii="Times New Roman" w:hAnsi="Times New Roman" w:cs="Times New Roman"/>
          <w:sz w:val="24"/>
          <w:szCs w:val="24"/>
        </w:rPr>
        <w:t>)</w:t>
      </w:r>
      <w:r w:rsidRPr="009D227A">
        <w:rPr>
          <w:rFonts w:ascii="Times New Roman" w:hAnsi="Times New Roman" w:cs="Times New Roman"/>
          <w:sz w:val="24"/>
          <w:szCs w:val="24"/>
        </w:rPr>
        <w:t>.</w:t>
      </w:r>
    </w:p>
    <w:p w14:paraId="07B68F25" w14:textId="77777777" w:rsidR="00905D8E" w:rsidRPr="00905D8E" w:rsidRDefault="000F2204" w:rsidP="007C1B74">
      <w:pPr>
        <w:spacing w:line="360" w:lineRule="auto"/>
        <w:rPr>
          <w:rFonts w:ascii="Times New Roman" w:hAnsi="Times New Roman" w:cs="Times New Roman"/>
          <w:bCs/>
          <w:sz w:val="24"/>
          <w:szCs w:val="24"/>
        </w:rPr>
      </w:pPr>
      <w:r w:rsidRPr="009D227A">
        <w:rPr>
          <w:rFonts w:ascii="Times New Roman" w:hAnsi="Times New Roman" w:cs="Times New Roman"/>
          <w:b/>
          <w:sz w:val="24"/>
          <w:szCs w:val="24"/>
        </w:rPr>
        <w:t>Figure S</w:t>
      </w:r>
      <w:r>
        <w:rPr>
          <w:rFonts w:ascii="Times New Roman" w:hAnsi="Times New Roman" w:cs="Times New Roman"/>
          <w:b/>
          <w:sz w:val="24"/>
          <w:szCs w:val="24"/>
        </w:rPr>
        <w:t>3</w:t>
      </w:r>
      <w:r w:rsidRPr="009D227A">
        <w:rPr>
          <w:rFonts w:ascii="Times New Roman" w:hAnsi="Times New Roman" w:cs="Times New Roman"/>
          <w:b/>
          <w:sz w:val="24"/>
          <w:szCs w:val="24"/>
        </w:rPr>
        <w:t>:</w:t>
      </w:r>
      <w:r>
        <w:rPr>
          <w:rFonts w:ascii="Times New Roman" w:hAnsi="Times New Roman" w:cs="Times New Roman"/>
          <w:b/>
          <w:sz w:val="24"/>
          <w:szCs w:val="24"/>
        </w:rPr>
        <w:t xml:space="preserve"> </w:t>
      </w:r>
      <w:r w:rsidR="00905D8E" w:rsidRPr="00905D8E">
        <w:rPr>
          <w:rFonts w:ascii="Times New Roman" w:hAnsi="Times New Roman" w:cs="Times New Roman"/>
          <w:bCs/>
          <w:sz w:val="24"/>
          <w:szCs w:val="24"/>
        </w:rPr>
        <w:t>Factors that contributed significantly to core (a) and unique (c) genera profiles were shown. Different colors represented different categories. Combined effect sizes of 7 categories (Basic, Environment, Disease, Diets Biochemical, Sport, and Drug) based on core (b) and unique (d) genera profiles were also displayed.</w:t>
      </w:r>
    </w:p>
    <w:p w14:paraId="0EBC97AA" w14:textId="2B6D59B1" w:rsidR="00905D8E" w:rsidRDefault="00905D8E" w:rsidP="007C1B74">
      <w:pPr>
        <w:spacing w:line="360" w:lineRule="auto"/>
        <w:rPr>
          <w:rFonts w:ascii="Times New Roman" w:hAnsi="Times New Roman" w:cs="Times New Roman"/>
          <w:sz w:val="24"/>
          <w:szCs w:val="24"/>
        </w:rPr>
      </w:pPr>
      <w:r w:rsidRPr="009D227A">
        <w:rPr>
          <w:rFonts w:ascii="Times New Roman" w:hAnsi="Times New Roman" w:cs="Times New Roman"/>
          <w:b/>
          <w:sz w:val="24"/>
          <w:szCs w:val="24"/>
        </w:rPr>
        <w:t>Figure S</w:t>
      </w:r>
      <w:r>
        <w:rPr>
          <w:rFonts w:ascii="Times New Roman" w:hAnsi="Times New Roman" w:cs="Times New Roman"/>
          <w:b/>
          <w:sz w:val="24"/>
          <w:szCs w:val="24"/>
        </w:rPr>
        <w:t>4</w:t>
      </w:r>
      <w:r w:rsidRPr="009D227A">
        <w:rPr>
          <w:rFonts w:ascii="Times New Roman" w:hAnsi="Times New Roman" w:cs="Times New Roman"/>
          <w:b/>
          <w:sz w:val="24"/>
          <w:szCs w:val="24"/>
        </w:rPr>
        <w:t>:</w:t>
      </w:r>
      <w:r>
        <w:rPr>
          <w:rFonts w:ascii="Times New Roman" w:hAnsi="Times New Roman" w:cs="Times New Roman"/>
          <w:b/>
          <w:sz w:val="24"/>
          <w:szCs w:val="24"/>
        </w:rPr>
        <w:t xml:space="preserve"> </w:t>
      </w:r>
      <w:r w:rsidRPr="00905D8E">
        <w:rPr>
          <w:rFonts w:ascii="Times New Roman" w:hAnsi="Times New Roman" w:cs="Times New Roman"/>
          <w:sz w:val="24"/>
          <w:szCs w:val="24"/>
        </w:rPr>
        <w:t xml:space="preserve">(a) NMDS plot based on genera profile (stress = 0.137); each dot represented one individual and color indicated altitude. Red arrow indicated direction of relationship with altitude and the directions of top 10 genera were shown by black arrows. Significant differences across altitude were also visualized by boxplots of first and second NMDS dimensions. (b) </w:t>
      </w:r>
      <w:bookmarkStart w:id="0" w:name="OLE_LINK19"/>
      <w:bookmarkStart w:id="1" w:name="OLE_LINK1"/>
      <w:r w:rsidRPr="00905D8E">
        <w:rPr>
          <w:rFonts w:ascii="Times New Roman" w:hAnsi="Times New Roman" w:cs="Times New Roman"/>
          <w:sz w:val="24"/>
          <w:szCs w:val="24"/>
        </w:rPr>
        <w:t>Error bar showed relative abundance of 8 important genera among 38 altitude-correlated genera.</w:t>
      </w:r>
      <w:bookmarkEnd w:id="0"/>
      <w:bookmarkEnd w:id="1"/>
      <w:r w:rsidRPr="00905D8E">
        <w:rPr>
          <w:rFonts w:ascii="Times New Roman" w:hAnsi="Times New Roman" w:cs="Times New Roman"/>
          <w:sz w:val="24"/>
          <w:szCs w:val="24"/>
        </w:rPr>
        <w:t xml:space="preserve"> (c) Comparison of alpha diversity (observed OTUs, Chao1 index, Shannon index, and Simpson index) between different altitudes, P values were from Kruskal–Wallis tests.</w:t>
      </w:r>
    </w:p>
    <w:p w14:paraId="64FC842A" w14:textId="77777777" w:rsidR="00905D8E" w:rsidRPr="00905D8E" w:rsidRDefault="00905D8E" w:rsidP="007C1B74">
      <w:pPr>
        <w:spacing w:line="360" w:lineRule="auto"/>
        <w:rPr>
          <w:rFonts w:ascii="Times New Roman" w:hAnsi="Times New Roman" w:cs="Times New Roman"/>
          <w:sz w:val="24"/>
          <w:szCs w:val="24"/>
        </w:rPr>
      </w:pPr>
      <w:r w:rsidRPr="00905D8E">
        <w:rPr>
          <w:rFonts w:ascii="Times New Roman" w:hAnsi="Times New Roman" w:cs="Times New Roman"/>
          <w:b/>
          <w:sz w:val="24"/>
          <w:szCs w:val="24"/>
        </w:rPr>
        <w:t>Figure S</w:t>
      </w:r>
      <w:r>
        <w:rPr>
          <w:rFonts w:ascii="Times New Roman" w:hAnsi="Times New Roman" w:cs="Times New Roman"/>
          <w:b/>
          <w:sz w:val="24"/>
          <w:szCs w:val="24"/>
        </w:rPr>
        <w:t>5</w:t>
      </w:r>
      <w:r w:rsidRPr="00905D8E">
        <w:rPr>
          <w:rFonts w:ascii="Times New Roman" w:hAnsi="Times New Roman" w:cs="Times New Roman"/>
          <w:b/>
          <w:sz w:val="24"/>
          <w:szCs w:val="24"/>
        </w:rPr>
        <w:t>:</w:t>
      </w:r>
      <w:r>
        <w:rPr>
          <w:rFonts w:ascii="Times New Roman" w:hAnsi="Times New Roman" w:cs="Times New Roman"/>
          <w:b/>
          <w:sz w:val="24"/>
          <w:szCs w:val="24"/>
        </w:rPr>
        <w:t xml:space="preserve"> </w:t>
      </w:r>
      <w:r w:rsidRPr="00905D8E">
        <w:rPr>
          <w:rFonts w:ascii="Times New Roman" w:hAnsi="Times New Roman" w:cs="Times New Roman"/>
          <w:sz w:val="24"/>
          <w:szCs w:val="24"/>
        </w:rPr>
        <w:t xml:space="preserve">(a) Relative abundance of the genera that are significantly correlated with altitude (adjusted </w:t>
      </w:r>
      <w:r w:rsidRPr="007C1B74">
        <w:rPr>
          <w:rFonts w:ascii="Times New Roman" w:hAnsi="Times New Roman" w:cs="Times New Roman"/>
          <w:i/>
          <w:iCs/>
          <w:sz w:val="24"/>
          <w:szCs w:val="24"/>
        </w:rPr>
        <w:t>P</w:t>
      </w:r>
      <w:r w:rsidRPr="00905D8E">
        <w:rPr>
          <w:rFonts w:ascii="Times New Roman" w:hAnsi="Times New Roman" w:cs="Times New Roman"/>
          <w:sz w:val="24"/>
          <w:szCs w:val="24"/>
        </w:rPr>
        <w:t xml:space="preserve"> &lt;0.05) by Spearman’s correlation analysis. (b) Relative abundances of the 38 genera significantly correlated with altitude by </w:t>
      </w:r>
      <w:proofErr w:type="spellStart"/>
      <w:r w:rsidRPr="00905D8E">
        <w:rPr>
          <w:rFonts w:ascii="Times New Roman" w:hAnsi="Times New Roman" w:cs="Times New Roman"/>
          <w:sz w:val="24"/>
          <w:szCs w:val="24"/>
        </w:rPr>
        <w:t>MaAsLin</w:t>
      </w:r>
      <w:proofErr w:type="spellEnd"/>
      <w:r w:rsidRPr="00905D8E">
        <w:rPr>
          <w:rFonts w:ascii="Times New Roman" w:hAnsi="Times New Roman" w:cs="Times New Roman"/>
          <w:sz w:val="24"/>
          <w:szCs w:val="24"/>
        </w:rPr>
        <w:t>; the relative abundance of each genus was acquired from random sampling and transformed into a Z score.</w:t>
      </w:r>
    </w:p>
    <w:p w14:paraId="6E79ABE3" w14:textId="19D38331" w:rsidR="007C1B74" w:rsidRPr="007C1B74" w:rsidRDefault="00905D8E" w:rsidP="007C1B74">
      <w:pPr>
        <w:spacing w:line="360" w:lineRule="auto"/>
        <w:rPr>
          <w:rFonts w:ascii="Times New Roman" w:hAnsi="Times New Roman" w:cs="Times New Roman"/>
          <w:bCs/>
          <w:sz w:val="24"/>
          <w:szCs w:val="24"/>
        </w:rPr>
      </w:pPr>
      <w:r w:rsidRPr="00905D8E">
        <w:rPr>
          <w:rFonts w:ascii="Times New Roman" w:hAnsi="Times New Roman" w:cs="Times New Roman"/>
          <w:b/>
          <w:sz w:val="24"/>
          <w:szCs w:val="24"/>
        </w:rPr>
        <w:t>Figure</w:t>
      </w:r>
      <w:r w:rsidR="007C1B74">
        <w:rPr>
          <w:rFonts w:ascii="Times New Roman" w:hAnsi="Times New Roman" w:cs="Times New Roman"/>
          <w:b/>
          <w:sz w:val="24"/>
          <w:szCs w:val="24"/>
        </w:rPr>
        <w:t xml:space="preserve"> </w:t>
      </w:r>
      <w:r w:rsidRPr="00905D8E">
        <w:rPr>
          <w:rFonts w:ascii="Times New Roman" w:hAnsi="Times New Roman" w:cs="Times New Roman"/>
          <w:b/>
          <w:sz w:val="24"/>
          <w:szCs w:val="24"/>
        </w:rPr>
        <w:t>S</w:t>
      </w:r>
      <w:r>
        <w:rPr>
          <w:rFonts w:ascii="Times New Roman" w:hAnsi="Times New Roman" w:cs="Times New Roman"/>
          <w:b/>
          <w:sz w:val="24"/>
          <w:szCs w:val="24"/>
        </w:rPr>
        <w:t>6</w:t>
      </w:r>
      <w:r w:rsidRPr="00905D8E">
        <w:rPr>
          <w:rFonts w:ascii="Times New Roman" w:hAnsi="Times New Roman" w:cs="Times New Roman"/>
          <w:b/>
          <w:sz w:val="24"/>
          <w:szCs w:val="24"/>
        </w:rPr>
        <w:t>:</w:t>
      </w:r>
      <w:r w:rsidR="007C1B74">
        <w:rPr>
          <w:rFonts w:ascii="Times New Roman" w:hAnsi="Times New Roman" w:cs="Times New Roman"/>
          <w:b/>
          <w:sz w:val="24"/>
          <w:szCs w:val="24"/>
        </w:rPr>
        <w:t xml:space="preserve"> </w:t>
      </w:r>
      <w:r w:rsidR="007C1B74" w:rsidRPr="007C1B74">
        <w:rPr>
          <w:rFonts w:ascii="Times New Roman" w:hAnsi="Times New Roman" w:cs="Times New Roman"/>
          <w:bCs/>
          <w:sz w:val="24"/>
          <w:szCs w:val="24"/>
        </w:rPr>
        <w:t>Relative abundance of 7 predicted KEGG pathways which were significantly correlated with immigration generations from plain to plateau (</w:t>
      </w:r>
      <w:proofErr w:type="spellStart"/>
      <w:r w:rsidR="007C1B74" w:rsidRPr="007C1B74">
        <w:rPr>
          <w:rFonts w:ascii="Times New Roman" w:hAnsi="Times New Roman" w:cs="Times New Roman"/>
          <w:bCs/>
          <w:sz w:val="24"/>
          <w:szCs w:val="24"/>
        </w:rPr>
        <w:t>Maaslin</w:t>
      </w:r>
      <w:proofErr w:type="spellEnd"/>
      <w:r w:rsidR="007C1B74" w:rsidRPr="007C1B74">
        <w:rPr>
          <w:rFonts w:ascii="Times New Roman" w:hAnsi="Times New Roman" w:cs="Times New Roman" w:hint="eastAsia"/>
          <w:bCs/>
          <w:sz w:val="24"/>
          <w:szCs w:val="24"/>
        </w:rPr>
        <w:t xml:space="preserve"> </w:t>
      </w:r>
      <w:r w:rsidR="007C1B74" w:rsidRPr="007C1B74">
        <w:rPr>
          <w:rFonts w:ascii="Times New Roman" w:hAnsi="Times New Roman" w:cs="Times New Roman"/>
          <w:bCs/>
          <w:sz w:val="24"/>
          <w:szCs w:val="24"/>
        </w:rPr>
        <w:t xml:space="preserve">q </w:t>
      </w:r>
      <w:r w:rsidR="007C1B74" w:rsidRPr="007C1B74">
        <w:rPr>
          <w:rFonts w:ascii="Times New Roman" w:hAnsi="Times New Roman" w:cs="Times New Roman"/>
          <w:bCs/>
          <w:sz w:val="24"/>
          <w:szCs w:val="24"/>
        </w:rPr>
        <w:lastRenderedPageBreak/>
        <w:t>value &lt; 0.1) and were not presented in Figure4.</w:t>
      </w:r>
    </w:p>
    <w:p w14:paraId="7B000CD9" w14:textId="72674852" w:rsidR="007C1B74" w:rsidRPr="007C1B74" w:rsidRDefault="007C1B74" w:rsidP="007C1B74">
      <w:pPr>
        <w:spacing w:line="360" w:lineRule="auto"/>
        <w:rPr>
          <w:rFonts w:ascii="Times New Roman" w:hAnsi="Times New Roman" w:cs="Times New Roman"/>
          <w:bCs/>
          <w:sz w:val="24"/>
          <w:szCs w:val="24"/>
        </w:rPr>
      </w:pPr>
      <w:r w:rsidRPr="00905D8E">
        <w:rPr>
          <w:rFonts w:ascii="Times New Roman" w:hAnsi="Times New Roman" w:cs="Times New Roman"/>
          <w:b/>
          <w:sz w:val="24"/>
          <w:szCs w:val="24"/>
        </w:rPr>
        <w:t>Figure S</w:t>
      </w:r>
      <w:r>
        <w:rPr>
          <w:rFonts w:ascii="Times New Roman" w:hAnsi="Times New Roman" w:cs="Times New Roman"/>
          <w:b/>
          <w:sz w:val="24"/>
          <w:szCs w:val="24"/>
        </w:rPr>
        <w:t>7</w:t>
      </w:r>
      <w:r w:rsidRPr="00905D8E">
        <w:rPr>
          <w:rFonts w:ascii="Times New Roman" w:hAnsi="Times New Roman" w:cs="Times New Roman"/>
          <w:b/>
          <w:sz w:val="24"/>
          <w:szCs w:val="24"/>
        </w:rPr>
        <w:t>:</w:t>
      </w:r>
      <w:r>
        <w:rPr>
          <w:rFonts w:ascii="Times New Roman" w:hAnsi="Times New Roman" w:cs="Times New Roman"/>
          <w:b/>
          <w:sz w:val="24"/>
          <w:szCs w:val="24"/>
        </w:rPr>
        <w:t xml:space="preserve"> </w:t>
      </w:r>
      <w:r w:rsidRPr="007C1B74">
        <w:rPr>
          <w:rFonts w:ascii="Times New Roman" w:hAnsi="Times New Roman" w:cs="Times New Roman"/>
          <w:bCs/>
          <w:sz w:val="24"/>
          <w:szCs w:val="24"/>
        </w:rPr>
        <w:t>Microbiome phenotype</w:t>
      </w:r>
      <w:r w:rsidRPr="007C1B74">
        <w:rPr>
          <w:rFonts w:ascii="Times New Roman" w:hAnsi="Times New Roman" w:cs="Times New Roman" w:hint="eastAsia"/>
          <w:bCs/>
          <w:sz w:val="24"/>
          <w:szCs w:val="24"/>
        </w:rPr>
        <w:t>s</w:t>
      </w:r>
      <w:r w:rsidRPr="007C1B74">
        <w:rPr>
          <w:rFonts w:ascii="Times New Roman" w:hAnsi="Times New Roman" w:cs="Times New Roman"/>
          <w:bCs/>
          <w:sz w:val="24"/>
          <w:szCs w:val="24"/>
        </w:rPr>
        <w:t xml:space="preserve"> correlated with the year of migration from plateau to plain</w:t>
      </w:r>
      <w:r>
        <w:rPr>
          <w:rFonts w:ascii="Times New Roman" w:hAnsi="Times New Roman" w:cs="Times New Roman"/>
          <w:bCs/>
          <w:sz w:val="24"/>
          <w:szCs w:val="24"/>
        </w:rPr>
        <w:t xml:space="preserve"> </w:t>
      </w:r>
      <w:r w:rsidRPr="007C1B74">
        <w:rPr>
          <w:rFonts w:ascii="Times New Roman" w:hAnsi="Times New Roman" w:cs="Times New Roman"/>
          <w:bCs/>
          <w:sz w:val="24"/>
          <w:szCs w:val="24"/>
        </w:rPr>
        <w:t>(Spearman’s correlation).</w:t>
      </w:r>
    </w:p>
    <w:p w14:paraId="1D45D534" w14:textId="0A02E766" w:rsidR="007C1B74" w:rsidRPr="007C1B74" w:rsidRDefault="007C1B74" w:rsidP="007C1B74">
      <w:pPr>
        <w:spacing w:line="360" w:lineRule="auto"/>
        <w:rPr>
          <w:rFonts w:ascii="Times New Roman" w:hAnsi="Times New Roman" w:cs="Times New Roman"/>
          <w:bCs/>
          <w:sz w:val="24"/>
          <w:szCs w:val="24"/>
        </w:rPr>
      </w:pPr>
      <w:r w:rsidRPr="00905D8E">
        <w:rPr>
          <w:rFonts w:ascii="Times New Roman" w:hAnsi="Times New Roman" w:cs="Times New Roman"/>
          <w:b/>
          <w:sz w:val="24"/>
          <w:szCs w:val="24"/>
        </w:rPr>
        <w:t>Figure S</w:t>
      </w:r>
      <w:r>
        <w:rPr>
          <w:rFonts w:ascii="Times New Roman" w:hAnsi="Times New Roman" w:cs="Times New Roman"/>
          <w:b/>
          <w:sz w:val="24"/>
          <w:szCs w:val="24"/>
        </w:rPr>
        <w:t>8</w:t>
      </w:r>
      <w:r w:rsidRPr="00905D8E">
        <w:rPr>
          <w:rFonts w:ascii="Times New Roman" w:hAnsi="Times New Roman" w:cs="Times New Roman"/>
          <w:b/>
          <w:sz w:val="24"/>
          <w:szCs w:val="24"/>
        </w:rPr>
        <w:t>:</w:t>
      </w:r>
      <w:r>
        <w:rPr>
          <w:rFonts w:ascii="Times New Roman" w:hAnsi="Times New Roman" w:cs="Times New Roman"/>
          <w:b/>
          <w:sz w:val="24"/>
          <w:szCs w:val="24"/>
        </w:rPr>
        <w:t xml:space="preserve"> </w:t>
      </w:r>
      <w:r w:rsidRPr="007C1B74">
        <w:rPr>
          <w:rFonts w:ascii="Times New Roman" w:hAnsi="Times New Roman" w:cs="Times New Roman"/>
          <w:bCs/>
          <w:sz w:val="24"/>
          <w:szCs w:val="24"/>
        </w:rPr>
        <w:t>Microbiome phenotype</w:t>
      </w:r>
      <w:r w:rsidRPr="007C1B74">
        <w:rPr>
          <w:rFonts w:ascii="Times New Roman" w:hAnsi="Times New Roman" w:cs="Times New Roman" w:hint="eastAsia"/>
          <w:bCs/>
          <w:sz w:val="24"/>
          <w:szCs w:val="24"/>
        </w:rPr>
        <w:t>s</w:t>
      </w:r>
      <w:r w:rsidRPr="007C1B74">
        <w:rPr>
          <w:rFonts w:ascii="Times New Roman" w:hAnsi="Times New Roman" w:cs="Times New Roman"/>
          <w:bCs/>
          <w:sz w:val="24"/>
          <w:szCs w:val="24"/>
        </w:rPr>
        <w:t xml:space="preserve"> correlated with the immigration generations from plain to plateau</w:t>
      </w:r>
      <w:r>
        <w:rPr>
          <w:rFonts w:ascii="Times New Roman" w:hAnsi="Times New Roman" w:cs="Times New Roman"/>
          <w:bCs/>
          <w:sz w:val="24"/>
          <w:szCs w:val="24"/>
        </w:rPr>
        <w:t xml:space="preserve"> </w:t>
      </w:r>
      <w:r w:rsidRPr="007C1B74">
        <w:rPr>
          <w:rFonts w:ascii="Times New Roman" w:hAnsi="Times New Roman" w:cs="Times New Roman"/>
          <w:bCs/>
          <w:sz w:val="24"/>
          <w:szCs w:val="24"/>
        </w:rPr>
        <w:t>(Kendall’s correlation).</w:t>
      </w:r>
    </w:p>
    <w:p w14:paraId="64997F76" w14:textId="77777777" w:rsidR="007C1B74" w:rsidRPr="007C1B74" w:rsidRDefault="007C1B74" w:rsidP="007C1B74">
      <w:pPr>
        <w:spacing w:line="360" w:lineRule="auto"/>
        <w:rPr>
          <w:rFonts w:ascii="Times New Roman" w:hAnsi="Times New Roman" w:cs="Times New Roman"/>
          <w:sz w:val="24"/>
          <w:szCs w:val="24"/>
        </w:rPr>
      </w:pPr>
      <w:r w:rsidRPr="007C1B74">
        <w:rPr>
          <w:rFonts w:ascii="Times New Roman" w:hAnsi="Times New Roman" w:cs="Times New Roman"/>
          <w:b/>
          <w:bCs/>
          <w:sz w:val="24"/>
          <w:szCs w:val="24"/>
        </w:rPr>
        <w:t>Figure S</w:t>
      </w:r>
      <w:r>
        <w:rPr>
          <w:rFonts w:ascii="Times New Roman" w:hAnsi="Times New Roman" w:cs="Times New Roman"/>
          <w:b/>
          <w:bCs/>
          <w:sz w:val="24"/>
          <w:szCs w:val="24"/>
        </w:rPr>
        <w:t>9</w:t>
      </w:r>
      <w:r w:rsidRPr="007C1B74">
        <w:rPr>
          <w:rFonts w:ascii="Times New Roman" w:hAnsi="Times New Roman" w:cs="Times New Roman"/>
          <w:b/>
          <w:bCs/>
          <w:sz w:val="24"/>
          <w:szCs w:val="24"/>
        </w:rPr>
        <w:t>:</w:t>
      </w:r>
      <w:r w:rsidRPr="007C1B74">
        <w:rPr>
          <w:rFonts w:ascii="Times New Roman" w:hAnsi="Times New Roman" w:cs="Times New Roman"/>
          <w:sz w:val="24"/>
          <w:szCs w:val="24"/>
        </w:rPr>
        <w:t xml:space="preserve"> </w:t>
      </w:r>
      <w:r w:rsidRPr="007C1B74">
        <w:rPr>
          <w:rFonts w:ascii="Times New Roman" w:hAnsi="Times New Roman" w:cs="Times New Roman"/>
          <w:sz w:val="24"/>
          <w:szCs w:val="24"/>
        </w:rPr>
        <w:t xml:space="preserve">(a) </w:t>
      </w:r>
      <w:proofErr w:type="spellStart"/>
      <w:r w:rsidRPr="007C1B74">
        <w:rPr>
          <w:rFonts w:ascii="Times New Roman" w:hAnsi="Times New Roman" w:cs="Times New Roman"/>
          <w:sz w:val="24"/>
          <w:szCs w:val="24"/>
        </w:rPr>
        <w:t>PCoA</w:t>
      </w:r>
      <w:proofErr w:type="spellEnd"/>
      <w:r w:rsidRPr="007C1B74">
        <w:rPr>
          <w:rFonts w:ascii="Times New Roman" w:hAnsi="Times New Roman" w:cs="Times New Roman"/>
          <w:sz w:val="24"/>
          <w:szCs w:val="24"/>
        </w:rPr>
        <w:t xml:space="preserve"> plots based on Bray-Curtis dissimilarity at the genus level for the AGP dataset. (b) </w:t>
      </w:r>
      <w:proofErr w:type="spellStart"/>
      <w:r w:rsidRPr="007C1B74">
        <w:rPr>
          <w:rFonts w:ascii="Times New Roman" w:hAnsi="Times New Roman" w:cs="Times New Roman"/>
          <w:sz w:val="24"/>
          <w:szCs w:val="24"/>
        </w:rPr>
        <w:t>PCoA</w:t>
      </w:r>
      <w:proofErr w:type="spellEnd"/>
      <w:r w:rsidRPr="007C1B74">
        <w:rPr>
          <w:rFonts w:ascii="Times New Roman" w:hAnsi="Times New Roman" w:cs="Times New Roman"/>
          <w:sz w:val="24"/>
          <w:szCs w:val="24"/>
        </w:rPr>
        <w:t xml:space="preserve"> plots based on Bray-Curtis dissimilarity at the genus level for S208. (c) All samples from the S208 dataset are clustered into enterotype 1 (</w:t>
      </w:r>
      <w:proofErr w:type="spellStart"/>
      <w:r w:rsidRPr="007C1B74">
        <w:rPr>
          <w:rFonts w:ascii="Times New Roman" w:hAnsi="Times New Roman" w:cs="Times New Roman"/>
          <w:sz w:val="24"/>
          <w:szCs w:val="24"/>
        </w:rPr>
        <w:t>Prevotella</w:t>
      </w:r>
      <w:proofErr w:type="spellEnd"/>
      <w:r w:rsidRPr="007C1B74">
        <w:rPr>
          <w:rFonts w:ascii="Times New Roman" w:hAnsi="Times New Roman" w:cs="Times New Roman"/>
          <w:sz w:val="24"/>
          <w:szCs w:val="24"/>
        </w:rPr>
        <w:t xml:space="preserve">, blue) and enterotype 2 (Bacteroides, red) by a </w:t>
      </w:r>
      <w:proofErr w:type="spellStart"/>
      <w:r w:rsidRPr="007C1B74">
        <w:rPr>
          <w:rFonts w:ascii="Times New Roman" w:hAnsi="Times New Roman" w:cs="Times New Roman"/>
          <w:sz w:val="24"/>
          <w:szCs w:val="24"/>
        </w:rPr>
        <w:t>PCoA</w:t>
      </w:r>
      <w:proofErr w:type="spellEnd"/>
      <w:r w:rsidRPr="007C1B74">
        <w:rPr>
          <w:rFonts w:ascii="Times New Roman" w:hAnsi="Times New Roman" w:cs="Times New Roman"/>
          <w:sz w:val="24"/>
          <w:szCs w:val="24"/>
        </w:rPr>
        <w:t xml:space="preserve"> based on the Jensen-Shannon distance. (d) Taxonomic tree of the phyla of Bacteroidetes (top) and Firmicutes (bottom) from the S208 dataset; the core, unique, and common genera are shown in different colors.</w:t>
      </w:r>
    </w:p>
    <w:p w14:paraId="4C53BA65" w14:textId="77777777" w:rsidR="007C1B74" w:rsidRPr="007C1B74" w:rsidRDefault="007C1B74" w:rsidP="007C1B74">
      <w:pPr>
        <w:spacing w:line="360" w:lineRule="auto"/>
        <w:rPr>
          <w:rFonts w:ascii="Times New Roman" w:hAnsi="Times New Roman" w:cs="Times New Roman"/>
          <w:bCs/>
          <w:sz w:val="24"/>
          <w:szCs w:val="24"/>
        </w:rPr>
      </w:pPr>
      <w:r w:rsidRPr="007C1B74">
        <w:rPr>
          <w:rFonts w:ascii="Times New Roman" w:hAnsi="Times New Roman" w:cs="Times New Roman"/>
          <w:b/>
          <w:sz w:val="24"/>
          <w:szCs w:val="24"/>
        </w:rPr>
        <w:t>Table S1:</w:t>
      </w:r>
      <w:r w:rsidRPr="007C1B74">
        <w:rPr>
          <w:rFonts w:ascii="Times New Roman" w:hAnsi="Times New Roman" w:cs="Times New Roman"/>
          <w:bCs/>
          <w:sz w:val="24"/>
          <w:szCs w:val="24"/>
        </w:rPr>
        <w:t xml:space="preserve"> Metadata variables for the participants. </w:t>
      </w:r>
    </w:p>
    <w:p w14:paraId="43229DE4" w14:textId="77777777" w:rsidR="007C1B74" w:rsidRPr="007C1B74" w:rsidRDefault="007C1B74" w:rsidP="007C1B74">
      <w:pPr>
        <w:spacing w:line="360" w:lineRule="auto"/>
        <w:rPr>
          <w:rFonts w:ascii="Times New Roman" w:hAnsi="Times New Roman" w:cs="Times New Roman"/>
          <w:bCs/>
          <w:sz w:val="24"/>
          <w:szCs w:val="24"/>
        </w:rPr>
      </w:pPr>
      <w:r w:rsidRPr="007C1B74">
        <w:rPr>
          <w:rFonts w:ascii="Times New Roman" w:hAnsi="Times New Roman" w:cs="Times New Roman"/>
          <w:b/>
          <w:sz w:val="24"/>
          <w:szCs w:val="24"/>
        </w:rPr>
        <w:t>Table S2:</w:t>
      </w:r>
      <w:r w:rsidRPr="007C1B74">
        <w:rPr>
          <w:rFonts w:ascii="Times New Roman" w:hAnsi="Times New Roman" w:cs="Times New Roman"/>
          <w:bCs/>
          <w:sz w:val="24"/>
          <w:szCs w:val="24"/>
        </w:rPr>
        <w:t xml:space="preserve"> Overview of the factors that are significantly correlated with the microbial community.</w:t>
      </w:r>
    </w:p>
    <w:p w14:paraId="1D16AD20" w14:textId="6FBBB944" w:rsidR="00905D8E" w:rsidRPr="007C1B74" w:rsidRDefault="00905D8E" w:rsidP="00905D8E">
      <w:pPr>
        <w:rPr>
          <w:rFonts w:ascii="Times New Roman" w:hAnsi="Times New Roman" w:cs="Times New Roman"/>
          <w:bCs/>
          <w:sz w:val="24"/>
          <w:szCs w:val="24"/>
        </w:rPr>
      </w:pPr>
    </w:p>
    <w:p w14:paraId="5375B039" w14:textId="7413181E" w:rsidR="009D227A" w:rsidRPr="007C1B74" w:rsidRDefault="009D227A">
      <w:pPr>
        <w:rPr>
          <w:rFonts w:ascii="Times New Roman" w:hAnsi="Times New Roman" w:cs="Times New Roman"/>
          <w:sz w:val="24"/>
          <w:szCs w:val="24"/>
        </w:rPr>
      </w:pPr>
    </w:p>
    <w:sectPr w:rsidR="009D227A" w:rsidRPr="007C1B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91116" w14:textId="77777777" w:rsidR="00BF4FA7" w:rsidRDefault="00BF4FA7" w:rsidP="00A65269">
      <w:r>
        <w:separator/>
      </w:r>
    </w:p>
  </w:endnote>
  <w:endnote w:type="continuationSeparator" w:id="0">
    <w:p w14:paraId="74F009B1" w14:textId="77777777" w:rsidR="00BF4FA7" w:rsidRDefault="00BF4FA7" w:rsidP="00A6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A4259" w14:textId="77777777" w:rsidR="00BF4FA7" w:rsidRDefault="00BF4FA7" w:rsidP="00A65269">
      <w:r>
        <w:separator/>
      </w:r>
    </w:p>
  </w:footnote>
  <w:footnote w:type="continuationSeparator" w:id="0">
    <w:p w14:paraId="06ED5BF5" w14:textId="77777777" w:rsidR="00BF4FA7" w:rsidRDefault="00BF4FA7" w:rsidP="00A652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BB"/>
    <w:rsid w:val="000F2204"/>
    <w:rsid w:val="00281DC4"/>
    <w:rsid w:val="007C1B74"/>
    <w:rsid w:val="00905D8E"/>
    <w:rsid w:val="009D227A"/>
    <w:rsid w:val="00A65269"/>
    <w:rsid w:val="00AC6428"/>
    <w:rsid w:val="00BF4FA7"/>
    <w:rsid w:val="00CA0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EF705"/>
  <w15:chartTrackingRefBased/>
  <w15:docId w15:val="{93A545D2-A1DD-4A51-9F3C-38F8DF7A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52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65269"/>
    <w:rPr>
      <w:sz w:val="18"/>
      <w:szCs w:val="18"/>
    </w:rPr>
  </w:style>
  <w:style w:type="paragraph" w:styleId="a5">
    <w:name w:val="footer"/>
    <w:basedOn w:val="a"/>
    <w:link w:val="a6"/>
    <w:uiPriority w:val="99"/>
    <w:unhideWhenUsed/>
    <w:rsid w:val="00A65269"/>
    <w:pPr>
      <w:tabs>
        <w:tab w:val="center" w:pos="4153"/>
        <w:tab w:val="right" w:pos="8306"/>
      </w:tabs>
      <w:snapToGrid w:val="0"/>
      <w:jc w:val="left"/>
    </w:pPr>
    <w:rPr>
      <w:sz w:val="18"/>
      <w:szCs w:val="18"/>
    </w:rPr>
  </w:style>
  <w:style w:type="character" w:customStyle="1" w:styleId="a6">
    <w:name w:val="页脚 字符"/>
    <w:basedOn w:val="a0"/>
    <w:link w:val="a5"/>
    <w:uiPriority w:val="99"/>
    <w:rsid w:val="00A652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2020-12-10T13:50:00Z</dcterms:created>
  <dcterms:modified xsi:type="dcterms:W3CDTF">2020-12-10T14:18:00Z</dcterms:modified>
</cp:coreProperties>
</file>