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319" w:rsidRDefault="006C1319" w:rsidP="006C1319">
      <w:pPr>
        <w:pStyle w:val="MDPI41tablecaption"/>
        <w:jc w:val="center"/>
        <w:rPr>
          <w:rFonts w:ascii="Times New Roman" w:eastAsia="SimSun" w:hAnsi="Times New Roman"/>
          <w:sz w:val="20"/>
          <w:szCs w:val="20"/>
          <w:lang w:eastAsia="zh-CN"/>
        </w:rPr>
      </w:pPr>
      <w:r>
        <w:rPr>
          <w:rFonts w:ascii="Times New Roman" w:hAnsi="Times New Roman"/>
          <w:b/>
          <w:sz w:val="20"/>
          <w:szCs w:val="20"/>
        </w:rPr>
        <w:t xml:space="preserve">Table </w:t>
      </w:r>
      <w:r>
        <w:rPr>
          <w:rFonts w:ascii="Times New Roman" w:eastAsia="SimSun" w:hAnsi="Times New Roman" w:hint="eastAsia"/>
          <w:b/>
          <w:sz w:val="20"/>
          <w:szCs w:val="20"/>
          <w:lang w:eastAsia="zh-CN"/>
        </w:rPr>
        <w:t>A.</w:t>
      </w:r>
      <w:r>
        <w:rPr>
          <w:rFonts w:ascii="Times New Roman" w:hAnsi="Times New Roman"/>
          <w:b/>
          <w:sz w:val="20"/>
          <w:szCs w:val="20"/>
        </w:rPr>
        <w:t>1.</w:t>
      </w:r>
      <w:r>
        <w:rPr>
          <w:rFonts w:ascii="Times New Roman" w:hAnsi="Times New Roman"/>
          <w:sz w:val="20"/>
          <w:szCs w:val="20"/>
        </w:rPr>
        <w:t xml:space="preserve"> Baseline characteristics of patients with ductal carcinoma in situ after propensity score matching analysis</w:t>
      </w:r>
    </w:p>
    <w:tbl>
      <w:tblPr>
        <w:tblW w:w="5000" w:type="pct"/>
        <w:tblInd w:w="13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5"/>
        <w:gridCol w:w="2312"/>
        <w:gridCol w:w="3137"/>
        <w:gridCol w:w="736"/>
      </w:tblGrid>
      <w:tr w:rsidR="006C1319" w:rsidTr="00712A9B">
        <w:trPr>
          <w:trHeight w:val="28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A.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Baseline characteristics of patients with ductal carcinoma in situ after propensity score matching analysis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 (%)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Value</w:t>
            </w:r>
          </w:p>
        </w:tc>
        <w:tc>
          <w:tcPr>
            <w:tcW w:w="1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Lumpectomy alone</w:t>
            </w: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Lumpectomy plus radiotherapy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SMD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Patients</w:t>
            </w:r>
          </w:p>
        </w:tc>
        <w:tc>
          <w:tcPr>
            <w:tcW w:w="123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36,688</w:t>
            </w: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36,688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Age at diagnosis, y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&lt;40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817 (2.2)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850 (2.3)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40-54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11,747 (32.0)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11,726 (32.0)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55-69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14,020 (38.2)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14,081 (38.4)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70+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10,104 (27.5)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10,031 (27.3)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Race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Black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3,710 (10.1)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3,830 (10.4)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Other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3,742 (10.2)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3,645 (9.9)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Unknown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297 (0.8)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311 (0.8)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White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28,939 (78.9)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28,902 (78.8)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Year of diagnosis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1998-2004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12,883 (35.1)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12,718 (34.7)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2005-2009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10,461 (28.5)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10,604 (28.9)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2010-2015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13,344 (36.4)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13,366 (36.4)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Laterality = right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17,887 (48.8)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17,929 (48.9)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Grade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I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5,813 (15.8)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5,912 (16.1)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II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14,494 (39.5)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14,243 (38.8)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III or IV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10,024 (27.3)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10,136 (27.6)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Unknown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6,357 (17.3)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6,397 (17.4)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Estrogen receptor status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Negative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2,318 (6.3)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2,360 (6.4)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Positive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19,930 (54.3)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20,023 (54.6)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Unknown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14,440 (39.4)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14,305 (39.0)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Progesterone receptor status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Negative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3,886 (10.6)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3,933 (10.7)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Positive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16,780 (45.7)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16,879 (46.0)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Unknown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16,022 (43.7)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15,876 (43.3)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Tumor size, cm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&lt;2.0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21,230 (57.9)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20,901 (57.0)</w:t>
            </w:r>
          </w:p>
        </w:tc>
        <w:tc>
          <w:tcPr>
            <w:tcW w:w="391" w:type="pct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0.027</w:t>
            </w: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2.0-4.9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4,354 (11.9)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4,261 (11.6)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≥5.0</w:t>
            </w:r>
          </w:p>
        </w:tc>
        <w:tc>
          <w:tcPr>
            <w:tcW w:w="1235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1,015 (2.8)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995 (2.7)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169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Unknown</w:t>
            </w:r>
          </w:p>
        </w:tc>
        <w:tc>
          <w:tcPr>
            <w:tcW w:w="123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10,089 (27.5)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10,531 (28.7)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1319" w:rsidRDefault="006C1319" w:rsidP="00712A9B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1319" w:rsidTr="00712A9B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C1319" w:rsidRDefault="006C1319" w:rsidP="00712A9B">
            <w:pPr>
              <w:ind w:firstLineChars="100" w:firstLine="20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萍方0" w:hAnsi="Times New Roman"/>
                <w:b/>
                <w:bCs/>
                <w:sz w:val="20"/>
                <w:szCs w:val="20"/>
              </w:rPr>
              <w:t>Abbreviations: </w:t>
            </w:r>
            <w:r>
              <w:rPr>
                <w:rFonts w:ascii="Times New Roman" w:eastAsia="萍方0" w:hAnsi="Times New Roman"/>
                <w:sz w:val="20"/>
                <w:szCs w:val="20"/>
              </w:rPr>
              <w:t xml:space="preserve">SMD, </w:t>
            </w:r>
            <w:r>
              <w:rPr>
                <w:rFonts w:ascii="Times New Roman" w:hAnsi="Times New Roman"/>
                <w:sz w:val="20"/>
                <w:szCs w:val="20"/>
              </w:rPr>
              <w:t>standardized mean difference</w:t>
            </w:r>
          </w:p>
        </w:tc>
      </w:tr>
    </w:tbl>
    <w:p w:rsidR="006C1319" w:rsidRDefault="006C1319" w:rsidP="006C1319">
      <w:pPr>
        <w:jc w:val="left"/>
        <w:rPr>
          <w:rFonts w:ascii="Times New Roman" w:hAnsi="Times New Roman" w:hint="eastAsia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5267325" cy="6819900"/>
            <wp:effectExtent l="0" t="0" r="9525" b="0"/>
            <wp:docPr id="1" name="Picture 1" descr="Rplo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Rplot_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319" w:rsidRDefault="006C1319" w:rsidP="006C1319">
      <w:pPr>
        <w:pStyle w:val="MDPI62Acknowledgments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Figure </w:t>
      </w:r>
      <w:r>
        <w:rPr>
          <w:rFonts w:ascii="Times New Roman" w:eastAsia="SimSun" w:hAnsi="Times New Roman" w:hint="eastAsia"/>
          <w:b/>
          <w:sz w:val="20"/>
          <w:lang w:eastAsia="zh-CN"/>
        </w:rPr>
        <w:t>s1</w:t>
      </w:r>
      <w:r>
        <w:rPr>
          <w:rFonts w:ascii="Times New Roman" w:eastAsia="SimSun" w:hAnsi="Times New Roman"/>
          <w:sz w:val="20"/>
          <w:lang w:eastAsia="zh-CN"/>
        </w:rPr>
        <w:t>.</w:t>
      </w:r>
      <w:r>
        <w:rPr>
          <w:rFonts w:ascii="Times New Roman" w:hAnsi="Times New Roman"/>
          <w:sz w:val="20"/>
        </w:rPr>
        <w:t xml:space="preserve"> Kaplan-Meier curves of the cumulative hazard of </w:t>
      </w:r>
      <w:r>
        <w:rPr>
          <w:rFonts w:ascii="Times New Roman" w:eastAsia="SimSun" w:hAnsi="Times New Roman" w:hint="eastAsia"/>
          <w:sz w:val="20"/>
          <w:lang w:eastAsia="zh-CN"/>
        </w:rPr>
        <w:t>breast cancer specific mortality</w:t>
      </w:r>
      <w:r>
        <w:rPr>
          <w:rFonts w:ascii="Times New Roman" w:hAnsi="Times New Roman"/>
          <w:sz w:val="20"/>
        </w:rPr>
        <w:t xml:space="preserve"> for DCIS patients (</w:t>
      </w:r>
      <w:r>
        <w:rPr>
          <w:rFonts w:ascii="Times New Roman" w:eastAsia="SimSun" w:hAnsi="Times New Roman" w:hint="eastAsia"/>
          <w:sz w:val="20"/>
          <w:lang w:eastAsia="zh-CN"/>
        </w:rPr>
        <w:t>p=0.0004</w:t>
      </w:r>
      <w:r>
        <w:rPr>
          <w:rFonts w:ascii="Times New Roman" w:hAnsi="Times New Roman"/>
          <w:sz w:val="20"/>
        </w:rPr>
        <w:t>, log-rank test)</w:t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萍方0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319"/>
    <w:rsid w:val="003A0A23"/>
    <w:rsid w:val="006C1319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338CE-9907-48C1-B28D-06C910E09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1319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62Acknowledgments">
    <w:name w:val="MDPI_6.2_Acknowledgments"/>
    <w:qFormat/>
    <w:rsid w:val="006C1319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paragraph" w:customStyle="1" w:styleId="MDPI41tablecaption">
    <w:name w:val="MDPI_4.1_table_caption"/>
    <w:basedOn w:val="MDPI62Acknowledgments"/>
    <w:qFormat/>
    <w:rsid w:val="006C1319"/>
    <w:pPr>
      <w:spacing w:before="240" w:after="120" w:line="260" w:lineRule="atLeast"/>
      <w:ind w:left="425" w:right="425"/>
    </w:pPr>
    <w:rPr>
      <w:snapToGrid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256</Words>
  <Characters>1460</Characters>
  <Application>Microsoft Office Word</Application>
  <DocSecurity>0</DocSecurity>
  <Lines>12</Lines>
  <Paragraphs>3</Paragraphs>
  <ScaleCrop>false</ScaleCrop>
  <Company>Springer Nature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2021-05-05T08:17:00Z</dcterms:created>
  <dcterms:modified xsi:type="dcterms:W3CDTF">2021-05-05T08:17:00Z</dcterms:modified>
</cp:coreProperties>
</file>