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028CB" w:rsidRPr="000C4D2D" w:rsidRDefault="00A028CB" w:rsidP="00A028C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32"/>
        </w:rPr>
      </w:pPr>
      <w:r w:rsidRPr="000C4D2D">
        <w:rPr>
          <w:rFonts w:ascii="Times New Roman" w:hAnsi="Times New Roman" w:cs="Times New Roman"/>
          <w:b/>
          <w:bCs/>
          <w:sz w:val="24"/>
          <w:szCs w:val="32"/>
        </w:rPr>
        <w:t>Tables</w:t>
      </w:r>
    </w:p>
    <w:p w:rsidR="00A028CB" w:rsidRPr="000C4D2D" w:rsidRDefault="00A028CB" w:rsidP="00A028CB">
      <w:pPr>
        <w:pStyle w:val="ae"/>
        <w:keepNext/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0C4D2D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bidi="ar"/>
        </w:rPr>
        <w:t xml:space="preserve">Table </w:t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fldChar w:fldCharType="begin"/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instrText xml:space="preserve"> SEQ Table \* ARABIC </w:instrText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fldChar w:fldCharType="separate"/>
      </w:r>
      <w:r w:rsidRPr="000C4D2D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bidi="ar"/>
        </w:rPr>
        <w:t>1</w:t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fldChar w:fldCharType="end"/>
      </w:r>
      <w:r w:rsidRPr="000C4D2D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bidi="ar"/>
        </w:rPr>
        <w:t xml:space="preserve"> Analysis of Premolar Root Morphology and Alveolar Bone Resorption</w:t>
      </w:r>
    </w:p>
    <w:tbl>
      <w:tblPr>
        <w:tblW w:w="13965" w:type="dxa"/>
        <w:tblLook w:val="04A0" w:firstRow="1" w:lastRow="0" w:firstColumn="1" w:lastColumn="0" w:noHBand="0" w:noVBand="1"/>
      </w:tblPr>
      <w:tblGrid>
        <w:gridCol w:w="1299"/>
        <w:gridCol w:w="2761"/>
        <w:gridCol w:w="1624"/>
        <w:gridCol w:w="1786"/>
        <w:gridCol w:w="1786"/>
        <w:gridCol w:w="1786"/>
        <w:gridCol w:w="1624"/>
        <w:gridCol w:w="1299"/>
      </w:tblGrid>
      <w:tr w:rsidR="00A028CB" w:rsidRPr="000C4D2D" w:rsidTr="00FC1BD7">
        <w:trPr>
          <w:trHeight w:val="853"/>
        </w:trPr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Variable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Total (n=1064)</w:t>
            </w:r>
          </w:p>
        </w:tc>
        <w:tc>
          <w:tcPr>
            <w:tcW w:w="1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Short</w:t>
            </w:r>
          </w:p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(n=353)</w:t>
            </w:r>
          </w:p>
        </w:tc>
        <w:tc>
          <w:tcPr>
            <w:tcW w:w="1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Medium</w:t>
            </w:r>
          </w:p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(n=356)</w:t>
            </w:r>
          </w:p>
        </w:tc>
        <w:tc>
          <w:tcPr>
            <w:tcW w:w="1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Long</w:t>
            </w:r>
          </w:p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(n=355)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Statistic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</w:tr>
      <w:tr w:rsidR="00A028CB" w:rsidRPr="000C4D2D" w:rsidTr="00FC1BD7">
        <w:trPr>
          <w:trHeight w:val="258"/>
        </w:trPr>
        <w:tc>
          <w:tcPr>
            <w:tcW w:w="1299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Mobility=0</w:t>
            </w:r>
          </w:p>
        </w:tc>
        <w:tc>
          <w:tcPr>
            <w:tcW w:w="2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Average BLR, Mean ± SD</w:t>
            </w:r>
          </w:p>
        </w:tc>
        <w:tc>
          <w:tcPr>
            <w:tcW w:w="16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0.18 ± 0.10</w:t>
            </w:r>
          </w:p>
        </w:tc>
        <w:tc>
          <w:tcPr>
            <w:tcW w:w="17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0.15 ± 0.11</w:t>
            </w:r>
          </w:p>
        </w:tc>
        <w:tc>
          <w:tcPr>
            <w:tcW w:w="17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0.18 ± 0.10</w:t>
            </w:r>
          </w:p>
        </w:tc>
        <w:tc>
          <w:tcPr>
            <w:tcW w:w="17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0.20 ± 0.09</w:t>
            </w:r>
          </w:p>
        </w:tc>
        <w:tc>
          <w:tcPr>
            <w:tcW w:w="16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4.708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0.010 *</w:t>
            </w:r>
          </w:p>
        </w:tc>
      </w:tr>
      <w:tr w:rsidR="00A028CB" w:rsidRPr="000C4D2D" w:rsidTr="00FC1BD7">
        <w:trPr>
          <w:trHeight w:val="258"/>
        </w:trPr>
        <w:tc>
          <w:tcPr>
            <w:tcW w:w="1299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6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Max BLR Mean ± SD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0.22 ± 0.11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0.19 ± 0.13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0.21 ± 0.10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0.24 ± 0.11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2.828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</w:tr>
      <w:tr w:rsidR="00A028CB" w:rsidRPr="000C4D2D" w:rsidTr="00FC1BD7">
        <w:trPr>
          <w:trHeight w:val="318"/>
        </w:trPr>
        <w:tc>
          <w:tcPr>
            <w:tcW w:w="1299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6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B-CRR, Mean ± SD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0.74 ± 0.21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0.78 ± 0.23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0.74 ± 0.21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0.71 ± 0.21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1.832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0.163</w:t>
            </w:r>
          </w:p>
        </w:tc>
      </w:tr>
      <w:tr w:rsidR="00A028CB" w:rsidRPr="000C4D2D" w:rsidTr="00FC1BD7">
        <w:trPr>
          <w:trHeight w:val="258"/>
        </w:trPr>
        <w:tc>
          <w:tcPr>
            <w:tcW w:w="1299" w:type="dxa"/>
            <w:vMerge w:val="restart"/>
            <w:shd w:val="clear" w:color="auto" w:fill="auto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Mobility=1</w:t>
            </w:r>
          </w:p>
        </w:tc>
        <w:tc>
          <w:tcPr>
            <w:tcW w:w="276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Average BLR, Mean ± SD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0.33 ± 0.14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0.28 ± 0.15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0.34 ± 0.14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0.37 ± 0.13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13.839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</w:tr>
      <w:tr w:rsidR="00A028CB" w:rsidRPr="000C4D2D" w:rsidTr="00FC1BD7">
        <w:trPr>
          <w:trHeight w:val="258"/>
        </w:trPr>
        <w:tc>
          <w:tcPr>
            <w:tcW w:w="1299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6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Max BLR, Mean ± SD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0.39 ± 0.16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0.36 ± 0.19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0.40 ± 0.15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0.42 ± 0.14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4.314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0.014 *</w:t>
            </w:r>
          </w:p>
        </w:tc>
      </w:tr>
      <w:tr w:rsidR="00A028CB" w:rsidRPr="000C4D2D" w:rsidTr="00FC1BD7">
        <w:trPr>
          <w:trHeight w:val="258"/>
        </w:trPr>
        <w:tc>
          <w:tcPr>
            <w:tcW w:w="1299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6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B-CRR, Mean ± SD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1.22 ± 0.60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1.23 ± 0.59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1.23 ± 0.68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1.20 ± 0.50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0.020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0.998</w:t>
            </w:r>
          </w:p>
        </w:tc>
      </w:tr>
      <w:tr w:rsidR="00A028CB" w:rsidRPr="000C4D2D" w:rsidTr="00FC1BD7">
        <w:trPr>
          <w:trHeight w:val="258"/>
        </w:trPr>
        <w:tc>
          <w:tcPr>
            <w:tcW w:w="1299" w:type="dxa"/>
            <w:vMerge w:val="restart"/>
            <w:shd w:val="clear" w:color="auto" w:fill="auto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Mobility=2</w:t>
            </w:r>
          </w:p>
        </w:tc>
        <w:tc>
          <w:tcPr>
            <w:tcW w:w="276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Average BLR, Mean ± SD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0.42 ± 0.16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0.39 ± 0.18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0.45 ± 0.15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0.44 ± 0.13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4.999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0.007 *</w:t>
            </w:r>
          </w:p>
        </w:tc>
      </w:tr>
      <w:tr w:rsidR="00A028CB" w:rsidRPr="000C4D2D" w:rsidTr="00FC1BD7">
        <w:trPr>
          <w:trHeight w:val="258"/>
        </w:trPr>
        <w:tc>
          <w:tcPr>
            <w:tcW w:w="1299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6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Max BLR, Mean ± SD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0.48 ± 0.16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0.46 ± 0.19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0.50 ± 0.15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0.49 ± 0.14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1.493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0.226</w:t>
            </w:r>
          </w:p>
        </w:tc>
      </w:tr>
      <w:tr w:rsidR="00A028CB" w:rsidRPr="000C4D2D" w:rsidTr="00FC1BD7">
        <w:trPr>
          <w:trHeight w:val="258"/>
        </w:trPr>
        <w:tc>
          <w:tcPr>
            <w:tcW w:w="1299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6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B-CRR, Mean ± SD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1.72 ± 1.18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1.80 ± 1.36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1.83 ± 1.33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1.52 ± 0.67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1.648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0.194</w:t>
            </w:r>
          </w:p>
        </w:tc>
      </w:tr>
      <w:tr w:rsidR="00A028CB" w:rsidRPr="000C4D2D" w:rsidTr="00FC1BD7">
        <w:trPr>
          <w:trHeight w:val="258"/>
        </w:trPr>
        <w:tc>
          <w:tcPr>
            <w:tcW w:w="1299" w:type="dxa"/>
            <w:vMerge w:val="restart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lastRenderedPageBreak/>
              <w:t>Mobility=3</w:t>
            </w:r>
          </w:p>
        </w:tc>
        <w:tc>
          <w:tcPr>
            <w:tcW w:w="276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Average BLR, Mean ± SD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0.56 ± 0.19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0.55 ± 0.21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0.59 ± 0.19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0.56 ± 0.17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0.316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0.730</w:t>
            </w:r>
          </w:p>
        </w:tc>
      </w:tr>
      <w:tr w:rsidR="00A028CB" w:rsidRPr="000C4D2D" w:rsidTr="00FC1BD7">
        <w:trPr>
          <w:trHeight w:val="258"/>
        </w:trPr>
        <w:tc>
          <w:tcPr>
            <w:tcW w:w="1299" w:type="dxa"/>
            <w:vMerge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6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Max BLR, Mean ± SD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0.63 ± 0.20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0.62 ± 0.21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0.64 ± 0.21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0.64 ± 0.19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0.116</w:t>
            </w:r>
          </w:p>
        </w:tc>
        <w:tc>
          <w:tcPr>
            <w:tcW w:w="1299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0.891</w:t>
            </w:r>
          </w:p>
        </w:tc>
      </w:tr>
      <w:tr w:rsidR="00A028CB" w:rsidRPr="000C4D2D" w:rsidTr="00FC1BD7">
        <w:trPr>
          <w:trHeight w:val="258"/>
        </w:trPr>
        <w:tc>
          <w:tcPr>
            <w:tcW w:w="1299" w:type="dxa"/>
            <w:vMerge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B-CRR, Mean ± SD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3.46 ± 4.12</w:t>
            </w:r>
          </w:p>
        </w:tc>
        <w:tc>
          <w:tcPr>
            <w:tcW w:w="17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3.06 ± 1.97</w:t>
            </w:r>
          </w:p>
        </w:tc>
        <w:tc>
          <w:tcPr>
            <w:tcW w:w="17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4.41 ± 6.54</w:t>
            </w:r>
          </w:p>
        </w:tc>
        <w:tc>
          <w:tcPr>
            <w:tcW w:w="17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3.02 ± 2.91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color w:val="010205"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0.346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0.709</w:t>
            </w:r>
          </w:p>
        </w:tc>
      </w:tr>
    </w:tbl>
    <w:p w:rsidR="00A028CB" w:rsidRPr="000C4D2D" w:rsidRDefault="00A028CB" w:rsidP="00A028CB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0"/>
          <w:szCs w:val="20"/>
          <w:lang w:bidi="ar"/>
        </w:rPr>
      </w:pPr>
      <w:r w:rsidRPr="000C4D2D">
        <w:rPr>
          <w:rFonts w:ascii="Times New Roman" w:eastAsia="Times New Roman" w:hAnsi="Times New Roman" w:cs="Times New Roman"/>
          <w:sz w:val="20"/>
          <w:szCs w:val="20"/>
          <w:lang w:bidi="ar"/>
        </w:rPr>
        <w:t xml:space="preserve">BLR: bone loss ratio; B-CRR: bone level crown-root ratio; </w:t>
      </w:r>
      <w:r w:rsidRPr="000C4D2D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bidi="ar"/>
        </w:rPr>
        <w:t>*</w:t>
      </w:r>
      <w:r w:rsidRPr="000C4D2D">
        <w:rPr>
          <w:rFonts w:ascii="Times New Roman" w:eastAsia="Times New Roman" w:hAnsi="Times New Roman" w:cs="Times New Roman"/>
          <w:sz w:val="20"/>
          <w:szCs w:val="20"/>
          <w:lang w:bidi="ar"/>
        </w:rPr>
        <w:t>: P&lt;0.05</w:t>
      </w:r>
    </w:p>
    <w:p w:rsidR="00A028CB" w:rsidRPr="000C4D2D" w:rsidRDefault="00A028CB" w:rsidP="00A028CB">
      <w:pPr>
        <w:spacing w:line="480" w:lineRule="auto"/>
        <w:rPr>
          <w:rFonts w:ascii="Times New Roman" w:hAnsi="Times New Roman" w:cs="Times New Roman"/>
          <w:b/>
          <w:bCs/>
          <w:sz w:val="24"/>
          <w:szCs w:val="32"/>
        </w:rPr>
        <w:sectPr w:rsidR="00A028CB" w:rsidRPr="000C4D2D" w:rsidSect="00D21D3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A028CB" w:rsidRPr="000C4D2D" w:rsidRDefault="00A028CB" w:rsidP="00A028CB">
      <w:pPr>
        <w:pStyle w:val="ae"/>
        <w:keepNext/>
        <w:widowControl/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0C4D2D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bidi="ar"/>
        </w:rPr>
        <w:lastRenderedPageBreak/>
        <w:t xml:space="preserve">Table </w:t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fldChar w:fldCharType="begin"/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instrText xml:space="preserve"> SEQ Table \* ARABIC </w:instrText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fldChar w:fldCharType="separate"/>
      </w:r>
      <w:r w:rsidRPr="000C4D2D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bidi="ar"/>
        </w:rPr>
        <w:t>2</w:t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fldChar w:fldCharType="end"/>
      </w:r>
      <w:r w:rsidRPr="000C4D2D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bidi="ar"/>
        </w:rPr>
        <w:t xml:space="preserve"> Univariate Analysis of Premolar Mobility with Periodontal Clinical Indices, Alveolar Bone Resorption, and Crown Root Morphology</w:t>
      </w:r>
    </w:p>
    <w:tbl>
      <w:tblPr>
        <w:tblW w:w="13892" w:type="dxa"/>
        <w:tblLook w:val="04A0" w:firstRow="1" w:lastRow="0" w:firstColumn="1" w:lastColumn="0" w:noHBand="0" w:noVBand="1"/>
      </w:tblPr>
      <w:tblGrid>
        <w:gridCol w:w="426"/>
        <w:gridCol w:w="2409"/>
        <w:gridCol w:w="1701"/>
        <w:gridCol w:w="1701"/>
        <w:gridCol w:w="1701"/>
        <w:gridCol w:w="1701"/>
        <w:gridCol w:w="1701"/>
        <w:gridCol w:w="1560"/>
        <w:gridCol w:w="992"/>
      </w:tblGrid>
      <w:tr w:rsidR="00A028CB" w:rsidRPr="000C4D2D" w:rsidTr="00FC1BD7">
        <w:trPr>
          <w:trHeight w:val="328"/>
        </w:trPr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Variable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Total (n=1064)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Non (n=213)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I (n=458)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II (n=300)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III (n=93)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Statistic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P</w:t>
            </w:r>
          </w:p>
        </w:tc>
      </w:tr>
      <w:tr w:rsidR="00A028CB" w:rsidRPr="000C4D2D" w:rsidTr="00FC1BD7">
        <w:trPr>
          <w:trHeight w:val="328"/>
        </w:trPr>
        <w:tc>
          <w:tcPr>
            <w:tcW w:w="2835" w:type="dxa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Tooth position, n (%)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Cs/>
                <w:kern w:val="0"/>
                <w:sz w:val="20"/>
                <w:szCs w:val="20"/>
                <w:lang w:bidi="ar"/>
              </w:rPr>
              <w:t>15.69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</w:tr>
      <w:tr w:rsidR="00A028CB" w:rsidRPr="000C4D2D" w:rsidTr="00FC1BD7">
        <w:trPr>
          <w:trHeight w:val="328"/>
        </w:trPr>
        <w:tc>
          <w:tcPr>
            <w:tcW w:w="426" w:type="dxa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 (14 &amp; 24)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286 (26.9)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45 (21.2)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124 (27.1)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89 (29.7)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28 (30.1)</w:t>
            </w:r>
          </w:p>
        </w:tc>
        <w:tc>
          <w:tcPr>
            <w:tcW w:w="1560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328"/>
        </w:trPr>
        <w:tc>
          <w:tcPr>
            <w:tcW w:w="426" w:type="dxa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 (15 &amp; 25)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286 (26.9)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51 (23.9)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116 (25.3)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93 (31.0)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26 (28.0)</w:t>
            </w:r>
          </w:p>
        </w:tc>
        <w:tc>
          <w:tcPr>
            <w:tcW w:w="1560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328"/>
        </w:trPr>
        <w:tc>
          <w:tcPr>
            <w:tcW w:w="426" w:type="dxa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 (34 &amp; 44)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236 (22.2)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60 (28.2)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107 (23.4)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51 (17.0)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18 (19.4)</w:t>
            </w:r>
          </w:p>
        </w:tc>
        <w:tc>
          <w:tcPr>
            <w:tcW w:w="1560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328"/>
        </w:trPr>
        <w:tc>
          <w:tcPr>
            <w:tcW w:w="426" w:type="dxa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4 (44 &amp; 45)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256 (24.1)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57 (26.8)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111 (24.2)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67 (22.3)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21 (22.6)</w:t>
            </w:r>
          </w:p>
        </w:tc>
        <w:tc>
          <w:tcPr>
            <w:tcW w:w="1560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328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94"/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Average</w:t>
            </w:r>
            <w:bookmarkEnd w:id="0"/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 xml:space="preserve"> PD, M (Q1, Q3)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5.17 (4.17, 6.17)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4.21 (3.33, 5.00)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5.01 (4.17, 5.83)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5.70 (4.83, 6.50)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6.62 (5.50, 7.50)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 xml:space="preserve">K = 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233.151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0.000 *</w:t>
            </w:r>
          </w:p>
        </w:tc>
      </w:tr>
      <w:tr w:rsidR="00A028CB" w:rsidRPr="000C4D2D" w:rsidTr="00FC1BD7">
        <w:trPr>
          <w:trHeight w:val="328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Average BI, M (Q1, Q3)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4.00 (3.50, 4.00)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3.54 (3.00, 4.00)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3.69 (3.50, 4.00)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3.74 (3.50, 4.00)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3.80 (4.00, 4.00)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 xml:space="preserve">K = 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16.433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0.001 *</w:t>
            </w:r>
          </w:p>
        </w:tc>
      </w:tr>
      <w:tr w:rsidR="00A028CB" w:rsidRPr="000C4D2D" w:rsidTr="00FC1BD7">
        <w:trPr>
          <w:trHeight w:val="304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Root length(mm), Mean ± SD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12.61 ± 2.13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13.12 ± 1.88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12.58 ± 2.18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12.35 ± 2.17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12.42 ± 2.16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5.968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</w:pP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0.001 *</w:t>
            </w:r>
          </w:p>
        </w:tc>
      </w:tr>
      <w:tr w:rsidR="00A028CB" w:rsidRPr="000C4D2D" w:rsidTr="00FC1BD7">
        <w:trPr>
          <w:trHeight w:val="304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Crown length(mm), Mean ± SD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5.09 ± 0.74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5.19 ± 0.64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5.03 ± 0.71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5.13 ± 0.81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5.01 ± 0.81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3.003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0.030 *</w:t>
            </w:r>
          </w:p>
        </w:tc>
      </w:tr>
      <w:tr w:rsidR="00A028CB" w:rsidRPr="000C4D2D" w:rsidTr="00FC1BD7">
        <w:trPr>
          <w:trHeight w:val="328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CRR, Mean ± SD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0.42 ± 0.10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0.40 ± 0.08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0.41 ± 0.10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0.43 ± 0.11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0.42 ± 0.10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3.130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</w:pP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0.025 *</w:t>
            </w:r>
          </w:p>
        </w:tc>
      </w:tr>
      <w:tr w:rsidR="00A028CB" w:rsidRPr="000C4D2D" w:rsidTr="00FC1BD7">
        <w:trPr>
          <w:trHeight w:val="328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Average BLR, Mean ± SD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0.35 ± 0.18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0.18 ± 0.10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0.33 ± 0.14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0.42 ± 0.16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0.56 ± 0.19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173.061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</w:pP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0.000 *</w:t>
            </w:r>
          </w:p>
        </w:tc>
      </w:tr>
      <w:tr w:rsidR="00A028CB" w:rsidRPr="000C4D2D" w:rsidTr="00FC1BD7">
        <w:trPr>
          <w:trHeight w:val="304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Max BLR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, Mean ± SD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0.41 ± 0.20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0.22 ± 0.11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0.40 ± 0.16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0.48 ± 0.16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0.63 ± 0.20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175.348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0.000 *</w:t>
            </w:r>
          </w:p>
        </w:tc>
      </w:tr>
      <w:tr w:rsidR="00A028CB" w:rsidRPr="000C4D2D" w:rsidTr="00FC1BD7">
        <w:trPr>
          <w:trHeight w:val="351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PRW (mm), Mean ± SD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5.69 ± 5.49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6.38 ±1 1.32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5.45 ± 2.33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5.51 ± 2.23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5.84 ± 2.86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0.528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0.663</w:t>
            </w:r>
          </w:p>
        </w:tc>
      </w:tr>
      <w:tr w:rsidR="00A028CB" w:rsidRPr="000C4D2D" w:rsidTr="00FC1BD7">
        <w:trPr>
          <w:trHeight w:val="351"/>
        </w:trPr>
        <w:tc>
          <w:tcPr>
            <w:tcW w:w="2835" w:type="dxa"/>
            <w:gridSpan w:val="2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Root width type, n (%)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2.317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0.509</w:t>
            </w:r>
          </w:p>
        </w:tc>
      </w:tr>
      <w:tr w:rsidR="00A028CB" w:rsidRPr="000C4D2D" w:rsidTr="00FC1BD7">
        <w:trPr>
          <w:trHeight w:val="351"/>
        </w:trPr>
        <w:tc>
          <w:tcPr>
            <w:tcW w:w="42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848 (79.7)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167 (78.4)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360 (78.6)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242 (80.7)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79 (84.9)</w:t>
            </w:r>
          </w:p>
        </w:tc>
        <w:tc>
          <w:tcPr>
            <w:tcW w:w="1560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304"/>
        </w:trPr>
        <w:tc>
          <w:tcPr>
            <w:tcW w:w="426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 (tapered root)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216 (20.3)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46 (21.6)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98 (21.4)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58 (19.3)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14 (15.1)</w:t>
            </w:r>
          </w:p>
        </w:tc>
        <w:tc>
          <w:tcPr>
            <w:tcW w:w="1560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304"/>
        </w:trPr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B-CRR, Mean ± SD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1.46 ± 1.59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0.74 ± 0.21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1.22 ± 0.60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1.72 ± 1.18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3.46 ± 4.12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 xml:space="preserve">F = </w:t>
            </w:r>
            <w:r w:rsidRPr="000C4D2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"/>
              </w:rPr>
              <w:t>151.812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028CB" w:rsidRPr="000C4D2D" w:rsidRDefault="00A028CB" w:rsidP="00FC1BD7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10205"/>
                <w:kern w:val="0"/>
                <w:sz w:val="20"/>
                <w:szCs w:val="20"/>
                <w:lang w:bidi="ar"/>
              </w:rPr>
              <w:t>0.000 *</w:t>
            </w:r>
          </w:p>
        </w:tc>
      </w:tr>
    </w:tbl>
    <w:p w:rsidR="00A028CB" w:rsidRPr="000C4D2D" w:rsidRDefault="00A028CB" w:rsidP="00A028CB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0"/>
          <w:szCs w:val="20"/>
          <w:lang w:bidi="ar"/>
        </w:rPr>
      </w:pPr>
      <w:r w:rsidRPr="000C4D2D">
        <w:rPr>
          <w:rFonts w:ascii="Times New Roman" w:eastAsia="Times New Roman" w:hAnsi="Times New Roman" w:cs="Times New Roman"/>
          <w:sz w:val="20"/>
          <w:szCs w:val="20"/>
          <w:lang w:bidi="ar"/>
        </w:rPr>
        <w:t>CRR: crown-root ratio; BLR</w:t>
      </w:r>
      <w:r w:rsidRPr="000C4D2D">
        <w:rPr>
          <w:rFonts w:ascii="Times New Roman" w:eastAsia="宋体" w:hAnsi="Times New Roman" w:cs="Times New Roman"/>
          <w:sz w:val="20"/>
          <w:szCs w:val="20"/>
          <w:lang w:bidi="ar"/>
        </w:rPr>
        <w:t xml:space="preserve">: </w:t>
      </w:r>
      <w:r w:rsidRPr="000C4D2D">
        <w:rPr>
          <w:rFonts w:ascii="Times New Roman" w:eastAsia="Times New Roman" w:hAnsi="Times New Roman" w:cs="Times New Roman"/>
          <w:sz w:val="20"/>
          <w:szCs w:val="20"/>
          <w:lang w:bidi="ar"/>
        </w:rPr>
        <w:t>bone loss ratio</w:t>
      </w:r>
      <w:r w:rsidRPr="000C4D2D">
        <w:rPr>
          <w:rFonts w:ascii="Times New Roman" w:eastAsia="宋体" w:hAnsi="Times New Roman" w:cs="Times New Roman"/>
          <w:sz w:val="20"/>
          <w:szCs w:val="20"/>
          <w:lang w:bidi="ar"/>
        </w:rPr>
        <w:t>;</w:t>
      </w:r>
      <w:r w:rsidRPr="000C4D2D">
        <w:rPr>
          <w:rFonts w:ascii="Times New Roman" w:eastAsia="Times New Roman" w:hAnsi="Times New Roman" w:cs="Times New Roman"/>
          <w:sz w:val="20"/>
          <w:szCs w:val="20"/>
          <w:lang w:bidi="ar"/>
        </w:rPr>
        <w:t xml:space="preserve"> PRW: </w:t>
      </w:r>
      <w:r w:rsidRPr="000C4D2D">
        <w:rPr>
          <w:rFonts w:ascii="Times New Roman" w:eastAsia="Times New Roman" w:hAnsi="Times New Roman" w:cs="Times New Roman"/>
          <w:kern w:val="0"/>
          <w:sz w:val="20"/>
          <w:szCs w:val="20"/>
          <w:lang w:bidi="ar"/>
        </w:rPr>
        <w:t>parameter of root width;</w:t>
      </w:r>
      <w:r w:rsidRPr="000C4D2D">
        <w:rPr>
          <w:rFonts w:ascii="Times New Roman" w:eastAsia="Times New Roman" w:hAnsi="Times New Roman" w:cs="Times New Roman"/>
          <w:sz w:val="20"/>
          <w:szCs w:val="20"/>
          <w:lang w:bidi="ar"/>
        </w:rPr>
        <w:t xml:space="preserve"> B-CRR: bone level crown-root ratio; *: P&lt;0.05</w:t>
      </w:r>
    </w:p>
    <w:p w:rsidR="00A028CB" w:rsidRPr="000C4D2D" w:rsidRDefault="00A028CB" w:rsidP="00A028CB">
      <w:pPr>
        <w:spacing w:line="48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0C4D2D"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:rsidR="00A028CB" w:rsidRPr="000C4D2D" w:rsidRDefault="00A028CB" w:rsidP="00A028CB">
      <w:pPr>
        <w:pStyle w:val="ae"/>
        <w:keepNext/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0C4D2D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bidi="ar"/>
        </w:rPr>
        <w:lastRenderedPageBreak/>
        <w:t xml:space="preserve">Table </w:t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fldChar w:fldCharType="begin"/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instrText xml:space="preserve"> SEQ Table \* ARABIC </w:instrText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fldChar w:fldCharType="separate"/>
      </w:r>
      <w:r w:rsidRPr="000C4D2D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bidi="ar"/>
        </w:rPr>
        <w:t>3</w:t>
      </w:r>
      <w:r w:rsidRPr="000C4D2D">
        <w:rPr>
          <w:rFonts w:ascii="Times New Roman" w:eastAsia="黑体" w:hAnsi="Times New Roman" w:cs="Times New Roman"/>
          <w:b/>
          <w:bCs/>
          <w:kern w:val="0"/>
          <w:sz w:val="21"/>
          <w:szCs w:val="21"/>
          <w:lang w:bidi="ar"/>
        </w:rPr>
        <w:fldChar w:fldCharType="end"/>
      </w:r>
      <w:r w:rsidRPr="000C4D2D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bidi="ar"/>
        </w:rPr>
        <w:t xml:space="preserve"> Multilevel logistic regression model for factors influencing premolar mobility</w:t>
      </w:r>
    </w:p>
    <w:tbl>
      <w:tblPr>
        <w:tblW w:w="13892" w:type="dxa"/>
        <w:tblLayout w:type="fixed"/>
        <w:tblLook w:val="04A0" w:firstRow="1" w:lastRow="0" w:firstColumn="1" w:lastColumn="0" w:noHBand="0" w:noVBand="1"/>
      </w:tblPr>
      <w:tblGrid>
        <w:gridCol w:w="857"/>
        <w:gridCol w:w="1145"/>
        <w:gridCol w:w="2719"/>
        <w:gridCol w:w="949"/>
        <w:gridCol w:w="1134"/>
        <w:gridCol w:w="993"/>
        <w:gridCol w:w="2551"/>
        <w:gridCol w:w="1134"/>
        <w:gridCol w:w="992"/>
        <w:gridCol w:w="1418"/>
      </w:tblGrid>
      <w:tr w:rsidR="00A028CB" w:rsidRPr="000C4D2D" w:rsidTr="00FC1BD7">
        <w:trPr>
          <w:trHeight w:val="287"/>
        </w:trPr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No. of Model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Mobility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Variable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Beta.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Std. Errors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OR (95%CI)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Accuracy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AIC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C4D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Residual Deviance</w:t>
            </w: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Non/I</w:t>
            </w:r>
          </w:p>
        </w:tc>
        <w:tc>
          <w:tcPr>
            <w:tcW w:w="2719" w:type="dxa"/>
            <w:tcBorders>
              <w:top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APD</w:t>
            </w:r>
          </w:p>
        </w:tc>
        <w:tc>
          <w:tcPr>
            <w:tcW w:w="949" w:type="dxa"/>
            <w:tcBorders>
              <w:top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0.426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0.104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0.653 (0.533, 0.801)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59.77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1702.317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1678.317</w:t>
            </w: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ABI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0.018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0.182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0.920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1.018 (0.713, 1.454)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Root length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0.300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1.350 (1.224, 1.489)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ABLR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9.618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0.934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＜</w:t>
            </w: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 w:val="restart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I/II&amp;III</w:t>
            </w: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APD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0.447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1.563 (1.357, 1.800)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ABI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0.193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0.171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0.246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0.824 (0.595, 1.142)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Root length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0.131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0.878 (0.816, 0.943)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ABLR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4.197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0.581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66.469 (22.62, 195.32)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 w:val="restart"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45" w:type="dxa"/>
            <w:vMerge w:val="restart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Non/I</w:t>
            </w: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APD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0.404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0.668 (0.544, 0.821)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59.87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1713.149</w:t>
            </w:r>
          </w:p>
        </w:tc>
        <w:tc>
          <w:tcPr>
            <w:tcW w:w="1418" w:type="dxa"/>
            <w:vMerge w:val="restart"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1689.149</w:t>
            </w: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ABI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0.184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0.844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0.965 (0.673, 1.383)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Root length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0.269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1.309 (1.188, 1.442)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Max BLR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8.770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0.823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＜</w:t>
            </w: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 w:val="restart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I/II&amp;III</w:t>
            </w: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APD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0.484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1.622 (1.411, 1.864)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ABI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0.219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0.163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0.180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0.804 (0.584, 1.106)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Root length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0.103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0.005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0.902 (0.84, 0.969)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Max BLR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3.229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0.481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25.260 (9.847, 64.801)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 w:val="restart"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45" w:type="dxa"/>
            <w:vMerge w:val="restart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Non/I</w:t>
            </w: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APD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0.384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0.104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0.681 (0.555, 0.835)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60.24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1700.574</w:t>
            </w:r>
          </w:p>
        </w:tc>
        <w:tc>
          <w:tcPr>
            <w:tcW w:w="1418" w:type="dxa"/>
            <w:vMerge w:val="restart"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bookmarkStart w:id="1" w:name="OLE_LINK215"/>
            <w:bookmarkStart w:id="2" w:name="OLE_LINK214"/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1676.574</w:t>
            </w:r>
            <w:bookmarkEnd w:id="1"/>
            <w:bookmarkEnd w:id="2"/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ABI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0.004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0.181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0.981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0.996 (0.698, 1.420)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Root length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0.133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0.005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1.142 (1.040, 1.254)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B-CRR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4.056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0.395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0.017 (0.008, 0.038)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 w:val="restart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I/II&amp;III</w:t>
            </w: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APD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0.458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1.581 (1.371, 1.821)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ABI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0.202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0.166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0.222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0.817 (0.590, 1.130)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Root length</w:t>
            </w:r>
          </w:p>
        </w:tc>
        <w:tc>
          <w:tcPr>
            <w:tcW w:w="949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34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993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0.110</w:t>
            </w:r>
          </w:p>
        </w:tc>
        <w:tc>
          <w:tcPr>
            <w:tcW w:w="2551" w:type="dxa"/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0.944 (0.880, 1.013)</w:t>
            </w:r>
          </w:p>
        </w:tc>
        <w:tc>
          <w:tcPr>
            <w:tcW w:w="1134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A028CB" w:rsidRPr="000C4D2D" w:rsidTr="00FC1BD7">
        <w:trPr>
          <w:trHeight w:val="146"/>
        </w:trPr>
        <w:tc>
          <w:tcPr>
            <w:tcW w:w="857" w:type="dxa"/>
            <w:vMerge/>
            <w:tcBorders>
              <w:left w:val="nil"/>
              <w:bottom w:val="single" w:sz="4" w:space="0" w:color="000000" w:themeColor="text1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B-CRR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0.124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0.000 *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0C4D2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2.261 (1.772, 2.885)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A028CB" w:rsidRPr="000C4D2D" w:rsidRDefault="00A028CB" w:rsidP="00FC1BD7">
            <w:pPr>
              <w:spacing w:line="48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</w:tbl>
    <w:p w:rsidR="00A028CB" w:rsidRPr="000C4D2D" w:rsidRDefault="00A028CB" w:rsidP="00A028CB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0"/>
          <w:szCs w:val="20"/>
          <w:lang w:bidi="ar"/>
        </w:rPr>
      </w:pPr>
      <w:r w:rsidRPr="000C4D2D">
        <w:rPr>
          <w:rFonts w:ascii="Times New Roman" w:eastAsia="Times New Roman" w:hAnsi="Times New Roman" w:cs="Times New Roman"/>
          <w:sz w:val="20"/>
          <w:szCs w:val="20"/>
          <w:lang w:bidi="ar"/>
        </w:rPr>
        <w:t xml:space="preserve">APD: average probing depth; ABI: average bleeding index; </w:t>
      </w:r>
      <w:bookmarkStart w:id="3" w:name="OLE_LINK81"/>
      <w:bookmarkStart w:id="4" w:name="OLE_LINK82"/>
      <w:r w:rsidRPr="000C4D2D">
        <w:rPr>
          <w:rFonts w:ascii="Times New Roman" w:eastAsia="Times New Roman" w:hAnsi="Times New Roman" w:cs="Times New Roman"/>
          <w:sz w:val="20"/>
          <w:szCs w:val="20"/>
          <w:lang w:bidi="ar"/>
        </w:rPr>
        <w:t>RW Type: root width type; ABLR: average bone loss; Max BLR</w:t>
      </w:r>
      <w:r w:rsidRPr="000C4D2D">
        <w:rPr>
          <w:rFonts w:ascii="Times New Roman" w:eastAsia="宋体" w:hAnsi="Times New Roman" w:cs="Times New Roman"/>
          <w:sz w:val="20"/>
          <w:szCs w:val="20"/>
          <w:lang w:bidi="ar"/>
        </w:rPr>
        <w:t xml:space="preserve">: the maximum bone loss ratio in mesial or distal aspect; </w:t>
      </w:r>
      <w:r w:rsidRPr="000C4D2D">
        <w:rPr>
          <w:rFonts w:ascii="Times New Roman" w:eastAsia="Times New Roman" w:hAnsi="Times New Roman" w:cs="Times New Roman"/>
          <w:sz w:val="20"/>
          <w:szCs w:val="20"/>
          <w:lang w:bidi="ar"/>
        </w:rPr>
        <w:t>B-CRR: bone level crown-root ratio; *: P&lt;0.05</w:t>
      </w:r>
    </w:p>
    <w:bookmarkEnd w:id="3"/>
    <w:bookmarkEnd w:id="4"/>
    <w:p w:rsidR="00A028CB" w:rsidRPr="000C4D2D" w:rsidRDefault="00A028CB" w:rsidP="00A028CB">
      <w:pPr>
        <w:spacing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:rsidR="00A028CB" w:rsidRPr="000C4D2D" w:rsidRDefault="00A028CB" w:rsidP="00A028CB">
      <w:pPr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</w:p>
    <w:p w:rsidR="00D21D3A" w:rsidRPr="00A028CB" w:rsidRDefault="00D21D3A" w:rsidP="00A028CB"/>
    <w:sectPr w:rsidR="00D21D3A" w:rsidRPr="00A028CB" w:rsidSect="00D21D3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D3A"/>
    <w:rsid w:val="0002553A"/>
    <w:rsid w:val="000C271E"/>
    <w:rsid w:val="00110118"/>
    <w:rsid w:val="001E07BA"/>
    <w:rsid w:val="002D3685"/>
    <w:rsid w:val="002F500D"/>
    <w:rsid w:val="00337938"/>
    <w:rsid w:val="003876CB"/>
    <w:rsid w:val="003E2555"/>
    <w:rsid w:val="004246FD"/>
    <w:rsid w:val="004545B6"/>
    <w:rsid w:val="005205EC"/>
    <w:rsid w:val="005A5D8C"/>
    <w:rsid w:val="005C2F8F"/>
    <w:rsid w:val="005E1708"/>
    <w:rsid w:val="005F38EB"/>
    <w:rsid w:val="00650418"/>
    <w:rsid w:val="00696843"/>
    <w:rsid w:val="0071371B"/>
    <w:rsid w:val="007827C5"/>
    <w:rsid w:val="0079577A"/>
    <w:rsid w:val="007B11A1"/>
    <w:rsid w:val="008D2FC1"/>
    <w:rsid w:val="008F2167"/>
    <w:rsid w:val="00934BB9"/>
    <w:rsid w:val="009B3120"/>
    <w:rsid w:val="00A028CB"/>
    <w:rsid w:val="00A21E18"/>
    <w:rsid w:val="00A6795F"/>
    <w:rsid w:val="00AB510A"/>
    <w:rsid w:val="00AC5AE1"/>
    <w:rsid w:val="00AD76B3"/>
    <w:rsid w:val="00AE5C53"/>
    <w:rsid w:val="00AF130D"/>
    <w:rsid w:val="00B17F56"/>
    <w:rsid w:val="00B21893"/>
    <w:rsid w:val="00B6679C"/>
    <w:rsid w:val="00B868D7"/>
    <w:rsid w:val="00BD23BD"/>
    <w:rsid w:val="00C54D6E"/>
    <w:rsid w:val="00CA25C7"/>
    <w:rsid w:val="00CB6E8C"/>
    <w:rsid w:val="00D20048"/>
    <w:rsid w:val="00D21D3A"/>
    <w:rsid w:val="00D67ABA"/>
    <w:rsid w:val="00E11A1D"/>
    <w:rsid w:val="00EA6BAE"/>
    <w:rsid w:val="00EF79C0"/>
    <w:rsid w:val="00FC60D1"/>
    <w:rsid w:val="00FE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529510-3794-EF4C-9C5D-B7E756B7E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28CB"/>
    <w:pPr>
      <w:widowControl w:val="0"/>
      <w:jc w:val="both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D21D3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1D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D3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1D3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1D3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1D3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1D3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1D3A"/>
    <w:pPr>
      <w:keepNext/>
      <w:keepLines/>
      <w:outlineLvl w:val="7"/>
    </w:pPr>
    <w:rPr>
      <w:rFonts w:cstheme="majorBidi"/>
      <w:color w:val="595959" w:themeColor="text1" w:themeTint="A6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1D3A"/>
    <w:pPr>
      <w:keepNext/>
      <w:keepLines/>
      <w:outlineLvl w:val="8"/>
    </w:pPr>
    <w:rPr>
      <w:rFonts w:eastAsiaTheme="majorEastAsia" w:cstheme="majorBidi"/>
      <w:color w:val="595959" w:themeColor="text1" w:themeTint="A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21D3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21D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21D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21D3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21D3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21D3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21D3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21D3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21D3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21D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a4">
    <w:name w:val="标题 字符"/>
    <w:basedOn w:val="a0"/>
    <w:link w:val="a3"/>
    <w:uiPriority w:val="10"/>
    <w:rsid w:val="00D21D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21D3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a6">
    <w:name w:val="副标题 字符"/>
    <w:basedOn w:val="a0"/>
    <w:link w:val="a5"/>
    <w:uiPriority w:val="11"/>
    <w:rsid w:val="00D21D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21D3A"/>
    <w:pPr>
      <w:spacing w:before="160" w:after="160"/>
      <w:jc w:val="center"/>
    </w:pPr>
    <w:rPr>
      <w:i/>
      <w:iCs/>
      <w:color w:val="404040" w:themeColor="text1" w:themeTint="BF"/>
      <w:lang w:val="en-US"/>
    </w:rPr>
  </w:style>
  <w:style w:type="character" w:customStyle="1" w:styleId="a8">
    <w:name w:val="引用 字符"/>
    <w:basedOn w:val="a0"/>
    <w:link w:val="a7"/>
    <w:uiPriority w:val="29"/>
    <w:rsid w:val="00D21D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21D3A"/>
    <w:pPr>
      <w:ind w:left="720"/>
      <w:contextualSpacing/>
    </w:pPr>
    <w:rPr>
      <w:lang w:val="en-US"/>
    </w:rPr>
  </w:style>
  <w:style w:type="character" w:styleId="aa">
    <w:name w:val="Intense Emphasis"/>
    <w:basedOn w:val="a0"/>
    <w:uiPriority w:val="21"/>
    <w:qFormat/>
    <w:rsid w:val="00D21D3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21D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ac">
    <w:name w:val="明显引用 字符"/>
    <w:basedOn w:val="a0"/>
    <w:link w:val="ab"/>
    <w:uiPriority w:val="30"/>
    <w:rsid w:val="00D21D3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21D3A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D21D3A"/>
    <w:rPr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B4FABF1-DBA1-244A-9A43-7694ED059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737</Words>
  <Characters>4201</Characters>
  <Application>Microsoft Office Word</Application>
  <DocSecurity>0</DocSecurity>
  <Lines>35</Lines>
  <Paragraphs>9</Paragraphs>
  <ScaleCrop>false</ScaleCrop>
  <Company/>
  <LinksUpToDate>false</LinksUpToDate>
  <CharactersWithSpaces>4929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umuriel@163.com</dc:creator>
  <cp:keywords/>
  <dc:description/>
  <cp:lastModifiedBy>umuriel@163.com</cp:lastModifiedBy>
  <cp:revision>3</cp:revision>
  <dcterms:created xsi:type="dcterms:W3CDTF">2024-05-22T10:53:00Z</dcterms:created>
  <dcterms:modified xsi:type="dcterms:W3CDTF">2024-06-25T08:50:00Z</dcterms:modified>
</cp:coreProperties>
</file>