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2A847E" w14:textId="77777777" w:rsidR="0037483C" w:rsidRDefault="0037483C" w:rsidP="0037483C">
      <w:pPr>
        <w:jc w:val="cente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748C5237" wp14:editId="463B014A">
            <wp:extent cx="4584410" cy="6135077"/>
            <wp:effectExtent l="0" t="0" r="635" b="0"/>
            <wp:docPr id="1589049076" name="Picture 1" descr="A graph of a graph of a particle diame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049076" name="Picture 1" descr="A graph of a graph of a particle diameter&#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4618536" cy="6180745"/>
                    </a:xfrm>
                    <a:prstGeom prst="rect">
                      <a:avLst/>
                    </a:prstGeom>
                  </pic:spPr>
                </pic:pic>
              </a:graphicData>
            </a:graphic>
          </wp:inline>
        </w:drawing>
      </w:r>
    </w:p>
    <w:p w14:paraId="4529A712" w14:textId="77777777" w:rsidR="0037483C" w:rsidRDefault="0037483C" w:rsidP="0037483C">
      <w:pPr>
        <w:rPr>
          <w:rFonts w:ascii="Times New Roman" w:eastAsia="Times New Roman" w:hAnsi="Times New Roman" w:cs="Times New Roman"/>
          <w:sz w:val="22"/>
          <w:szCs w:val="22"/>
        </w:rPr>
      </w:pPr>
    </w:p>
    <w:p w14:paraId="69FB3A73"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Extended Data Fig. 1. </w:t>
      </w:r>
      <w:r>
        <w:rPr>
          <w:rFonts w:ascii="Times New Roman" w:eastAsia="Times New Roman" w:hAnsi="Times New Roman" w:cs="Times New Roman"/>
          <w:bCs/>
          <w:sz w:val="22"/>
          <w:szCs w:val="22"/>
        </w:rPr>
        <w:t>Properties of m</w:t>
      </w:r>
      <w:r>
        <w:rPr>
          <w:rFonts w:ascii="Times New Roman" w:eastAsia="Times New Roman" w:hAnsi="Times New Roman" w:cs="Times New Roman"/>
          <w:sz w:val="22"/>
          <w:szCs w:val="22"/>
        </w:rPr>
        <w:t xml:space="preserve">arine particle fractions. (a) Particle size distributions as determined by nanoparticle tracking analysis of the EV-enriched (blue) and VLP-enriched (red) fractions. (b) Rarefaction analysis of particle fraction diversity, as assessed by the number of unique 25kb regions of microbial reference genomes that recruited particle reads. Values indicate mean (line) and 95% confidence intervals (shaded region) of 10 replicate </w:t>
      </w:r>
      <w:proofErr w:type="spellStart"/>
      <w:r>
        <w:rPr>
          <w:rFonts w:ascii="Times New Roman" w:eastAsia="Times New Roman" w:hAnsi="Times New Roman" w:cs="Times New Roman"/>
          <w:sz w:val="22"/>
          <w:szCs w:val="22"/>
        </w:rPr>
        <w:t>resamplings</w:t>
      </w:r>
      <w:proofErr w:type="spellEnd"/>
      <w:r>
        <w:rPr>
          <w:rFonts w:ascii="Times New Roman" w:eastAsia="Times New Roman" w:hAnsi="Times New Roman" w:cs="Times New Roman"/>
          <w:sz w:val="22"/>
          <w:szCs w:val="22"/>
        </w:rPr>
        <w:t>.</w:t>
      </w:r>
    </w:p>
    <w:p w14:paraId="65FE309B" w14:textId="77777777" w:rsidR="0037483C" w:rsidRDefault="0037483C" w:rsidP="0037483C">
      <w:pPr>
        <w:rPr>
          <w:rFonts w:ascii="Times New Roman" w:eastAsia="Times New Roman" w:hAnsi="Times New Roman" w:cs="Times New Roman"/>
          <w:sz w:val="22"/>
          <w:szCs w:val="22"/>
        </w:rPr>
      </w:pPr>
    </w:p>
    <w:p w14:paraId="639B9A8D"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60AD50B8" wp14:editId="73FE7EB4">
            <wp:extent cx="4089400" cy="6197600"/>
            <wp:effectExtent l="0" t="0" r="0" b="0"/>
            <wp:docPr id="273828839" name="Picture 2"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828839" name="Picture 2" descr="A screenshot of a 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89400" cy="6197600"/>
                    </a:xfrm>
                    <a:prstGeom prst="rect">
                      <a:avLst/>
                    </a:prstGeom>
                  </pic:spPr>
                </pic:pic>
              </a:graphicData>
            </a:graphic>
          </wp:inline>
        </w:drawing>
      </w:r>
    </w:p>
    <w:p w14:paraId="6384F0CE" w14:textId="77777777" w:rsidR="0037483C" w:rsidRDefault="0037483C" w:rsidP="0037483C">
      <w:pPr>
        <w:rPr>
          <w:rFonts w:ascii="Times New Roman" w:eastAsia="Times New Roman" w:hAnsi="Times New Roman" w:cs="Times New Roman"/>
          <w:sz w:val="22"/>
          <w:szCs w:val="22"/>
        </w:rPr>
      </w:pPr>
    </w:p>
    <w:p w14:paraId="7E170A04" w14:textId="77777777" w:rsidR="0037483C" w:rsidRDefault="0037483C" w:rsidP="0037483C">
      <w:pPr>
        <w:rPr>
          <w:rFonts w:ascii="Times New Roman" w:eastAsia="Times New Roman" w:hAnsi="Times New Roman" w:cs="Times New Roman"/>
          <w:sz w:val="22"/>
          <w:szCs w:val="22"/>
        </w:rPr>
      </w:pPr>
    </w:p>
    <w:p w14:paraId="54E82CF8"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Extended Data Fig. 2. </w:t>
      </w:r>
      <w:r>
        <w:rPr>
          <w:rFonts w:ascii="Times New Roman" w:eastAsia="Times New Roman" w:hAnsi="Times New Roman" w:cs="Times New Roman"/>
          <w:bCs/>
          <w:sz w:val="22"/>
          <w:szCs w:val="22"/>
        </w:rPr>
        <w:t xml:space="preserve">(a) </w:t>
      </w:r>
      <w:r>
        <w:rPr>
          <w:rFonts w:ascii="Times New Roman" w:eastAsia="Times New Roman" w:hAnsi="Times New Roman" w:cs="Times New Roman"/>
          <w:sz w:val="22"/>
          <w:szCs w:val="22"/>
        </w:rPr>
        <w:t xml:space="preserve">Size distribution of taxonomically classified reads among the most abundant phyla. (b-c) Example alignments between (b) </w:t>
      </w:r>
      <w:r>
        <w:rPr>
          <w:rFonts w:ascii="Times New Roman" w:eastAsia="Times New Roman" w:hAnsi="Times New Roman" w:cs="Times New Roman"/>
          <w:i/>
          <w:sz w:val="22"/>
          <w:szCs w:val="22"/>
        </w:rPr>
        <w:t xml:space="preserve">Prochlorococcus </w:t>
      </w:r>
      <w:r>
        <w:rPr>
          <w:rFonts w:ascii="Times New Roman" w:eastAsia="Times New Roman" w:hAnsi="Times New Roman" w:cs="Times New Roman"/>
          <w:sz w:val="22"/>
          <w:szCs w:val="22"/>
        </w:rPr>
        <w:t xml:space="preserve">and (c) </w:t>
      </w:r>
      <w:proofErr w:type="spellStart"/>
      <w:r>
        <w:rPr>
          <w:rFonts w:ascii="Times New Roman" w:eastAsia="Times New Roman" w:hAnsi="Times New Roman" w:cs="Times New Roman"/>
          <w:i/>
          <w:sz w:val="22"/>
          <w:szCs w:val="22"/>
        </w:rPr>
        <w:t>Pelagibacter</w:t>
      </w:r>
      <w:proofErr w:type="spellEnd"/>
      <w:r>
        <w:rPr>
          <w:rFonts w:ascii="Times New Roman" w:eastAsia="Times New Roman" w:hAnsi="Times New Roman" w:cs="Times New Roman"/>
          <w:i/>
          <w:sz w:val="22"/>
          <w:szCs w:val="22"/>
        </w:rPr>
        <w:t xml:space="preserve"> </w:t>
      </w:r>
      <w:r>
        <w:rPr>
          <w:rFonts w:ascii="Times New Roman" w:eastAsia="Times New Roman" w:hAnsi="Times New Roman" w:cs="Times New Roman"/>
          <w:sz w:val="22"/>
          <w:szCs w:val="22"/>
        </w:rPr>
        <w:t>reference genomes to reads sequenced from the EV-enriched fraction with high nucleotide identity across the indicated length.</w:t>
      </w:r>
    </w:p>
    <w:p w14:paraId="6A120720" w14:textId="77777777" w:rsidR="0037483C" w:rsidRDefault="0037483C" w:rsidP="0037483C">
      <w:pPr>
        <w:jc w:val="cente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054FB3C2" wp14:editId="5DAFD066">
            <wp:extent cx="5408337" cy="5040923"/>
            <wp:effectExtent l="0" t="0" r="1905" b="1270"/>
            <wp:docPr id="1633323015" name="Picture 3" descr="A group of graphs showing different types of fract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323015" name="Picture 3" descr="A group of graphs showing different types of fraction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41028" cy="5071393"/>
                    </a:xfrm>
                    <a:prstGeom prst="rect">
                      <a:avLst/>
                    </a:prstGeom>
                  </pic:spPr>
                </pic:pic>
              </a:graphicData>
            </a:graphic>
          </wp:inline>
        </w:drawing>
      </w:r>
    </w:p>
    <w:p w14:paraId="50A83915" w14:textId="77777777" w:rsidR="0037483C" w:rsidRDefault="0037483C" w:rsidP="0037483C">
      <w:pPr>
        <w:rPr>
          <w:rFonts w:ascii="Times New Roman" w:eastAsia="Times New Roman" w:hAnsi="Times New Roman" w:cs="Times New Roman"/>
          <w:sz w:val="22"/>
          <w:szCs w:val="22"/>
        </w:rPr>
      </w:pPr>
    </w:p>
    <w:p w14:paraId="60A2A807"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Extended Data Fig. 3. </w:t>
      </w:r>
      <w:r>
        <w:rPr>
          <w:rFonts w:ascii="Times New Roman" w:eastAsia="Times New Roman" w:hAnsi="Times New Roman" w:cs="Times New Roman"/>
          <w:bCs/>
          <w:sz w:val="22"/>
          <w:szCs w:val="22"/>
        </w:rPr>
        <w:t xml:space="preserve">(a) </w:t>
      </w:r>
      <w:r>
        <w:rPr>
          <w:rFonts w:ascii="Times New Roman" w:eastAsia="Times New Roman" w:hAnsi="Times New Roman" w:cs="Times New Roman"/>
          <w:sz w:val="22"/>
          <w:szCs w:val="22"/>
        </w:rPr>
        <w:t>DNA fragment size distributions of classified mobile element subpopulations within the EV-enriched and VLP-enriched fractions. (b) Relative abundance of annotatable proteins per COG category in the two fractions.</w:t>
      </w:r>
    </w:p>
    <w:p w14:paraId="5B1506BB" w14:textId="77777777" w:rsidR="0037483C" w:rsidRDefault="0037483C" w:rsidP="0037483C">
      <w:pPr>
        <w:rPr>
          <w:rFonts w:ascii="Times New Roman" w:eastAsia="Times New Roman" w:hAnsi="Times New Roman" w:cs="Times New Roman"/>
          <w:sz w:val="22"/>
          <w:szCs w:val="22"/>
        </w:rPr>
      </w:pPr>
    </w:p>
    <w:p w14:paraId="50B02D3E"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3CDAB85D" wp14:editId="2DDFA36D">
            <wp:extent cx="5395918" cy="5267005"/>
            <wp:effectExtent l="0" t="0" r="0" b="0"/>
            <wp:docPr id="11" name="image22.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2.png" descr="A screenshot of a graph&#10;&#10;Description automatically generated"/>
                    <pic:cNvPicPr preferRelativeResize="0"/>
                  </pic:nvPicPr>
                  <pic:blipFill>
                    <a:blip r:embed="rId7"/>
                    <a:srcRect/>
                    <a:stretch>
                      <a:fillRect/>
                    </a:stretch>
                  </pic:blipFill>
                  <pic:spPr>
                    <a:xfrm>
                      <a:off x="0" y="0"/>
                      <a:ext cx="5395918" cy="5267005"/>
                    </a:xfrm>
                    <a:prstGeom prst="rect">
                      <a:avLst/>
                    </a:prstGeom>
                    <a:ln/>
                  </pic:spPr>
                </pic:pic>
              </a:graphicData>
            </a:graphic>
          </wp:inline>
        </w:drawing>
      </w:r>
    </w:p>
    <w:p w14:paraId="11C4804A" w14:textId="77777777" w:rsidR="0037483C" w:rsidRDefault="0037483C" w:rsidP="0037483C">
      <w:pPr>
        <w:rPr>
          <w:rFonts w:ascii="Times New Roman" w:eastAsia="Times New Roman" w:hAnsi="Times New Roman" w:cs="Times New Roman"/>
          <w:sz w:val="22"/>
          <w:szCs w:val="22"/>
        </w:rPr>
      </w:pPr>
    </w:p>
    <w:p w14:paraId="3A7A456A"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Extended Data Fig. 4. </w:t>
      </w:r>
      <w:r>
        <w:rPr>
          <w:rFonts w:ascii="Times New Roman" w:eastAsia="Times New Roman" w:hAnsi="Times New Roman" w:cs="Times New Roman"/>
          <w:sz w:val="22"/>
          <w:szCs w:val="22"/>
        </w:rPr>
        <w:t>Abundance of potential mobile element-like gene regions across taxa. (a) Distribution of reference genome coverage across unique genome regions (25kb), by phylum. (b) Example of differential read recruitment patterns in the two particle fractions across the same metagenome-assembled contig.</w:t>
      </w:r>
    </w:p>
    <w:p w14:paraId="7FC5C5A0"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sz w:val="22"/>
          <w:szCs w:val="22"/>
        </w:rPr>
        <w:br w:type="page"/>
      </w:r>
    </w:p>
    <w:p w14:paraId="613B8E53" w14:textId="77777777" w:rsidR="0037483C" w:rsidRDefault="0037483C" w:rsidP="0037483C">
      <w:pPr>
        <w:rPr>
          <w:rFonts w:ascii="Times New Roman" w:eastAsia="Times New Roman" w:hAnsi="Times New Roman" w:cs="Times New Roman"/>
          <w:sz w:val="22"/>
          <w:szCs w:val="22"/>
        </w:rPr>
      </w:pPr>
    </w:p>
    <w:p w14:paraId="44CFE217"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778D45B1" wp14:editId="01B780E1">
            <wp:extent cx="5943600" cy="1811655"/>
            <wp:effectExtent l="0" t="0" r="0" b="0"/>
            <wp:docPr id="3" name="image1.png" descr="A graph of different colored ba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png" descr="A graph of different colored bars&#10;&#10;Description automatically generated with medium confidence"/>
                    <pic:cNvPicPr preferRelativeResize="0"/>
                  </pic:nvPicPr>
                  <pic:blipFill>
                    <a:blip r:embed="rId8"/>
                    <a:srcRect/>
                    <a:stretch>
                      <a:fillRect/>
                    </a:stretch>
                  </pic:blipFill>
                  <pic:spPr>
                    <a:xfrm>
                      <a:off x="0" y="0"/>
                      <a:ext cx="5943600" cy="1811655"/>
                    </a:xfrm>
                    <a:prstGeom prst="rect">
                      <a:avLst/>
                    </a:prstGeom>
                    <a:ln/>
                  </pic:spPr>
                </pic:pic>
              </a:graphicData>
            </a:graphic>
          </wp:inline>
        </w:drawing>
      </w:r>
    </w:p>
    <w:p w14:paraId="76216152" w14:textId="77777777" w:rsidR="0037483C" w:rsidRDefault="0037483C" w:rsidP="0037483C">
      <w:pPr>
        <w:rPr>
          <w:rFonts w:ascii="Times New Roman" w:eastAsia="Times New Roman" w:hAnsi="Times New Roman" w:cs="Times New Roman"/>
          <w:sz w:val="22"/>
          <w:szCs w:val="22"/>
        </w:rPr>
      </w:pPr>
    </w:p>
    <w:p w14:paraId="799F863D"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Extended Data Fig. 5. </w:t>
      </w:r>
      <w:r>
        <w:rPr>
          <w:rFonts w:ascii="Times New Roman" w:eastAsia="Times New Roman" w:hAnsi="Times New Roman" w:cs="Times New Roman"/>
          <w:sz w:val="22"/>
          <w:szCs w:val="22"/>
        </w:rPr>
        <w:t>Details of potential MGE clusters inferred from hallmark gene co-occurrence patterns. (a) Relative abundance of hallmark genes associated with each greedy cluster, by functional category. (b) Number of sequenced reads associated with each inferred cluster, separated by particle fraction.</w:t>
      </w:r>
    </w:p>
    <w:p w14:paraId="77EDD14F"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77D7E8AA" wp14:editId="3105B30E">
            <wp:extent cx="5744807" cy="7300078"/>
            <wp:effectExtent l="0" t="0" r="0" b="0"/>
            <wp:docPr id="2" name="image20.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0.png" descr="A screenshot of a graph&#10;&#10;Description automatically generated"/>
                    <pic:cNvPicPr preferRelativeResize="0"/>
                  </pic:nvPicPr>
                  <pic:blipFill>
                    <a:blip r:embed="rId9"/>
                    <a:srcRect/>
                    <a:stretch>
                      <a:fillRect/>
                    </a:stretch>
                  </pic:blipFill>
                  <pic:spPr>
                    <a:xfrm>
                      <a:off x="0" y="0"/>
                      <a:ext cx="5744807" cy="7300078"/>
                    </a:xfrm>
                    <a:prstGeom prst="rect">
                      <a:avLst/>
                    </a:prstGeom>
                    <a:ln/>
                  </pic:spPr>
                </pic:pic>
              </a:graphicData>
            </a:graphic>
          </wp:inline>
        </w:drawing>
      </w:r>
    </w:p>
    <w:p w14:paraId="7983CD57"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Extended Data Fig. 6. </w:t>
      </w:r>
      <w:r>
        <w:rPr>
          <w:rFonts w:ascii="Times New Roman" w:eastAsia="Times New Roman" w:hAnsi="Times New Roman" w:cs="Times New Roman"/>
          <w:sz w:val="22"/>
          <w:szCs w:val="22"/>
        </w:rPr>
        <w:t xml:space="preserve">Examples of randomly selected reads from each major network cluster in Fig. 3d. Grey shared areas indicate regions of shared nucleotide-level similarity between adjacent reads. Gene colors indicate putative functional annotation of the hallmark gene as determined by </w:t>
      </w:r>
      <w:proofErr w:type="spellStart"/>
      <w:r>
        <w:rPr>
          <w:rFonts w:ascii="Times New Roman" w:eastAsia="Times New Roman" w:hAnsi="Times New Roman" w:cs="Times New Roman"/>
          <w:sz w:val="22"/>
          <w:szCs w:val="22"/>
        </w:rPr>
        <w:t>mobileOG</w:t>
      </w:r>
      <w:proofErr w:type="spellEnd"/>
      <w:r>
        <w:rPr>
          <w:rFonts w:ascii="Times New Roman" w:eastAsia="Times New Roman" w:hAnsi="Times New Roman" w:cs="Times New Roman"/>
          <w:sz w:val="22"/>
          <w:szCs w:val="22"/>
        </w:rPr>
        <w:t>-db.</w:t>
      </w:r>
    </w:p>
    <w:p w14:paraId="5069765E" w14:textId="77777777" w:rsidR="0037483C" w:rsidRDefault="0037483C" w:rsidP="0037483C">
      <w:pPr>
        <w:rPr>
          <w:rFonts w:ascii="Times New Roman" w:eastAsia="Times New Roman" w:hAnsi="Times New Roman" w:cs="Times New Roman"/>
          <w:sz w:val="22"/>
          <w:szCs w:val="22"/>
        </w:rPr>
      </w:pPr>
    </w:p>
    <w:p w14:paraId="78EEE669"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42B2DCDA" wp14:editId="62CF7CF2">
            <wp:extent cx="5943600" cy="7584440"/>
            <wp:effectExtent l="0" t="0" r="0" b="0"/>
            <wp:docPr id="4" name="image13.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png" descr="A screenshot of a graph&#10;&#10;Description automatically generated"/>
                    <pic:cNvPicPr preferRelativeResize="0"/>
                  </pic:nvPicPr>
                  <pic:blipFill>
                    <a:blip r:embed="rId10"/>
                    <a:srcRect/>
                    <a:stretch>
                      <a:fillRect/>
                    </a:stretch>
                  </pic:blipFill>
                  <pic:spPr>
                    <a:xfrm>
                      <a:off x="0" y="0"/>
                      <a:ext cx="5943600" cy="7584440"/>
                    </a:xfrm>
                    <a:prstGeom prst="rect">
                      <a:avLst/>
                    </a:prstGeom>
                    <a:ln/>
                  </pic:spPr>
                </pic:pic>
              </a:graphicData>
            </a:graphic>
          </wp:inline>
        </w:drawing>
      </w:r>
    </w:p>
    <w:p w14:paraId="000A4A6D" w14:textId="77777777" w:rsidR="0037483C" w:rsidRDefault="0037483C" w:rsidP="0037483C">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Extended Data Fig. 6 (continued).</w:t>
      </w:r>
      <w:r>
        <w:br w:type="page"/>
      </w:r>
    </w:p>
    <w:p w14:paraId="25D5E9E0" w14:textId="77777777" w:rsidR="0037483C" w:rsidRDefault="0037483C" w:rsidP="0037483C">
      <w:pPr>
        <w:rPr>
          <w:rFonts w:ascii="Times New Roman" w:eastAsia="Times New Roman" w:hAnsi="Times New Roman" w:cs="Times New Roman"/>
          <w:b/>
          <w:sz w:val="22"/>
          <w:szCs w:val="22"/>
        </w:rPr>
      </w:pPr>
      <w:r>
        <w:rPr>
          <w:rFonts w:ascii="Times New Roman" w:eastAsia="Times New Roman" w:hAnsi="Times New Roman" w:cs="Times New Roman"/>
          <w:b/>
          <w:noProof/>
          <w:sz w:val="22"/>
          <w:szCs w:val="22"/>
        </w:rPr>
        <w:lastRenderedPageBreak/>
        <w:drawing>
          <wp:inline distT="0" distB="0" distL="0" distR="0" wp14:anchorId="4CF94361" wp14:editId="119AB68F">
            <wp:extent cx="5943600" cy="7448550"/>
            <wp:effectExtent l="0" t="0" r="0" b="0"/>
            <wp:docPr id="23" name="image16.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6.png" descr="A screenshot of a graph&#10;&#10;Description automatically generated"/>
                    <pic:cNvPicPr preferRelativeResize="0"/>
                  </pic:nvPicPr>
                  <pic:blipFill>
                    <a:blip r:embed="rId11"/>
                    <a:srcRect/>
                    <a:stretch>
                      <a:fillRect/>
                    </a:stretch>
                  </pic:blipFill>
                  <pic:spPr>
                    <a:xfrm>
                      <a:off x="0" y="0"/>
                      <a:ext cx="5943600" cy="7448550"/>
                    </a:xfrm>
                    <a:prstGeom prst="rect">
                      <a:avLst/>
                    </a:prstGeom>
                    <a:ln/>
                  </pic:spPr>
                </pic:pic>
              </a:graphicData>
            </a:graphic>
          </wp:inline>
        </w:drawing>
      </w:r>
    </w:p>
    <w:p w14:paraId="1A7A0BA6" w14:textId="77777777" w:rsidR="0037483C" w:rsidRDefault="0037483C" w:rsidP="0037483C">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Extended Data Fig. 6 (continued).</w:t>
      </w:r>
    </w:p>
    <w:p w14:paraId="571D952D"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775A4903" wp14:editId="5DAFF9B7">
            <wp:extent cx="5943600" cy="7599680"/>
            <wp:effectExtent l="0" t="0" r="0" b="0"/>
            <wp:docPr id="21" name="image18.png" descr="A screenshot of a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8.png" descr="A screenshot of a diagram&#10;&#10;Description automatically generated"/>
                    <pic:cNvPicPr preferRelativeResize="0"/>
                  </pic:nvPicPr>
                  <pic:blipFill>
                    <a:blip r:embed="rId12"/>
                    <a:srcRect/>
                    <a:stretch>
                      <a:fillRect/>
                    </a:stretch>
                  </pic:blipFill>
                  <pic:spPr>
                    <a:xfrm>
                      <a:off x="0" y="0"/>
                      <a:ext cx="5943600" cy="7599680"/>
                    </a:xfrm>
                    <a:prstGeom prst="rect">
                      <a:avLst/>
                    </a:prstGeom>
                    <a:ln/>
                  </pic:spPr>
                </pic:pic>
              </a:graphicData>
            </a:graphic>
          </wp:inline>
        </w:drawing>
      </w:r>
    </w:p>
    <w:p w14:paraId="24F0D031" w14:textId="77777777" w:rsidR="0037483C" w:rsidRPr="000F30EA" w:rsidRDefault="0037483C" w:rsidP="0037483C">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Extended Data Fig. 6 (continued).</w:t>
      </w:r>
    </w:p>
    <w:p w14:paraId="456FB068"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430BC49C" wp14:editId="35827A6D">
            <wp:extent cx="5943600" cy="7451090"/>
            <wp:effectExtent l="0" t="0" r="0" b="0"/>
            <wp:docPr id="20" name="image10.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png" descr="A screenshot of a graph&#10;&#10;Description automatically generated"/>
                    <pic:cNvPicPr preferRelativeResize="0"/>
                  </pic:nvPicPr>
                  <pic:blipFill>
                    <a:blip r:embed="rId13"/>
                    <a:srcRect/>
                    <a:stretch>
                      <a:fillRect/>
                    </a:stretch>
                  </pic:blipFill>
                  <pic:spPr>
                    <a:xfrm>
                      <a:off x="0" y="0"/>
                      <a:ext cx="5943600" cy="7451090"/>
                    </a:xfrm>
                    <a:prstGeom prst="rect">
                      <a:avLst/>
                    </a:prstGeom>
                    <a:ln/>
                  </pic:spPr>
                </pic:pic>
              </a:graphicData>
            </a:graphic>
          </wp:inline>
        </w:drawing>
      </w:r>
    </w:p>
    <w:p w14:paraId="68CF5FFE" w14:textId="77777777" w:rsidR="0037483C" w:rsidRPr="000F30EA" w:rsidRDefault="0037483C" w:rsidP="0037483C">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Extended Data Fig. 6 (continued).</w:t>
      </w:r>
    </w:p>
    <w:p w14:paraId="76A287C9" w14:textId="77777777" w:rsidR="0037483C" w:rsidRDefault="0037483C" w:rsidP="0037483C">
      <w:pPr>
        <w:rPr>
          <w:rFonts w:ascii="Times New Roman" w:eastAsia="Times New Roman" w:hAnsi="Times New Roman" w:cs="Times New Roman"/>
          <w:sz w:val="22"/>
          <w:szCs w:val="22"/>
        </w:rPr>
      </w:pPr>
      <w:r>
        <w:br w:type="page"/>
      </w:r>
    </w:p>
    <w:p w14:paraId="5440152B" w14:textId="77777777" w:rsidR="0037483C" w:rsidRDefault="0037483C" w:rsidP="0037483C">
      <w:pPr>
        <w:rPr>
          <w:rFonts w:ascii="Times New Roman" w:eastAsia="Times New Roman" w:hAnsi="Times New Roman" w:cs="Times New Roman"/>
          <w:sz w:val="22"/>
          <w:szCs w:val="22"/>
        </w:rPr>
      </w:pPr>
    </w:p>
    <w:p w14:paraId="3978E2DF"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699F74B2" wp14:editId="254CCD59">
            <wp:extent cx="5943600" cy="3293110"/>
            <wp:effectExtent l="0" t="0" r="0" b="0"/>
            <wp:docPr id="16" name="image19.png" descr="A diagram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9.png" descr="A diagram of a graph&#10;&#10;Description automatically generated with medium confidence"/>
                    <pic:cNvPicPr preferRelativeResize="0"/>
                  </pic:nvPicPr>
                  <pic:blipFill>
                    <a:blip r:embed="rId14"/>
                    <a:srcRect/>
                    <a:stretch>
                      <a:fillRect/>
                    </a:stretch>
                  </pic:blipFill>
                  <pic:spPr>
                    <a:xfrm>
                      <a:off x="0" y="0"/>
                      <a:ext cx="5943600" cy="3293110"/>
                    </a:xfrm>
                    <a:prstGeom prst="rect">
                      <a:avLst/>
                    </a:prstGeom>
                    <a:ln/>
                  </pic:spPr>
                </pic:pic>
              </a:graphicData>
            </a:graphic>
          </wp:inline>
        </w:drawing>
      </w:r>
    </w:p>
    <w:p w14:paraId="6DA44D17" w14:textId="77777777" w:rsidR="0037483C" w:rsidRPr="000F30EA" w:rsidRDefault="0037483C" w:rsidP="0037483C">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Extended Data Fig. 6 (continued).</w:t>
      </w:r>
      <w:r>
        <w:br w:type="page"/>
      </w:r>
    </w:p>
    <w:p w14:paraId="532E6184" w14:textId="77777777" w:rsidR="0037483C" w:rsidRDefault="0037483C" w:rsidP="0037483C">
      <w:pPr>
        <w:rPr>
          <w:rFonts w:ascii="Times New Roman" w:eastAsia="Times New Roman" w:hAnsi="Times New Roman" w:cs="Times New Roman"/>
          <w:sz w:val="22"/>
          <w:szCs w:val="22"/>
        </w:rPr>
      </w:pPr>
    </w:p>
    <w:p w14:paraId="355FF007" w14:textId="77777777" w:rsidR="0037483C" w:rsidRDefault="0037483C" w:rsidP="0037483C">
      <w:pPr>
        <w:jc w:val="center"/>
        <w:rPr>
          <w:rFonts w:ascii="Times New Roman" w:eastAsia="Times New Roman" w:hAnsi="Times New Roman" w:cs="Times New Roman"/>
          <w:sz w:val="22"/>
          <w:szCs w:val="22"/>
        </w:rPr>
      </w:pPr>
    </w:p>
    <w:p w14:paraId="3C8805AC" w14:textId="77777777" w:rsidR="0037483C" w:rsidRDefault="0037483C" w:rsidP="0037483C">
      <w:pPr>
        <w:jc w:val="cente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0E6E8C67" wp14:editId="420D0051">
            <wp:extent cx="5363590" cy="4531803"/>
            <wp:effectExtent l="0" t="0" r="0" b="0"/>
            <wp:docPr id="22" name="image14.png" descr="A diagram of different colo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4.png" descr="A diagram of different colored lines&#10;&#10;Description automatically generated"/>
                    <pic:cNvPicPr preferRelativeResize="0"/>
                  </pic:nvPicPr>
                  <pic:blipFill>
                    <a:blip r:embed="rId15"/>
                    <a:srcRect/>
                    <a:stretch>
                      <a:fillRect/>
                    </a:stretch>
                  </pic:blipFill>
                  <pic:spPr>
                    <a:xfrm>
                      <a:off x="0" y="0"/>
                      <a:ext cx="5363590" cy="4531803"/>
                    </a:xfrm>
                    <a:prstGeom prst="rect">
                      <a:avLst/>
                    </a:prstGeom>
                    <a:ln/>
                  </pic:spPr>
                </pic:pic>
              </a:graphicData>
            </a:graphic>
          </wp:inline>
        </w:drawing>
      </w:r>
    </w:p>
    <w:p w14:paraId="494E7C1D"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Extended Data Fig. 7. </w:t>
      </w:r>
      <w:r>
        <w:rPr>
          <w:rFonts w:ascii="Times New Roman" w:eastAsia="Times New Roman" w:hAnsi="Times New Roman" w:cs="Times New Roman"/>
          <w:sz w:val="22"/>
          <w:szCs w:val="22"/>
        </w:rPr>
        <w:t xml:space="preserve">(a-b): Selected examples of particle-associated </w:t>
      </w:r>
      <w:r>
        <w:rPr>
          <w:rFonts w:ascii="Times New Roman" w:eastAsia="Times New Roman" w:hAnsi="Times New Roman" w:cs="Times New Roman"/>
          <w:i/>
          <w:sz w:val="22"/>
          <w:szCs w:val="22"/>
        </w:rPr>
        <w:t xml:space="preserve">Prochlorococcus </w:t>
      </w:r>
      <w:r>
        <w:rPr>
          <w:rFonts w:ascii="Times New Roman" w:eastAsia="Times New Roman" w:hAnsi="Times New Roman" w:cs="Times New Roman"/>
          <w:sz w:val="22"/>
          <w:szCs w:val="22"/>
        </w:rPr>
        <w:t xml:space="preserve">MGE-like regions containing potentially functional metabolic genes. (c-d): Selected examples of putative plasmid-like sequences identified by </w:t>
      </w:r>
      <w:proofErr w:type="spellStart"/>
      <w:r>
        <w:rPr>
          <w:rFonts w:ascii="Times New Roman" w:eastAsia="Times New Roman" w:hAnsi="Times New Roman" w:cs="Times New Roman"/>
          <w:sz w:val="22"/>
          <w:szCs w:val="22"/>
        </w:rPr>
        <w:t>geNomad</w:t>
      </w:r>
      <w:proofErr w:type="spellEnd"/>
      <w:r>
        <w:rPr>
          <w:rFonts w:ascii="Times New Roman" w:eastAsia="Times New Roman" w:hAnsi="Times New Roman" w:cs="Times New Roman"/>
          <w:sz w:val="22"/>
          <w:szCs w:val="22"/>
        </w:rPr>
        <w:t>.</w:t>
      </w:r>
    </w:p>
    <w:p w14:paraId="62FC3C33" w14:textId="77777777" w:rsidR="0037483C" w:rsidRDefault="0037483C" w:rsidP="0037483C">
      <w:pPr>
        <w:rPr>
          <w:rFonts w:ascii="Times New Roman" w:eastAsia="Times New Roman" w:hAnsi="Times New Roman" w:cs="Times New Roman"/>
          <w:sz w:val="22"/>
          <w:szCs w:val="22"/>
        </w:rPr>
      </w:pPr>
    </w:p>
    <w:p w14:paraId="019E5E4D" w14:textId="77777777" w:rsidR="0037483C" w:rsidRDefault="0037483C" w:rsidP="0037483C">
      <w:pPr>
        <w:jc w:val="cente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07D20669" wp14:editId="1F4C9B99">
            <wp:extent cx="4626190" cy="5963139"/>
            <wp:effectExtent l="0" t="0" r="0" b="6350"/>
            <wp:docPr id="407860625" name="Picture 4"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860625" name="Picture 4" descr="A diagram of a graph&#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645033" cy="5987428"/>
                    </a:xfrm>
                    <a:prstGeom prst="rect">
                      <a:avLst/>
                    </a:prstGeom>
                  </pic:spPr>
                </pic:pic>
              </a:graphicData>
            </a:graphic>
          </wp:inline>
        </w:drawing>
      </w:r>
    </w:p>
    <w:p w14:paraId="3394676C" w14:textId="77777777" w:rsidR="0037483C" w:rsidRDefault="0037483C" w:rsidP="0037483C">
      <w:pPr>
        <w:rPr>
          <w:rFonts w:ascii="Times New Roman" w:eastAsia="Times New Roman" w:hAnsi="Times New Roman" w:cs="Times New Roman"/>
          <w:sz w:val="22"/>
          <w:szCs w:val="22"/>
        </w:rPr>
      </w:pPr>
    </w:p>
    <w:p w14:paraId="5F505D98"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Extended Data Fig. 8. </w:t>
      </w:r>
      <w:r>
        <w:rPr>
          <w:rFonts w:ascii="Times New Roman" w:eastAsia="Times New Roman" w:hAnsi="Times New Roman" w:cs="Times New Roman"/>
          <w:bCs/>
          <w:sz w:val="22"/>
          <w:szCs w:val="22"/>
        </w:rPr>
        <w:t xml:space="preserve">Properties of mobilized </w:t>
      </w:r>
      <w:proofErr w:type="spellStart"/>
      <w:r>
        <w:rPr>
          <w:rFonts w:ascii="Times New Roman" w:eastAsia="Times New Roman" w:hAnsi="Times New Roman" w:cs="Times New Roman"/>
          <w:bCs/>
          <w:i/>
          <w:iCs/>
          <w:sz w:val="22"/>
          <w:szCs w:val="22"/>
        </w:rPr>
        <w:t>Pelagibacter</w:t>
      </w:r>
      <w:proofErr w:type="spellEnd"/>
      <w:r>
        <w:rPr>
          <w:rFonts w:ascii="Times New Roman" w:eastAsia="Times New Roman" w:hAnsi="Times New Roman" w:cs="Times New Roman"/>
          <w:bCs/>
          <w:i/>
          <w:iCs/>
          <w:sz w:val="22"/>
          <w:szCs w:val="22"/>
        </w:rPr>
        <w:t xml:space="preserve"> </w:t>
      </w:r>
      <w:r>
        <w:rPr>
          <w:rFonts w:ascii="Times New Roman" w:eastAsia="Times New Roman" w:hAnsi="Times New Roman" w:cs="Times New Roman"/>
          <w:bCs/>
          <w:sz w:val="22"/>
          <w:szCs w:val="22"/>
        </w:rPr>
        <w:t xml:space="preserve">genetic information. (a) Nanopore read length distribution of </w:t>
      </w:r>
      <w:proofErr w:type="spellStart"/>
      <w:r>
        <w:rPr>
          <w:rFonts w:ascii="Times New Roman" w:eastAsia="Times New Roman" w:hAnsi="Times New Roman" w:cs="Times New Roman"/>
          <w:bCs/>
          <w:i/>
          <w:iCs/>
          <w:sz w:val="22"/>
          <w:szCs w:val="22"/>
        </w:rPr>
        <w:t>Pelagibacter</w:t>
      </w:r>
      <w:proofErr w:type="spellEnd"/>
      <w:r>
        <w:rPr>
          <w:rFonts w:ascii="Times New Roman" w:eastAsia="Times New Roman" w:hAnsi="Times New Roman" w:cs="Times New Roman"/>
          <w:bCs/>
          <w:i/>
          <w:iCs/>
          <w:sz w:val="22"/>
          <w:szCs w:val="22"/>
        </w:rPr>
        <w:t>-</w:t>
      </w:r>
      <w:r>
        <w:rPr>
          <w:rFonts w:ascii="Times New Roman" w:eastAsia="Times New Roman" w:hAnsi="Times New Roman" w:cs="Times New Roman"/>
          <w:bCs/>
          <w:sz w:val="22"/>
          <w:szCs w:val="22"/>
        </w:rPr>
        <w:t xml:space="preserve">like sequences from the two particle fractions. (b) </w:t>
      </w:r>
      <w:r>
        <w:rPr>
          <w:rFonts w:ascii="Times New Roman" w:eastAsia="Times New Roman" w:hAnsi="Times New Roman" w:cs="Times New Roman"/>
          <w:sz w:val="22"/>
          <w:szCs w:val="22"/>
        </w:rPr>
        <w:t xml:space="preserve">Coverage depth of </w:t>
      </w:r>
      <w:proofErr w:type="spellStart"/>
      <w:r>
        <w:rPr>
          <w:rFonts w:ascii="Times New Roman" w:eastAsia="Times New Roman" w:hAnsi="Times New Roman" w:cs="Times New Roman"/>
          <w:i/>
          <w:sz w:val="22"/>
          <w:szCs w:val="22"/>
        </w:rPr>
        <w:t>Pelagibacter</w:t>
      </w:r>
      <w:proofErr w:type="spellEnd"/>
      <w:r>
        <w:rPr>
          <w:rFonts w:ascii="Times New Roman" w:eastAsia="Times New Roman" w:hAnsi="Times New Roman" w:cs="Times New Roman"/>
          <w:i/>
          <w:sz w:val="22"/>
          <w:szCs w:val="22"/>
        </w:rPr>
        <w:t xml:space="preserve"> </w:t>
      </w:r>
      <w:r>
        <w:rPr>
          <w:rFonts w:ascii="Times New Roman" w:eastAsia="Times New Roman" w:hAnsi="Times New Roman" w:cs="Times New Roman"/>
          <w:sz w:val="22"/>
          <w:szCs w:val="22"/>
        </w:rPr>
        <w:t xml:space="preserve">reference genome regions (25 kb) which recruited long reads exclusively from one particle fraction. Of the 1644 </w:t>
      </w:r>
      <w:proofErr w:type="spellStart"/>
      <w:r>
        <w:rPr>
          <w:rFonts w:ascii="Times New Roman" w:eastAsia="Times New Roman" w:hAnsi="Times New Roman" w:cs="Times New Roman"/>
          <w:i/>
          <w:sz w:val="22"/>
          <w:szCs w:val="22"/>
        </w:rPr>
        <w:t>Pelagibacter</w:t>
      </w:r>
      <w:proofErr w:type="spellEnd"/>
      <w:r>
        <w:rPr>
          <w:rFonts w:ascii="Times New Roman" w:eastAsia="Times New Roman" w:hAnsi="Times New Roman" w:cs="Times New Roman"/>
          <w:i/>
          <w:sz w:val="22"/>
          <w:szCs w:val="22"/>
        </w:rPr>
        <w:t xml:space="preserve"> </w:t>
      </w:r>
      <w:r>
        <w:rPr>
          <w:rFonts w:ascii="Times New Roman" w:eastAsia="Times New Roman" w:hAnsi="Times New Roman" w:cs="Times New Roman"/>
          <w:sz w:val="22"/>
          <w:szCs w:val="22"/>
        </w:rPr>
        <w:t xml:space="preserve">reference genome regions that recruited &gt;1 read, 82 were only found in the VLP-enriched fraction, and 68 regions were found exclusively in the EV-enriched fraction. EV-enriched regions were only counted as “exclusive” at a coverage level of &gt;11 </w:t>
      </w:r>
      <w:proofErr w:type="gramStart"/>
      <w:r>
        <w:rPr>
          <w:rFonts w:ascii="Times New Roman" w:eastAsia="Times New Roman" w:hAnsi="Times New Roman" w:cs="Times New Roman"/>
          <w:sz w:val="22"/>
          <w:szCs w:val="22"/>
        </w:rPr>
        <w:t>reads,</w:t>
      </w:r>
      <w:proofErr w:type="gramEnd"/>
      <w:r>
        <w:rPr>
          <w:rFonts w:ascii="Times New Roman" w:eastAsia="Times New Roman" w:hAnsi="Times New Roman" w:cs="Times New Roman"/>
          <w:sz w:val="22"/>
          <w:szCs w:val="22"/>
        </w:rPr>
        <w:t xml:space="preserve"> to account for the greater sequencing depth of the EV-enriched vs the VLP-enriched fractions (Table 1).</w:t>
      </w:r>
    </w:p>
    <w:p w14:paraId="292380E0"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58FA11ED" wp14:editId="0C8E86AB">
            <wp:extent cx="5943600" cy="5050155"/>
            <wp:effectExtent l="0" t="0" r="0" b="0"/>
            <wp:docPr id="7" name="image8.png" descr="A diagram of a diagram of a variety of object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8.png" descr="A diagram of a diagram of a variety of objects&#10;&#10;Description automatically generated with medium confidence"/>
                    <pic:cNvPicPr preferRelativeResize="0"/>
                  </pic:nvPicPr>
                  <pic:blipFill>
                    <a:blip r:embed="rId17"/>
                    <a:srcRect/>
                    <a:stretch>
                      <a:fillRect/>
                    </a:stretch>
                  </pic:blipFill>
                  <pic:spPr>
                    <a:xfrm>
                      <a:off x="0" y="0"/>
                      <a:ext cx="5943600" cy="5050155"/>
                    </a:xfrm>
                    <a:prstGeom prst="rect">
                      <a:avLst/>
                    </a:prstGeom>
                    <a:ln/>
                  </pic:spPr>
                </pic:pic>
              </a:graphicData>
            </a:graphic>
          </wp:inline>
        </w:drawing>
      </w:r>
    </w:p>
    <w:p w14:paraId="5213DBB4" w14:textId="77777777" w:rsidR="0037483C"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Extended Data Fig. 9. </w:t>
      </w:r>
      <w:r>
        <w:rPr>
          <w:rFonts w:ascii="Times New Roman" w:eastAsia="Times New Roman" w:hAnsi="Times New Roman" w:cs="Times New Roman"/>
          <w:sz w:val="22"/>
          <w:szCs w:val="22"/>
        </w:rPr>
        <w:t xml:space="preserve">Additional examples of </w:t>
      </w:r>
      <w:proofErr w:type="spellStart"/>
      <w:r>
        <w:rPr>
          <w:rFonts w:ascii="Times New Roman" w:eastAsia="Times New Roman" w:hAnsi="Times New Roman" w:cs="Times New Roman"/>
          <w:i/>
          <w:sz w:val="22"/>
          <w:szCs w:val="22"/>
        </w:rPr>
        <w:t>Pelagibacter</w:t>
      </w:r>
      <w:proofErr w:type="spellEnd"/>
      <w:r>
        <w:rPr>
          <w:rFonts w:ascii="Times New Roman" w:eastAsia="Times New Roman" w:hAnsi="Times New Roman" w:cs="Times New Roman"/>
          <w:sz w:val="22"/>
          <w:szCs w:val="22"/>
        </w:rPr>
        <w:t xml:space="preserve">-associated mobile elements inferred from particle read enrichment. (a-e) Alignments of </w:t>
      </w:r>
      <w:proofErr w:type="spellStart"/>
      <w:r>
        <w:rPr>
          <w:rFonts w:ascii="Times New Roman" w:eastAsia="Times New Roman" w:hAnsi="Times New Roman" w:cs="Times New Roman"/>
          <w:i/>
          <w:sz w:val="22"/>
          <w:szCs w:val="22"/>
        </w:rPr>
        <w:t>Pelagibacter</w:t>
      </w:r>
      <w:proofErr w:type="spellEnd"/>
      <w:r>
        <w:rPr>
          <w:rFonts w:ascii="Times New Roman" w:eastAsia="Times New Roman" w:hAnsi="Times New Roman" w:cs="Times New Roman"/>
          <w:i/>
          <w:sz w:val="22"/>
          <w:szCs w:val="22"/>
        </w:rPr>
        <w:t xml:space="preserve"> </w:t>
      </w:r>
      <w:r>
        <w:rPr>
          <w:rFonts w:ascii="Times New Roman" w:eastAsia="Times New Roman" w:hAnsi="Times New Roman" w:cs="Times New Roman"/>
          <w:sz w:val="22"/>
          <w:szCs w:val="22"/>
        </w:rPr>
        <w:t>reference genome regions (top line) vs particle-associated reads (below). Grey lines indicate regions of significant nucleotide-level similarity between adjacent reads; gene colors indicate members of the same protein sequence cluster. (f) Alignment of reads to SAR11 reference contig NHDR01000018.1 (</w:t>
      </w:r>
      <w:proofErr w:type="spellStart"/>
      <w:r>
        <w:rPr>
          <w:rFonts w:ascii="Times New Roman" w:eastAsia="Times New Roman" w:hAnsi="Times New Roman" w:cs="Times New Roman"/>
          <w:sz w:val="22"/>
          <w:szCs w:val="22"/>
        </w:rPr>
        <w:t>Candidatus</w:t>
      </w:r>
      <w:proofErr w:type="spellEnd"/>
      <w:r>
        <w:rPr>
          <w:rFonts w:ascii="Times New Roman" w:eastAsia="Times New Roman" w:hAnsi="Times New Roman" w:cs="Times New Roman"/>
          <w:sz w:val="22"/>
          <w:szCs w:val="22"/>
        </w:rPr>
        <w:t xml:space="preserve"> </w:t>
      </w:r>
      <w:proofErr w:type="spellStart"/>
      <w:r>
        <w:rPr>
          <w:rFonts w:ascii="Times New Roman" w:eastAsia="Times New Roman" w:hAnsi="Times New Roman" w:cs="Times New Roman"/>
          <w:i/>
          <w:sz w:val="22"/>
          <w:szCs w:val="22"/>
        </w:rPr>
        <w:t>Pelagibacter</w:t>
      </w:r>
      <w:proofErr w:type="spellEnd"/>
      <w:r>
        <w:rPr>
          <w:rFonts w:ascii="Times New Roman" w:eastAsia="Times New Roman" w:hAnsi="Times New Roman" w:cs="Times New Roman"/>
          <w:sz w:val="22"/>
          <w:szCs w:val="22"/>
        </w:rPr>
        <w:t xml:space="preserve"> sp. TMED64) in the two fractions. Inset: box-and-whiskers plot showing the distribution of all long reads identified (based on sequence similarity to hypothetical protein CBC24_02375) in the EV- and VLP-enriched fractions</w:t>
      </w:r>
    </w:p>
    <w:p w14:paraId="5EE0696C" w14:textId="77777777" w:rsidR="0037483C" w:rsidRDefault="0037483C" w:rsidP="0037483C">
      <w:pPr>
        <w:jc w:val="cente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52D1123B" wp14:editId="39B53F8B">
            <wp:extent cx="4838700" cy="3733800"/>
            <wp:effectExtent l="0" t="0" r="0" b="0"/>
            <wp:docPr id="13" name="image3.png" descr="A circular diagram with many colored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3.png" descr="A circular diagram with many colored lines&#10;&#10;Description automatically generated with medium confidence"/>
                    <pic:cNvPicPr preferRelativeResize="0"/>
                  </pic:nvPicPr>
                  <pic:blipFill>
                    <a:blip r:embed="rId18"/>
                    <a:srcRect/>
                    <a:stretch>
                      <a:fillRect/>
                    </a:stretch>
                  </pic:blipFill>
                  <pic:spPr>
                    <a:xfrm>
                      <a:off x="0" y="0"/>
                      <a:ext cx="4838700" cy="3733800"/>
                    </a:xfrm>
                    <a:prstGeom prst="rect">
                      <a:avLst/>
                    </a:prstGeom>
                    <a:ln/>
                  </pic:spPr>
                </pic:pic>
              </a:graphicData>
            </a:graphic>
          </wp:inline>
        </w:drawing>
      </w:r>
    </w:p>
    <w:p w14:paraId="623936B0" w14:textId="77777777" w:rsidR="0037483C" w:rsidRDefault="0037483C" w:rsidP="0037483C">
      <w:pPr>
        <w:rPr>
          <w:rFonts w:ascii="Times New Roman" w:eastAsia="Times New Roman" w:hAnsi="Times New Roman" w:cs="Times New Roman"/>
          <w:sz w:val="22"/>
          <w:szCs w:val="22"/>
        </w:rPr>
      </w:pPr>
    </w:p>
    <w:p w14:paraId="47F3F1B4" w14:textId="77777777" w:rsidR="0037483C" w:rsidRPr="000F30EA" w:rsidRDefault="0037483C" w:rsidP="0037483C">
      <w:pPr>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Extended Data Fig. 10. </w:t>
      </w:r>
      <w:r>
        <w:rPr>
          <w:rFonts w:ascii="Times New Roman" w:eastAsia="Times New Roman" w:hAnsi="Times New Roman" w:cs="Times New Roman"/>
          <w:sz w:val="22"/>
          <w:szCs w:val="22"/>
        </w:rPr>
        <w:t xml:space="preserve">Phylogeny of </w:t>
      </w:r>
      <w:proofErr w:type="spellStart"/>
      <w:r>
        <w:rPr>
          <w:rFonts w:ascii="Times New Roman" w:eastAsia="Times New Roman" w:hAnsi="Times New Roman" w:cs="Times New Roman"/>
          <w:i/>
          <w:sz w:val="22"/>
          <w:szCs w:val="22"/>
        </w:rPr>
        <w:t>Pelagibacter</w:t>
      </w:r>
      <w:proofErr w:type="spellEnd"/>
      <w:r>
        <w:rPr>
          <w:rFonts w:ascii="Times New Roman" w:eastAsia="Times New Roman" w:hAnsi="Times New Roman" w:cs="Times New Roman"/>
          <w:i/>
          <w:sz w:val="22"/>
          <w:szCs w:val="22"/>
        </w:rPr>
        <w:t xml:space="preserve"> </w:t>
      </w:r>
      <w:r>
        <w:rPr>
          <w:rFonts w:ascii="Times New Roman" w:eastAsia="Times New Roman" w:hAnsi="Times New Roman" w:cs="Times New Roman"/>
          <w:sz w:val="22"/>
          <w:szCs w:val="22"/>
        </w:rPr>
        <w:t xml:space="preserve">tyrosine integrase/recombinase enzymes identified within the particle dataset. </w:t>
      </w:r>
      <w:proofErr w:type="spellStart"/>
      <w:r>
        <w:rPr>
          <w:rFonts w:ascii="Times New Roman" w:eastAsia="Times New Roman" w:hAnsi="Times New Roman" w:cs="Times New Roman"/>
          <w:i/>
          <w:sz w:val="22"/>
          <w:szCs w:val="22"/>
        </w:rPr>
        <w:t>Pelagibacter</w:t>
      </w:r>
      <w:proofErr w:type="spellEnd"/>
      <w:r>
        <w:rPr>
          <w:rFonts w:ascii="Times New Roman" w:eastAsia="Times New Roman" w:hAnsi="Times New Roman" w:cs="Times New Roman"/>
          <w:i/>
          <w:sz w:val="22"/>
          <w:szCs w:val="22"/>
        </w:rPr>
        <w:t xml:space="preserve"> </w:t>
      </w:r>
      <w:r>
        <w:rPr>
          <w:rFonts w:ascii="Times New Roman" w:eastAsia="Times New Roman" w:hAnsi="Times New Roman" w:cs="Times New Roman"/>
          <w:sz w:val="22"/>
          <w:szCs w:val="22"/>
        </w:rPr>
        <w:t>sequences are noted with blue shading in the context of reference enzymes from bacterial, archaeal, and phage genomes, and are grouped according to classifications from ref</w:t>
      </w:r>
      <w:r>
        <w:rPr>
          <w:rFonts w:ascii="Times New Roman" w:eastAsia="Times New Roman" w:hAnsi="Times New Roman" w:cs="Times New Roman"/>
          <w:sz w:val="22"/>
          <w:szCs w:val="22"/>
        </w:rPr>
        <w:fldChar w:fldCharType="begin"/>
      </w:r>
      <w:r>
        <w:rPr>
          <w:rFonts w:ascii="Times New Roman" w:eastAsia="Times New Roman" w:hAnsi="Times New Roman" w:cs="Times New Roman"/>
          <w:sz w:val="22"/>
          <w:szCs w:val="22"/>
        </w:rPr>
        <w:instrText xml:space="preserve"> ADDIN ZOTERO_ITEM CSL_CITATION {"citationID":"dSGVcPsD","properties":{"formattedCitation":"\\super 46\\nosupersub{}","plainCitation":"46","noteIndex":0},"citationItems":[{"id":9691,"uris":["http://zotero.org/users/local/JoJ9ot9C/items/TJX8PGDL"],"itemData":{"id":9691,"type":"article-journal","abstract":"Mobile genetic elements (MGEs) sequester and mobilize antibiotic resistance genes across bacterial genomes. Efficient and reliable identification of such elements is necessary to follow resistance spreading. However, automated tools for MGE identification are missing. Tyrosine recombinase (YR) proteins drive MGE mobilization and could provide markers for MGE detection, but they constitute a diverse family also involved in housekeeping functions. Here, we conducted a comprehensive survey of YRs from bacterial, archaeal, and phage genomes and developed a sequence-based classification system that dissects the characteristics of MGEborne YRs. We revealed that MGE-related YRs evolved from nonmobile YRs by acquisition of a regulatory arm-binding domain that is essential for their mobility function. Based on these results, we further identified numerous unknown MGEs. This work provides a resource for comparative analysis and functional annotation of YRs and aids the development of computational tools for MGE annotation. Additionally, we reveal how YRs adapted to drive gene transfer across species and provide a tool to better characterize antibiotic resistance dissemination.","container-title":"Molecular Systems Biology","DOI":"10.15252/msb.20209880","ISSN":"1744-4292, 1744-4292","issue":"5","journalAbbreviation":"Mol Syst Biol","language":"en","source":"DOI.org (Crossref)","title":"Sequence analysis of tyrosine recombinases allows annotation of mobile genetic elements in prokaryotic genomes","URL":"https://onlinelibrary.wiley.com/doi/10.15252/msb.20209880","volume":"17","author":[{"family":"Smyshlyaev","given":"Georgy"},{"family":"Bateman","given":"Alex"},{"family":"Barabas","given":"Orsolya"}],"accessed":{"date-parts":[["2022",5,20]]},"issued":{"date-parts":[["2021",5]]}}}],"schema":"https://github.com/citation-style-language/schema/raw/master/csl-citation.json"} </w:instrText>
      </w:r>
      <w:r>
        <w:rPr>
          <w:rFonts w:ascii="Times New Roman" w:eastAsia="Times New Roman" w:hAnsi="Times New Roman" w:cs="Times New Roman"/>
          <w:sz w:val="22"/>
          <w:szCs w:val="22"/>
        </w:rPr>
        <w:fldChar w:fldCharType="separate"/>
      </w:r>
      <w:r w:rsidRPr="00A821F1">
        <w:rPr>
          <w:rFonts w:ascii="Times New Roman" w:hAnsi="Times New Roman" w:cs="Times New Roman"/>
          <w:sz w:val="22"/>
          <w:vertAlign w:val="superscript"/>
        </w:rPr>
        <w:t>46</w:t>
      </w:r>
      <w:r>
        <w:rPr>
          <w:rFonts w:ascii="Times New Roman" w:eastAsia="Times New Roman" w:hAnsi="Times New Roman" w:cs="Times New Roman"/>
          <w:sz w:val="22"/>
          <w:szCs w:val="22"/>
        </w:rPr>
        <w:fldChar w:fldCharType="end"/>
      </w:r>
      <w:r>
        <w:rPr>
          <w:rFonts w:ascii="Times New Roman" w:eastAsia="Times New Roman" w:hAnsi="Times New Roman" w:cs="Times New Roman"/>
          <w:sz w:val="22"/>
          <w:szCs w:val="22"/>
        </w:rPr>
        <w:t>.</w:t>
      </w:r>
    </w:p>
    <w:p w14:paraId="29B6E615" w14:textId="77777777" w:rsidR="00222F56" w:rsidRDefault="00222F56"/>
    <w:sectPr w:rsidR="00222F56" w:rsidSect="0037483C">
      <w:footerReference w:type="even" r:id="rId19"/>
      <w:footerReference w:type="default" r:id="rId2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5396BA" w14:textId="77777777" w:rsidR="00000000"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16CA589B" w14:textId="77777777" w:rsidR="00000000" w:rsidRDefault="00000000">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B8909F" w14:textId="77777777" w:rsidR="00000000" w:rsidRDefault="00000000">
    <w:pPr>
      <w:pBdr>
        <w:top w:val="nil"/>
        <w:left w:val="nil"/>
        <w:bottom w:val="nil"/>
        <w:right w:val="nil"/>
        <w:between w:val="nil"/>
      </w:pBdr>
      <w:tabs>
        <w:tab w:val="center" w:pos="4680"/>
        <w:tab w:val="right" w:pos="9360"/>
      </w:tabs>
      <w:jc w:val="right"/>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Pr>
        <w:rFonts w:ascii="Times New Roman" w:eastAsia="Times New Roman" w:hAnsi="Times New Roman" w:cs="Times New Roman"/>
        <w:noProof/>
        <w:color w:val="000000"/>
      </w:rPr>
      <w:t>1</w:t>
    </w:r>
    <w:r>
      <w:rPr>
        <w:rFonts w:ascii="Times New Roman" w:eastAsia="Times New Roman" w:hAnsi="Times New Roman" w:cs="Times New Roman"/>
        <w:color w:val="000000"/>
      </w:rPr>
      <w:fldChar w:fldCharType="end"/>
    </w:r>
  </w:p>
  <w:p w14:paraId="6C90F668" w14:textId="77777777" w:rsidR="00000000" w:rsidRDefault="00000000">
    <w:pPr>
      <w:pBdr>
        <w:top w:val="nil"/>
        <w:left w:val="nil"/>
        <w:bottom w:val="nil"/>
        <w:right w:val="nil"/>
        <w:between w:val="nil"/>
      </w:pBdr>
      <w:tabs>
        <w:tab w:val="center" w:pos="4680"/>
        <w:tab w:val="right" w:pos="9360"/>
      </w:tabs>
      <w:ind w:right="360"/>
      <w:rPr>
        <w:color w:val="00000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83C"/>
    <w:rsid w:val="00222F56"/>
    <w:rsid w:val="0037483C"/>
    <w:rsid w:val="009440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E9FBF"/>
  <w15:chartTrackingRefBased/>
  <w15:docId w15:val="{0DB00956-2C13-4CA8-B4CD-606BFDA1D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83C"/>
    <w:pPr>
      <w:spacing w:after="0" w:line="240" w:lineRule="auto"/>
    </w:pPr>
    <w:rPr>
      <w:rFonts w:ascii="Calibri" w:eastAsia="Calibri" w:hAnsi="Calibri" w:cs="Calibri"/>
      <w:kern w:val="0"/>
      <w:sz w:val="24"/>
      <w:szCs w:val="24"/>
      <w14:ligatures w14:val="none"/>
    </w:rPr>
  </w:style>
  <w:style w:type="paragraph" w:styleId="Heading1">
    <w:name w:val="heading 1"/>
    <w:basedOn w:val="Normal"/>
    <w:next w:val="Normal"/>
    <w:link w:val="Heading1Char"/>
    <w:uiPriority w:val="9"/>
    <w:qFormat/>
    <w:rsid w:val="0037483C"/>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7483C"/>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7483C"/>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7483C"/>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37483C"/>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37483C"/>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37483C"/>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37483C"/>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37483C"/>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8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48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48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48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48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48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48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48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483C"/>
    <w:rPr>
      <w:rFonts w:eastAsiaTheme="majorEastAsia" w:cstheme="majorBidi"/>
      <w:color w:val="272727" w:themeColor="text1" w:themeTint="D8"/>
    </w:rPr>
  </w:style>
  <w:style w:type="paragraph" w:styleId="Title">
    <w:name w:val="Title"/>
    <w:basedOn w:val="Normal"/>
    <w:next w:val="Normal"/>
    <w:link w:val="TitleChar"/>
    <w:uiPriority w:val="10"/>
    <w:qFormat/>
    <w:rsid w:val="0037483C"/>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748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483C"/>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748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483C"/>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37483C"/>
    <w:rPr>
      <w:i/>
      <w:iCs/>
      <w:color w:val="404040" w:themeColor="text1" w:themeTint="BF"/>
    </w:rPr>
  </w:style>
  <w:style w:type="paragraph" w:styleId="ListParagraph">
    <w:name w:val="List Paragraph"/>
    <w:basedOn w:val="Normal"/>
    <w:uiPriority w:val="34"/>
    <w:qFormat/>
    <w:rsid w:val="0037483C"/>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37483C"/>
    <w:rPr>
      <w:i/>
      <w:iCs/>
      <w:color w:val="0F4761" w:themeColor="accent1" w:themeShade="BF"/>
    </w:rPr>
  </w:style>
  <w:style w:type="paragraph" w:styleId="IntenseQuote">
    <w:name w:val="Intense Quote"/>
    <w:basedOn w:val="Normal"/>
    <w:next w:val="Normal"/>
    <w:link w:val="IntenseQuoteChar"/>
    <w:uiPriority w:val="30"/>
    <w:qFormat/>
    <w:rsid w:val="0037483C"/>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37483C"/>
    <w:rPr>
      <w:i/>
      <w:iCs/>
      <w:color w:val="0F4761" w:themeColor="accent1" w:themeShade="BF"/>
    </w:rPr>
  </w:style>
  <w:style w:type="character" w:styleId="IntenseReference">
    <w:name w:val="Intense Reference"/>
    <w:basedOn w:val="DefaultParagraphFont"/>
    <w:uiPriority w:val="32"/>
    <w:qFormat/>
    <w:rsid w:val="003748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oter" Target="footer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944</Words>
  <Characters>5383</Characters>
  <Application>Microsoft Office Word</Application>
  <DocSecurity>0</DocSecurity>
  <Lines>44</Lines>
  <Paragraphs>12</Paragraphs>
  <ScaleCrop>false</ScaleCrop>
  <Company>Springer Nature</Company>
  <LinksUpToDate>false</LinksUpToDate>
  <CharactersWithSpaces>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2024-07-18T17:07:00Z</dcterms:created>
  <dcterms:modified xsi:type="dcterms:W3CDTF">2024-07-18T17:07:00Z</dcterms:modified>
</cp:coreProperties>
</file>