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247958" w14:textId="77777777" w:rsidR="002450CF" w:rsidRPr="0073594F" w:rsidRDefault="002450CF" w:rsidP="002450C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73594F">
        <w:rPr>
          <w:rFonts w:ascii="Times New Roman" w:hAnsi="Times New Roman" w:cs="Times New Roman"/>
          <w:b/>
          <w:bCs/>
          <w:sz w:val="24"/>
        </w:rPr>
        <w:t xml:space="preserve">Extended Data </w:t>
      </w:r>
    </w:p>
    <w:p w14:paraId="42501091" w14:textId="77777777" w:rsidR="002450CF" w:rsidRPr="0073594F" w:rsidRDefault="002450CF" w:rsidP="002450CF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Cs/>
          <w:noProof/>
          <w:sz w:val="24"/>
        </w:rPr>
        <w:drawing>
          <wp:inline distT="0" distB="0" distL="0" distR="0" wp14:anchorId="06B1B269" wp14:editId="6A162695">
            <wp:extent cx="5391150" cy="3099911"/>
            <wp:effectExtent l="0" t="0" r="0" b="5715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149" cy="310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85E39" w14:textId="77777777" w:rsidR="002450CF" w:rsidRPr="0073594F" w:rsidRDefault="002450CF" w:rsidP="002450C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Extended Data Table 1 | Parameters used in TCAD simulation</w:t>
      </w:r>
    </w:p>
    <w:p w14:paraId="3463787D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Cs/>
          <w:sz w:val="24"/>
        </w:rPr>
        <w:br w:type="page"/>
      </w:r>
    </w:p>
    <w:p w14:paraId="67122DB2" w14:textId="77777777" w:rsidR="002450CF" w:rsidRPr="0073594F" w:rsidRDefault="002450CF" w:rsidP="002450C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6ED3040F" wp14:editId="304F9CCD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5034355" cy="5038725"/>
            <wp:effectExtent l="0" t="0" r="0" b="0"/>
            <wp:wrapTopAndBottom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355" cy="503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>Extended Data Figure 1 | Transfer curves (</w:t>
      </w:r>
      <w:r w:rsidRPr="0073594F">
        <w:rPr>
          <w:rFonts w:ascii="Times New Roman" w:eastAsia="Times New Roman" w:hAnsi="Times New Roman" w:cs="Times New Roman"/>
          <w:b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ds</w:t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 xml:space="preserve"> – </w:t>
      </w:r>
      <w:r w:rsidRPr="0073594F">
        <w:rPr>
          <w:rFonts w:ascii="Times New Roman" w:eastAsia="Times New Roman" w:hAnsi="Times New Roman" w:cs="Times New Roman"/>
          <w:b/>
          <w:bCs/>
          <w:i/>
          <w:sz w:val="24"/>
        </w:rPr>
        <w:t>V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gs</w:t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>) simulated using TCAD</w:t>
      </w:r>
    </w:p>
    <w:p w14:paraId="3F700125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a, b.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Transfer curves of single gate (green) and dual gate (navy) monolayer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FETs plotted on both semi-log (a) and linear (b) scales.</w:t>
      </w:r>
    </w:p>
    <w:p w14:paraId="46E8CF78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c, d.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Transfer curves of single gate (orange) and dual gate (wine) bilayer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FETs plotted on both semi-log (c) and linear (d) scales.</w:t>
      </w:r>
    </w:p>
    <w:p w14:paraId="6C6BFF10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Cs/>
          <w:sz w:val="24"/>
        </w:rPr>
        <w:br w:type="page"/>
      </w:r>
    </w:p>
    <w:p w14:paraId="06250C2A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noProof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793F26EE" wp14:editId="06C57D1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779827" cy="3886200"/>
            <wp:effectExtent l="0" t="0" r="0" b="0"/>
            <wp:wrapTopAndBottom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827" cy="388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>Extended Data Figure 2 | Raman map images of large area MoS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 xml:space="preserve"> films</w:t>
      </w:r>
    </w:p>
    <w:p w14:paraId="56506AC4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a.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Image mapping the ratio of A peak intensity (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</w:rPr>
        <w:softHyphen/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A</w:t>
      </w:r>
      <w:r w:rsidRPr="0073594F">
        <w:rPr>
          <w:rFonts w:ascii="Times New Roman" w:eastAsia="Times New Roman" w:hAnsi="Times New Roman" w:cs="Times New Roman"/>
          <w:bCs/>
          <w:sz w:val="24"/>
        </w:rPr>
        <w:t>) of monolayer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to Si peak intensity (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</w:rPr>
        <w:softHyphen/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Si</w:t>
      </w:r>
      <w:r w:rsidRPr="0073594F">
        <w:rPr>
          <w:rFonts w:ascii="Times New Roman" w:eastAsia="Times New Roman" w:hAnsi="Times New Roman" w:cs="Times New Roman"/>
          <w:bCs/>
          <w:sz w:val="24"/>
        </w:rPr>
        <w:t>).</w:t>
      </w:r>
    </w:p>
    <w:p w14:paraId="661CD44A" w14:textId="77777777" w:rsidR="002450CF" w:rsidRPr="0073594F" w:rsidRDefault="002450CF" w:rsidP="002450CF">
      <w:pPr>
        <w:pStyle w:val="ListParagraph"/>
        <w:ind w:left="0"/>
        <w:contextualSpacing w:val="0"/>
        <w:rPr>
          <w:rFonts w:ascii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b.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Image mapping the distance between the E peak position (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P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E</w:t>
      </w:r>
      <w:r w:rsidRPr="0073594F">
        <w:rPr>
          <w:rFonts w:ascii="Times New Roman" w:eastAsia="Times New Roman" w:hAnsi="Times New Roman" w:cs="Times New Roman"/>
          <w:bCs/>
          <w:sz w:val="24"/>
        </w:rPr>
        <w:t>) and A peak position (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P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A</w:t>
      </w:r>
      <w:r w:rsidRPr="0073594F">
        <w:rPr>
          <w:rFonts w:ascii="Times New Roman" w:eastAsia="Times New Roman" w:hAnsi="Times New Roman" w:cs="Times New Roman"/>
          <w:bCs/>
          <w:sz w:val="24"/>
        </w:rPr>
        <w:t>) of monolayer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>.</w:t>
      </w:r>
    </w:p>
    <w:p w14:paraId="7B091B15" w14:textId="77777777" w:rsidR="002450CF" w:rsidRPr="0073594F" w:rsidRDefault="002450CF" w:rsidP="002450CF">
      <w:pPr>
        <w:pStyle w:val="ListParagraph"/>
        <w:ind w:left="0"/>
        <w:contextualSpacing w:val="0"/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c.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Image mapping the ratio of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</w:rPr>
        <w:softHyphen/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A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of bilayer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to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</w:rPr>
        <w:softHyphen/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Si</w:t>
      </w:r>
      <w:r w:rsidRPr="0073594F">
        <w:rPr>
          <w:rFonts w:ascii="Times New Roman" w:eastAsia="Times New Roman" w:hAnsi="Times New Roman" w:cs="Times New Roman"/>
          <w:bCs/>
          <w:sz w:val="24"/>
        </w:rPr>
        <w:t>.</w:t>
      </w:r>
    </w:p>
    <w:p w14:paraId="2760ECAA" w14:textId="77777777" w:rsidR="002450CF" w:rsidRPr="0073594F" w:rsidRDefault="002450CF" w:rsidP="002450CF">
      <w:pPr>
        <w:pStyle w:val="ListParagraph"/>
        <w:ind w:left="0"/>
        <w:contextualSpacing w:val="0"/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d.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Image mapping the distance between the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P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E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and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P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A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of bilayer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>.</w:t>
      </w:r>
    </w:p>
    <w:p w14:paraId="4C640F4C" w14:textId="77777777" w:rsidR="002450CF" w:rsidRPr="0073594F" w:rsidRDefault="002450CF" w:rsidP="002450CF">
      <w:pPr>
        <w:pStyle w:val="ListParagraph"/>
        <w:ind w:left="0"/>
        <w:contextualSpacing w:val="0"/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Cs/>
          <w:sz w:val="24"/>
        </w:rPr>
        <w:t>Only the 100 mm x 100 mm region is mapped, as the device fabrication area was confined to the 100 mm center region of the wafer.</w:t>
      </w:r>
    </w:p>
    <w:p w14:paraId="35ABB2C6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Cs/>
          <w:sz w:val="24"/>
        </w:rPr>
        <w:br w:type="page"/>
      </w:r>
    </w:p>
    <w:p w14:paraId="16F61971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/>
          <w:bCs/>
          <w:sz w:val="24"/>
          <w:vertAlign w:val="subscript"/>
        </w:rPr>
      </w:pPr>
      <w:r w:rsidRPr="0073594F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15C7BF3" wp14:editId="340BF3A4">
            <wp:simplePos x="0" y="0"/>
            <wp:positionH relativeFrom="margin">
              <wp:posOffset>-353695</wp:posOffset>
            </wp:positionH>
            <wp:positionV relativeFrom="paragraph">
              <wp:posOffset>0</wp:posOffset>
            </wp:positionV>
            <wp:extent cx="6469380" cy="4244340"/>
            <wp:effectExtent l="0" t="0" r="7620" b="3810"/>
            <wp:wrapTopAndBottom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380" cy="424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>Extended Data Figure 3 | Evaluation of 200-mm-wafer-scale long channel (</w:t>
      </w:r>
      <w:r w:rsidRPr="0073594F">
        <w:rPr>
          <w:rFonts w:ascii="Times New Roman" w:eastAsia="Times New Roman" w:hAnsi="Times New Roman" w:cs="Times New Roman"/>
          <w:b/>
          <w:bCs/>
          <w:i/>
          <w:sz w:val="24"/>
        </w:rPr>
        <w:t>L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ch</w:t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 xml:space="preserve"> &gt; 500 nm) FETs based on bilayer MoS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2</w:t>
      </w:r>
    </w:p>
    <w:p w14:paraId="7A3AD0C6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a.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Transfer curves of back gate (red), top gate (blue), and dual gate (green)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FETs fabricated across the entire 200 mm wafer.</w:t>
      </w:r>
    </w:p>
    <w:p w14:paraId="3D683C22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b, c.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Statistical distribution of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on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and subthreshold swing (SS) for back gate (red), top gate (blue), and dual gate (green) configurations. In dual gate configurations, not only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I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on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and SS have significantly improved, but the variance has also been greatly reduced.</w:t>
      </w:r>
    </w:p>
    <w:p w14:paraId="62D7B619" w14:textId="77777777" w:rsidR="002450CF" w:rsidRPr="0073594F" w:rsidRDefault="002450CF" w:rsidP="002450CF">
      <w:pPr>
        <w:rPr>
          <w:rFonts w:ascii="Times New Roman" w:hAnsi="Times New Roman" w:cs="Times New Roman"/>
          <w:bCs/>
          <w:sz w:val="24"/>
        </w:rPr>
      </w:pPr>
      <w:r w:rsidRPr="0073594F">
        <w:rPr>
          <w:rFonts w:ascii="Times New Roman" w:hAnsi="Times New Roman" w:cs="Times New Roman"/>
          <w:b/>
          <w:bCs/>
          <w:sz w:val="24"/>
        </w:rPr>
        <w:t>d.</w:t>
      </w:r>
      <w:r w:rsidRPr="0073594F">
        <w:rPr>
          <w:rFonts w:ascii="Times New Roman" w:hAnsi="Times New Roman" w:cs="Times New Roman"/>
          <w:bCs/>
          <w:sz w:val="24"/>
        </w:rPr>
        <w:t xml:space="preserve"> Statistical analysis of field-effect (FE) mobility of dual gate FETs as a function of </w:t>
      </w:r>
      <w:r w:rsidRPr="0073594F">
        <w:rPr>
          <w:rFonts w:ascii="Times New Roman" w:hAnsi="Times New Roman" w:cs="Times New Roman"/>
          <w:bCs/>
          <w:i/>
          <w:sz w:val="24"/>
        </w:rPr>
        <w:t>L</w:t>
      </w:r>
      <w:r w:rsidRPr="0073594F">
        <w:rPr>
          <w:rFonts w:ascii="Times New Roman" w:hAnsi="Times New Roman" w:cs="Times New Roman"/>
          <w:bCs/>
          <w:sz w:val="24"/>
          <w:vertAlign w:val="subscript"/>
        </w:rPr>
        <w:t>ch</w:t>
      </w:r>
      <w:r w:rsidRPr="0073594F">
        <w:rPr>
          <w:rFonts w:ascii="Times New Roman" w:hAnsi="Times New Roman" w:cs="Times New Roman"/>
          <w:bCs/>
          <w:sz w:val="24"/>
        </w:rPr>
        <w:t xml:space="preserve">. The consistent FE mobility values across different </w:t>
      </w:r>
      <w:r w:rsidRPr="0073594F">
        <w:rPr>
          <w:rFonts w:ascii="Times New Roman" w:hAnsi="Times New Roman" w:cs="Times New Roman"/>
          <w:bCs/>
          <w:i/>
          <w:sz w:val="24"/>
        </w:rPr>
        <w:t>L</w:t>
      </w:r>
      <w:r w:rsidRPr="0073594F">
        <w:rPr>
          <w:rFonts w:ascii="Times New Roman" w:hAnsi="Times New Roman" w:cs="Times New Roman"/>
          <w:bCs/>
          <w:sz w:val="24"/>
          <w:vertAlign w:val="subscript"/>
        </w:rPr>
        <w:t>ch</w:t>
      </w:r>
      <w:r w:rsidRPr="0073594F">
        <w:rPr>
          <w:rFonts w:ascii="Times New Roman" w:hAnsi="Times New Roman" w:cs="Times New Roman"/>
          <w:bCs/>
          <w:sz w:val="24"/>
        </w:rPr>
        <w:t xml:space="preserve"> values indicate that the R</w:t>
      </w:r>
      <w:r w:rsidRPr="0073594F">
        <w:rPr>
          <w:rFonts w:ascii="Times New Roman" w:hAnsi="Times New Roman" w:cs="Times New Roman"/>
          <w:bCs/>
          <w:sz w:val="24"/>
          <w:vertAlign w:val="subscript"/>
        </w:rPr>
        <w:t>C</w:t>
      </w:r>
      <w:r w:rsidRPr="0073594F">
        <w:rPr>
          <w:rFonts w:ascii="Times New Roman" w:hAnsi="Times New Roman" w:cs="Times New Roman"/>
          <w:bCs/>
          <w:sz w:val="24"/>
        </w:rPr>
        <w:t xml:space="preserve"> has sufficiently decreased.</w:t>
      </w:r>
    </w:p>
    <w:p w14:paraId="0871BD72" w14:textId="77777777" w:rsidR="002450CF" w:rsidRPr="0073594F" w:rsidRDefault="002450CF" w:rsidP="002450CF">
      <w:pPr>
        <w:rPr>
          <w:rFonts w:ascii="Times New Roman" w:hAnsi="Times New Roman" w:cs="Times New Roman"/>
          <w:bCs/>
          <w:sz w:val="24"/>
        </w:rPr>
      </w:pPr>
      <w:r w:rsidRPr="0073594F">
        <w:rPr>
          <w:rFonts w:ascii="Times New Roman" w:hAnsi="Times New Roman" w:cs="Times New Roman"/>
          <w:b/>
          <w:bCs/>
          <w:sz w:val="24"/>
        </w:rPr>
        <w:t>e.</w:t>
      </w:r>
      <w:r w:rsidRPr="0073594F">
        <w:rPr>
          <w:rFonts w:ascii="Times New Roman" w:hAnsi="Times New Roman" w:cs="Times New Roman"/>
          <w:bCs/>
          <w:sz w:val="24"/>
        </w:rPr>
        <w:t xml:space="preserve"> Threshold voltage (</w:t>
      </w:r>
      <w:r w:rsidRPr="0073594F">
        <w:rPr>
          <w:rFonts w:ascii="Times New Roman" w:hAnsi="Times New Roman" w:cs="Times New Roman"/>
          <w:bCs/>
          <w:i/>
          <w:sz w:val="24"/>
        </w:rPr>
        <w:t>V</w:t>
      </w:r>
      <w:r w:rsidRPr="0073594F">
        <w:rPr>
          <w:rFonts w:ascii="Times New Roman" w:hAnsi="Times New Roman" w:cs="Times New Roman"/>
          <w:bCs/>
          <w:sz w:val="24"/>
          <w:vertAlign w:val="subscript"/>
        </w:rPr>
        <w:t>th</w:t>
      </w:r>
      <w:r w:rsidRPr="0073594F">
        <w:rPr>
          <w:rFonts w:ascii="Times New Roman" w:hAnsi="Times New Roman" w:cs="Times New Roman"/>
          <w:bCs/>
          <w:sz w:val="24"/>
        </w:rPr>
        <w:t xml:space="preserve">) of dual gate FETs extracted using the linear extrapolation method (hollow hexagon) from the transfer curve and the </w:t>
      </w:r>
      <w:r w:rsidRPr="0073594F">
        <w:rPr>
          <w:rFonts w:ascii="Times New Roman" w:hAnsi="Times New Roman" w:cs="Times New Roman"/>
          <w:bCs/>
          <w:i/>
          <w:sz w:val="24"/>
        </w:rPr>
        <w:t>V</w:t>
      </w:r>
      <w:r w:rsidRPr="0073594F">
        <w:rPr>
          <w:rFonts w:ascii="Times New Roman" w:hAnsi="Times New Roman" w:cs="Times New Roman"/>
          <w:bCs/>
          <w:sz w:val="24"/>
          <w:vertAlign w:val="subscript"/>
        </w:rPr>
        <w:t>th</w:t>
      </w:r>
      <w:r w:rsidRPr="0073594F">
        <w:rPr>
          <w:rFonts w:ascii="Times New Roman" w:hAnsi="Times New Roman" w:cs="Times New Roman"/>
          <w:bCs/>
          <w:sz w:val="24"/>
        </w:rPr>
        <w:t xml:space="preserve"> extracted using the constant current method (filled hexagon). The constant current value used was 50 nA.</w:t>
      </w:r>
    </w:p>
    <w:p w14:paraId="0E7D6229" w14:textId="77777777" w:rsidR="002450CF" w:rsidRPr="0073594F" w:rsidRDefault="002450CF" w:rsidP="002450CF">
      <w:pPr>
        <w:rPr>
          <w:rFonts w:ascii="Times New Roman" w:hAnsi="Times New Roman" w:cs="Times New Roman"/>
          <w:bCs/>
          <w:sz w:val="24"/>
        </w:rPr>
      </w:pPr>
      <w:r w:rsidRPr="0073594F">
        <w:rPr>
          <w:rFonts w:ascii="Times New Roman" w:hAnsi="Times New Roman" w:cs="Times New Roman"/>
          <w:b/>
          <w:bCs/>
          <w:sz w:val="24"/>
        </w:rPr>
        <w:t>f.</w:t>
      </w:r>
      <w:r w:rsidRPr="0073594F">
        <w:rPr>
          <w:rFonts w:ascii="Times New Roman" w:hAnsi="Times New Roman" w:cs="Times New Roman"/>
          <w:bCs/>
          <w:sz w:val="24"/>
        </w:rPr>
        <w:t xml:space="preserve"> A wafer map showing die-by-die device yield for the Dual gate structure, demonstrating a high yield of 99.7%.</w:t>
      </w:r>
    </w:p>
    <w:p w14:paraId="7B2B64A8" w14:textId="77777777" w:rsidR="002450CF" w:rsidRPr="0073594F" w:rsidRDefault="002450CF" w:rsidP="002450CF">
      <w:pPr>
        <w:rPr>
          <w:rFonts w:ascii="Times New Roman" w:hAnsi="Times New Roman" w:cs="Times New Roman"/>
          <w:bCs/>
          <w:sz w:val="24"/>
        </w:rPr>
      </w:pPr>
      <w:r w:rsidRPr="0073594F">
        <w:rPr>
          <w:rFonts w:ascii="Times New Roman" w:hAnsi="Times New Roman" w:cs="Times New Roman"/>
          <w:bCs/>
          <w:sz w:val="24"/>
        </w:rPr>
        <w:br w:type="page"/>
      </w:r>
    </w:p>
    <w:p w14:paraId="4AC16FDA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lastRenderedPageBreak/>
        <w:t xml:space="preserve">Extended Data Figure 4 |  </w:t>
      </w:r>
      <w:r w:rsidRPr="0073594F">
        <w:rPr>
          <w:rFonts w:ascii="Times New Roman" w:eastAsia="Times New Roman" w:hAnsi="Times New Roman" w:cs="Times New Roman"/>
          <w:bCs/>
          <w:noProof/>
          <w:sz w:val="24"/>
        </w:rPr>
        <w:drawing>
          <wp:anchor distT="0" distB="0" distL="114300" distR="114300" simplePos="0" relativeHeight="251662336" behindDoc="0" locked="0" layoutInCell="1" allowOverlap="1" wp14:anchorId="498EB6AA" wp14:editId="11289C9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162425" cy="4264025"/>
            <wp:effectExtent l="0" t="0" r="0" b="0"/>
            <wp:wrapTopAndBottom/>
            <wp:docPr id="15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426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>Transfer length method (TLM) of MoS</w:t>
      </w:r>
      <w:r w:rsidRPr="0073594F">
        <w:rPr>
          <w:rFonts w:ascii="Times New Roman" w:eastAsia="Times New Roman" w:hAnsi="Times New Roman" w:cs="Times New Roman"/>
          <w:b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/>
          <w:bCs/>
          <w:sz w:val="24"/>
        </w:rPr>
        <w:t xml:space="preserve"> FETs</w:t>
      </w:r>
    </w:p>
    <w:p w14:paraId="79ECCA8B" w14:textId="77777777" w:rsidR="002450CF" w:rsidRPr="0073594F" w:rsidRDefault="002450CF" w:rsidP="002450CF">
      <w:pPr>
        <w:rPr>
          <w:rFonts w:ascii="Times New Roman" w:eastAsia="Times New Roman" w:hAnsi="Times New Roman" w:cs="Times New Roman"/>
          <w:bCs/>
          <w:sz w:val="24"/>
        </w:rPr>
      </w:pPr>
      <w:r w:rsidRPr="0073594F">
        <w:rPr>
          <w:rFonts w:ascii="Times New Roman" w:eastAsia="Times New Roman" w:hAnsi="Times New Roman" w:cs="Times New Roman"/>
          <w:b/>
          <w:bCs/>
          <w:sz w:val="24"/>
        </w:rPr>
        <w:t>a.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Total resistance (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R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tot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) as a function of </w:t>
      </w:r>
      <w:r w:rsidRPr="0073594F">
        <w:rPr>
          <w:rFonts w:ascii="Times New Roman" w:eastAsia="Times New Roman" w:hAnsi="Times New Roman" w:cs="Times New Roman"/>
          <w:bCs/>
          <w:i/>
          <w:sz w:val="24"/>
        </w:rPr>
        <w:t>L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ch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for single gate and monolayer MoS</w:t>
      </w:r>
      <w:r w:rsidRPr="0073594F">
        <w:rPr>
          <w:rFonts w:ascii="Times New Roman" w:eastAsia="Times New Roman" w:hAnsi="Times New Roman" w:cs="Times New Roman"/>
          <w:bCs/>
          <w:sz w:val="24"/>
          <w:vertAlign w:val="subscript"/>
        </w:rPr>
        <w:t>2</w:t>
      </w:r>
      <w:r w:rsidRPr="0073594F">
        <w:rPr>
          <w:rFonts w:ascii="Times New Roman" w:eastAsia="Times New Roman" w:hAnsi="Times New Roman" w:cs="Times New Roman"/>
          <w:bCs/>
          <w:sz w:val="24"/>
        </w:rPr>
        <w:t xml:space="preserve"> FET at a carrier density (n) of 7.69 x 10</w:t>
      </w:r>
      <w:r w:rsidRPr="0073594F">
        <w:rPr>
          <w:rFonts w:ascii="Times New Roman" w:eastAsia="Times New Roman" w:hAnsi="Times New Roman" w:cs="Times New Roman"/>
          <w:bCs/>
          <w:sz w:val="24"/>
          <w:vertAlign w:val="superscript"/>
        </w:rPr>
        <w:t xml:space="preserve">12 </w:t>
      </w:r>
      <w:r w:rsidRPr="0073594F">
        <w:rPr>
          <w:rFonts w:ascii="Times New Roman" w:eastAsia="Times New Roman" w:hAnsi="Times New Roman" w:cs="Times New Roman"/>
          <w:bCs/>
          <w:sz w:val="24"/>
        </w:rPr>
        <w:t>cm</w:t>
      </w:r>
      <w:r w:rsidRPr="0073594F">
        <w:rPr>
          <w:rFonts w:ascii="Times New Roman" w:eastAsia="Times New Roman" w:hAnsi="Times New Roman" w:cs="Times New Roman"/>
          <w:bCs/>
          <w:sz w:val="24"/>
          <w:vertAlign w:val="superscript"/>
        </w:rPr>
        <w:t>-2</w:t>
      </w:r>
      <w:r w:rsidRPr="0073594F">
        <w:rPr>
          <w:rFonts w:ascii="Times New Roman" w:eastAsia="Times New Roman" w:hAnsi="Times New Roman" w:cs="Times New Roman"/>
          <w:bCs/>
          <w:sz w:val="24"/>
        </w:rPr>
        <w:t>.</w:t>
      </w:r>
    </w:p>
    <w:p w14:paraId="0C233A39" w14:textId="77777777" w:rsidR="002450CF" w:rsidRPr="0073594F" w:rsidRDefault="002450CF" w:rsidP="002450CF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b.</w:t>
      </w:r>
      <w:r w:rsidRPr="0073594F">
        <w:rPr>
          <w:rFonts w:ascii="Times New Roman" w:hAnsi="Times New Roman" w:cs="Times New Roman"/>
          <w:sz w:val="24"/>
          <w:szCs w:val="24"/>
        </w:rPr>
        <w:t xml:space="preserve"> Same plot for dual gate and monolayer MoS</w:t>
      </w:r>
      <w:r w:rsidRPr="007359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3594F">
        <w:rPr>
          <w:rFonts w:ascii="Times New Roman" w:hAnsi="Times New Roman" w:cs="Times New Roman"/>
          <w:sz w:val="24"/>
          <w:szCs w:val="24"/>
        </w:rPr>
        <w:t xml:space="preserve"> FET at </w:t>
      </w:r>
      <w:r w:rsidRPr="0073594F">
        <w:rPr>
          <w:rFonts w:ascii="Times New Roman" w:hAnsi="Times New Roman" w:cs="Times New Roman"/>
          <w:i/>
          <w:sz w:val="24"/>
          <w:szCs w:val="24"/>
        </w:rPr>
        <w:t>n</w:t>
      </w:r>
      <w:r w:rsidRPr="0073594F">
        <w:rPr>
          <w:rFonts w:ascii="Times New Roman" w:hAnsi="Times New Roman" w:cs="Times New Roman"/>
          <w:sz w:val="24"/>
          <w:szCs w:val="24"/>
        </w:rPr>
        <w:t xml:space="preserve"> of 1.51 x 10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3594F">
        <w:rPr>
          <w:rFonts w:ascii="Times New Roman" w:hAnsi="Times New Roman" w:cs="Times New Roman"/>
          <w:sz w:val="24"/>
          <w:szCs w:val="24"/>
        </w:rPr>
        <w:t xml:space="preserve"> cm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73594F">
        <w:rPr>
          <w:rFonts w:ascii="Times New Roman" w:hAnsi="Times New Roman" w:cs="Times New Roman"/>
          <w:sz w:val="24"/>
          <w:szCs w:val="24"/>
        </w:rPr>
        <w:t>.</w:t>
      </w:r>
    </w:p>
    <w:p w14:paraId="3E7D5CC5" w14:textId="77777777" w:rsidR="002450CF" w:rsidRPr="0073594F" w:rsidRDefault="002450CF" w:rsidP="002450CF">
      <w:pPr>
        <w:rPr>
          <w:rFonts w:ascii="Times New Roman" w:hAnsi="Times New Roman" w:cs="Times New Roman"/>
          <w:sz w:val="24"/>
          <w:szCs w:val="24"/>
        </w:rPr>
      </w:pPr>
      <w:r w:rsidRPr="0073594F">
        <w:rPr>
          <w:rFonts w:ascii="Times New Roman" w:hAnsi="Times New Roman" w:cs="Times New Roman"/>
          <w:b/>
          <w:sz w:val="24"/>
          <w:szCs w:val="24"/>
        </w:rPr>
        <w:t>c.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3594F">
        <w:rPr>
          <w:rFonts w:ascii="Times New Roman" w:hAnsi="Times New Roman" w:cs="Times New Roman"/>
          <w:sz w:val="24"/>
          <w:szCs w:val="24"/>
        </w:rPr>
        <w:t>Same plot for single gate and bilayer MoS</w:t>
      </w:r>
      <w:r w:rsidRPr="0073594F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73594F">
        <w:rPr>
          <w:rFonts w:ascii="Times New Roman" w:hAnsi="Times New Roman" w:cs="Times New Roman"/>
          <w:sz w:val="24"/>
          <w:szCs w:val="24"/>
        </w:rPr>
        <w:t xml:space="preserve">FET at </w:t>
      </w:r>
      <w:r w:rsidRPr="0073594F">
        <w:rPr>
          <w:rFonts w:ascii="Times New Roman" w:hAnsi="Times New Roman" w:cs="Times New Roman"/>
          <w:i/>
          <w:sz w:val="24"/>
          <w:szCs w:val="24"/>
        </w:rPr>
        <w:t>n</w:t>
      </w:r>
      <w:r w:rsidRPr="0073594F">
        <w:rPr>
          <w:rFonts w:ascii="Times New Roman" w:hAnsi="Times New Roman" w:cs="Times New Roman"/>
          <w:sz w:val="24"/>
          <w:szCs w:val="24"/>
        </w:rPr>
        <w:t xml:space="preserve"> of 1.04 x 10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3594F">
        <w:rPr>
          <w:rFonts w:ascii="Times New Roman" w:hAnsi="Times New Roman" w:cs="Times New Roman"/>
          <w:sz w:val="24"/>
          <w:szCs w:val="24"/>
        </w:rPr>
        <w:t xml:space="preserve"> cm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73594F">
        <w:rPr>
          <w:rFonts w:ascii="Times New Roman" w:hAnsi="Times New Roman" w:cs="Times New Roman"/>
          <w:sz w:val="24"/>
          <w:szCs w:val="24"/>
        </w:rPr>
        <w:t>.</w:t>
      </w:r>
    </w:p>
    <w:p w14:paraId="52390E7F" w14:textId="6A5CD704" w:rsidR="00F553FF" w:rsidRDefault="002450CF" w:rsidP="002450CF">
      <w:r w:rsidRPr="0073594F">
        <w:rPr>
          <w:rFonts w:ascii="Times New Roman" w:hAnsi="Times New Roman" w:cs="Times New Roman"/>
          <w:b/>
          <w:sz w:val="24"/>
          <w:szCs w:val="24"/>
        </w:rPr>
        <w:t>d.</w:t>
      </w:r>
      <w:r w:rsidRPr="0073594F">
        <w:rPr>
          <w:rFonts w:ascii="Times New Roman" w:hAnsi="Times New Roman" w:cs="Times New Roman"/>
          <w:sz w:val="24"/>
          <w:szCs w:val="24"/>
        </w:rPr>
        <w:t xml:space="preserve"> Same plot for dual gate and bilayer MoS</w:t>
      </w:r>
      <w:r w:rsidRPr="0073594F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73594F">
        <w:rPr>
          <w:rFonts w:ascii="Times New Roman" w:hAnsi="Times New Roman" w:cs="Times New Roman"/>
          <w:sz w:val="24"/>
          <w:szCs w:val="24"/>
        </w:rPr>
        <w:t xml:space="preserve">FET at </w:t>
      </w:r>
      <w:r w:rsidRPr="0073594F">
        <w:rPr>
          <w:rFonts w:ascii="Times New Roman" w:hAnsi="Times New Roman" w:cs="Times New Roman"/>
          <w:i/>
          <w:sz w:val="24"/>
          <w:szCs w:val="24"/>
        </w:rPr>
        <w:t>n</w:t>
      </w:r>
      <w:r w:rsidRPr="0073594F">
        <w:rPr>
          <w:rFonts w:ascii="Times New Roman" w:hAnsi="Times New Roman" w:cs="Times New Roman"/>
          <w:sz w:val="24"/>
          <w:szCs w:val="24"/>
        </w:rPr>
        <w:t xml:space="preserve"> of 1.7 x 10</w:t>
      </w:r>
      <w:r w:rsidRPr="0073594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3594F">
        <w:rPr>
          <w:rFonts w:ascii="Times New Roman" w:hAnsi="Times New Roman" w:cs="Times New Roman"/>
          <w:sz w:val="24"/>
          <w:szCs w:val="24"/>
        </w:rPr>
        <w:t xml:space="preserve"> cm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CF"/>
    <w:rsid w:val="002450CF"/>
    <w:rsid w:val="003C2EF4"/>
    <w:rsid w:val="00A8685D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0FDA"/>
  <w15:chartTrackingRefBased/>
  <w15:docId w15:val="{5814DDA5-A937-4634-832B-A8349A9CF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0CF"/>
    <w:rPr>
      <w:rFonts w:eastAsiaTheme="minorEastAsia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0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0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0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0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0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0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0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0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0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0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0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0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0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0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0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0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0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0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0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5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0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50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0CF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50CF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2450CF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50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0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0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0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368</Words>
  <Characters>2104</Characters>
  <Application>Microsoft Office Word</Application>
  <DocSecurity>0</DocSecurity>
  <Lines>17</Lines>
  <Paragraphs>4</Paragraphs>
  <ScaleCrop>false</ScaleCrop>
  <Company>Springer Nature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2024-07-10T08:38:00Z</dcterms:created>
  <dcterms:modified xsi:type="dcterms:W3CDTF">2024-07-10T08:38:00Z</dcterms:modified>
</cp:coreProperties>
</file>