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F748E" w14:textId="717FDD43" w:rsidR="00493F81" w:rsidRPr="00493F81" w:rsidRDefault="00493F81" w:rsidP="00493F81">
      <w:pPr>
        <w:pStyle w:val="NoSpacing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493F81">
        <w:rPr>
          <w:rFonts w:ascii="Times New Roman" w:hAnsi="Times New Roman" w:cs="Times New Roman"/>
          <w:b/>
        </w:rPr>
        <w:t>Escape Room Review: Learning Objectives</w:t>
      </w:r>
    </w:p>
    <w:p w14:paraId="4DD7F932" w14:textId="77777777" w:rsidR="00493F81" w:rsidRDefault="00493F81" w:rsidP="00493F81">
      <w:pPr>
        <w:pStyle w:val="NoSpacing"/>
        <w:rPr>
          <w:rFonts w:ascii="Times New Roman" w:hAnsi="Times New Roman" w:cs="Times New Roman"/>
        </w:rPr>
      </w:pPr>
    </w:p>
    <w:p w14:paraId="3BCACF7B" w14:textId="44E281D5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Understand mechanisms involved in Avoiding Immune Destruction, including:</w:t>
      </w:r>
    </w:p>
    <w:p w14:paraId="6E867A06" w14:textId="77777777" w:rsidR="00493F81" w:rsidRPr="00493F81" w:rsidRDefault="00493F81" w:rsidP="005A7A62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Tumor Promoting Inflammation</w:t>
      </w:r>
    </w:p>
    <w:p w14:paraId="380417F0" w14:textId="77777777" w:rsidR="00493F81" w:rsidRPr="00493F81" w:rsidRDefault="00493F81" w:rsidP="005A7A62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Immune Desert</w:t>
      </w:r>
    </w:p>
    <w:p w14:paraId="1017316D" w14:textId="77777777" w:rsidR="00493F81" w:rsidRPr="00493F81" w:rsidRDefault="00493F81" w:rsidP="005A7A62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Immune Exclusion</w:t>
      </w:r>
    </w:p>
    <w:p w14:paraId="2BDF24B6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138E1180" w14:textId="27D1D2F6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Explore strategies for Evading Growth Suppressors, covering:</w:t>
      </w:r>
    </w:p>
    <w:p w14:paraId="4C421E56" w14:textId="77777777" w:rsidR="00493F81" w:rsidRPr="00493F81" w:rsidRDefault="00493F81" w:rsidP="005A7A62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Cellular Responses</w:t>
      </w:r>
    </w:p>
    <w:p w14:paraId="1F92A3FC" w14:textId="77777777" w:rsidR="00493F81" w:rsidRPr="00493F81" w:rsidRDefault="00493F81" w:rsidP="005A7A62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DNA Damage</w:t>
      </w:r>
    </w:p>
    <w:p w14:paraId="57A9ACBF" w14:textId="77777777" w:rsidR="00493F81" w:rsidRPr="00493F81" w:rsidRDefault="00493F81" w:rsidP="005A7A62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Cell Proliferation</w:t>
      </w:r>
    </w:p>
    <w:p w14:paraId="2355100D" w14:textId="77777777" w:rsidR="00493F81" w:rsidRPr="00493F81" w:rsidRDefault="00493F81" w:rsidP="005A7A62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Cell Survival</w:t>
      </w:r>
    </w:p>
    <w:p w14:paraId="36C2C3AD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1B52FE46" w14:textId="4DBF00DC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Examine the role of Genomic Instability &amp; Mutation, focusing on:</w:t>
      </w:r>
    </w:p>
    <w:p w14:paraId="59F17E52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Oncogenic Activation</w:t>
      </w:r>
    </w:p>
    <w:p w14:paraId="20880727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Neoantigen Presentation</w:t>
      </w:r>
    </w:p>
    <w:p w14:paraId="35BC8054" w14:textId="77777777" w:rsidR="005A7A62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Cancer Transformation</w:t>
      </w:r>
    </w:p>
    <w:p w14:paraId="15BDA1A1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001B93C2" w14:textId="26EE60B3" w:rsidR="005A7A62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Analyze pathways involved in Sustaining Proliferative Signaling, such as:</w:t>
      </w:r>
    </w:p>
    <w:p w14:paraId="2E754986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Oncogenic Signaling</w:t>
      </w:r>
    </w:p>
    <w:p w14:paraId="64927431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Damaging Mutations</w:t>
      </w:r>
    </w:p>
    <w:p w14:paraId="618065D3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Bypassing Growth Factor Activation</w:t>
      </w:r>
    </w:p>
    <w:p w14:paraId="09C456DA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47973706" w14:textId="4C449301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Investigate the impact of the Polymorphic Microbiome, including:</w:t>
      </w:r>
    </w:p>
    <w:p w14:paraId="0F26B39B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Therapeutic Index</w:t>
      </w:r>
    </w:p>
    <w:p w14:paraId="5AC4ED4A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Healthy Gut Microbiome</w:t>
      </w:r>
    </w:p>
    <w:p w14:paraId="4FD021A0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Fecal Microbiota Transplantation (FMT)</w:t>
      </w:r>
    </w:p>
    <w:p w14:paraId="0E373007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7EA6C69F" w14:textId="7DC874D6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Understand mechanisms associated with Adaptive and Innate Immune Responses in Avoiding Immune Destruction.</w:t>
      </w:r>
    </w:p>
    <w:p w14:paraId="33D4E485" w14:textId="77777777" w:rsidR="005A7A62" w:rsidRDefault="005A7A62" w:rsidP="00493F81">
      <w:pPr>
        <w:pStyle w:val="NoSpacing"/>
        <w:rPr>
          <w:rFonts w:ascii="Times New Roman" w:hAnsi="Times New Roman" w:cs="Times New Roman"/>
        </w:rPr>
      </w:pPr>
    </w:p>
    <w:p w14:paraId="2B220C72" w14:textId="094F9976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Explore Nonmutational Epigenetic Reprogramming, covering:</w:t>
      </w:r>
    </w:p>
    <w:p w14:paraId="5444306E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Methylation</w:t>
      </w:r>
    </w:p>
    <w:p w14:paraId="5702BC95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DNMT3A</w:t>
      </w:r>
    </w:p>
    <w:p w14:paraId="1F098B0E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TET</w:t>
      </w:r>
    </w:p>
    <w:p w14:paraId="4C285347" w14:textId="77777777" w:rsidR="00493F81" w:rsidRPr="00493F81" w:rsidRDefault="00493F81" w:rsidP="005A7A62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 w:rsidRPr="00493F81">
        <w:rPr>
          <w:rFonts w:ascii="Times New Roman" w:hAnsi="Times New Roman" w:cs="Times New Roman"/>
        </w:rPr>
        <w:t>Epigenetic Gene Regulation</w:t>
      </w:r>
    </w:p>
    <w:p w14:paraId="420FB7AA" w14:textId="77777777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</w:p>
    <w:p w14:paraId="7005CBAC" w14:textId="77777777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</w:p>
    <w:p w14:paraId="29637A4D" w14:textId="77777777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</w:p>
    <w:p w14:paraId="6F431921" w14:textId="75528948" w:rsidR="00493F81" w:rsidRPr="00493F81" w:rsidRDefault="00493F81" w:rsidP="00493F81">
      <w:pPr>
        <w:pStyle w:val="NoSpacing"/>
        <w:rPr>
          <w:rFonts w:ascii="Times New Roman" w:hAnsi="Times New Roman" w:cs="Times New Roman"/>
        </w:rPr>
      </w:pPr>
    </w:p>
    <w:sectPr w:rsidR="00493F81" w:rsidRPr="00493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D54"/>
    <w:multiLevelType w:val="hybridMultilevel"/>
    <w:tmpl w:val="16CA8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0036"/>
    <w:multiLevelType w:val="hybridMultilevel"/>
    <w:tmpl w:val="66928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52F84"/>
    <w:multiLevelType w:val="hybridMultilevel"/>
    <w:tmpl w:val="18167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05502"/>
    <w:multiLevelType w:val="hybridMultilevel"/>
    <w:tmpl w:val="0AC48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200497"/>
    <w:multiLevelType w:val="hybridMultilevel"/>
    <w:tmpl w:val="779AE5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1F1BC9"/>
    <w:multiLevelType w:val="hybridMultilevel"/>
    <w:tmpl w:val="65F86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CC19F1"/>
    <w:multiLevelType w:val="hybridMultilevel"/>
    <w:tmpl w:val="ED1A83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SwMDc2MzA2MDM3MjZR0lEKTi0uzszPAykwrAUA7xgNVywAAAA="/>
  </w:docVars>
  <w:rsids>
    <w:rsidRoot w:val="00275983"/>
    <w:rsid w:val="00275983"/>
    <w:rsid w:val="00493F81"/>
    <w:rsid w:val="005A7A62"/>
    <w:rsid w:val="00766B11"/>
    <w:rsid w:val="00A12748"/>
    <w:rsid w:val="00F0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F99AB"/>
  <w15:chartTrackingRefBased/>
  <w15:docId w15:val="{0FF59DEB-3675-4579-9CE6-95515FEE6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3F8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493F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1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Academic Health Center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Solone,Xzaviar K</dc:creator>
  <cp:keywords/>
  <dc:description/>
  <cp:lastModifiedBy>Solone,Xzaviar K</cp:lastModifiedBy>
  <cp:revision>2</cp:revision>
  <dcterms:created xsi:type="dcterms:W3CDTF">2024-02-27T23:41:00Z</dcterms:created>
  <dcterms:modified xsi:type="dcterms:W3CDTF">2024-02-27T23:41:00Z</dcterms:modified>
</cp:coreProperties>
</file>