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EF2D2A" w14:textId="77777777" w:rsidR="00D716EA" w:rsidRPr="00363E92" w:rsidRDefault="00D716EA" w:rsidP="00D716EA">
      <w:pPr>
        <w:spacing w:line="360" w:lineRule="auto"/>
        <w:rPr>
          <w:b/>
          <w:bCs/>
          <w:sz w:val="32"/>
          <w:szCs w:val="32"/>
        </w:rPr>
      </w:pPr>
      <w:r w:rsidRPr="00363E92">
        <w:rPr>
          <w:b/>
          <w:bCs/>
          <w:sz w:val="32"/>
          <w:szCs w:val="32"/>
        </w:rPr>
        <w:t>Supplementary material</w:t>
      </w:r>
    </w:p>
    <w:p w14:paraId="01A47E40" w14:textId="77777777" w:rsidR="00D716EA" w:rsidRDefault="00D716EA" w:rsidP="00D716EA">
      <w:pPr>
        <w:spacing w:line="360" w:lineRule="auto"/>
      </w:pPr>
    </w:p>
    <w:p w14:paraId="1E8C167F" w14:textId="7FE51A14" w:rsidR="00D716EA" w:rsidRPr="009D0FF6" w:rsidRDefault="00A32F9C" w:rsidP="009D0FF6">
      <w:pPr>
        <w:spacing w:line="360" w:lineRule="auto"/>
        <w:rPr>
          <w:b/>
          <w:bCs/>
        </w:rPr>
      </w:pPr>
      <w:r>
        <w:rPr>
          <w:b/>
          <w:bCs/>
        </w:rPr>
        <w:t xml:space="preserve">Sampling and Imaging </w:t>
      </w:r>
      <w:r w:rsidR="00D716EA" w:rsidRPr="009D0FF6">
        <w:rPr>
          <w:b/>
          <w:bCs/>
        </w:rPr>
        <w:t>Methods</w:t>
      </w:r>
    </w:p>
    <w:p w14:paraId="7F47D748" w14:textId="61B0B460" w:rsidR="00D716EA" w:rsidRPr="00363E92" w:rsidRDefault="00D716EA" w:rsidP="009D0FF6">
      <w:pPr>
        <w:spacing w:line="360" w:lineRule="auto"/>
      </w:pPr>
      <w:r w:rsidRPr="00363E92">
        <w:t xml:space="preserve">All data used in our analysis was collected from a series of long-term field experiments operated and managed by Rothamsted Research in southeast England. </w:t>
      </w:r>
    </w:p>
    <w:p w14:paraId="021AE600" w14:textId="77777777" w:rsidR="00D716EA" w:rsidRPr="00363E92" w:rsidRDefault="00D716EA" w:rsidP="009D0FF6">
      <w:pPr>
        <w:spacing w:line="360" w:lineRule="auto"/>
      </w:pPr>
    </w:p>
    <w:p w14:paraId="5CF63B08" w14:textId="7DA4EDAE" w:rsidR="00D716EA" w:rsidRPr="00363E92" w:rsidRDefault="00D716EA" w:rsidP="009D0FF6">
      <w:pPr>
        <w:spacing w:line="360" w:lineRule="auto"/>
      </w:pPr>
      <w:r w:rsidRPr="00363E92">
        <w:rPr>
          <w:color w:val="2E2E2E"/>
        </w:rPr>
        <w:t>Highfield Ley-Arable experiment (51° 48' 10.0" N, 0° 21' 57.7" W, 130 m above sea level,). Set on a silty-clay loam textured soil developed on clay-with-flints over </w:t>
      </w:r>
      <w:hyperlink r:id="rId4" w:tooltip="Learn more about Eocene from ScienceDirect's AI-generated Topic Pages" w:history="1">
        <w:r w:rsidRPr="00363E92">
          <w:rPr>
            <w:rStyle w:val="Hyperlink"/>
            <w:color w:val="2E2E2E"/>
          </w:rPr>
          <w:t>Eocene</w:t>
        </w:r>
      </w:hyperlink>
      <w:r w:rsidRPr="00363E92">
        <w:rPr>
          <w:color w:val="2E2E2E"/>
        </w:rPr>
        <w:t> </w:t>
      </w:r>
      <w:hyperlink r:id="rId5" w:tooltip="Learn more about London Clay from ScienceDirect's AI-generated Topic Pages" w:history="1">
        <w:r w:rsidRPr="00363E92">
          <w:rPr>
            <w:rStyle w:val="Hyperlink"/>
            <w:color w:val="2E2E2E"/>
          </w:rPr>
          <w:t>London Clay</w:t>
        </w:r>
      </w:hyperlink>
      <w:r w:rsidRPr="00363E92">
        <w:rPr>
          <w:color w:val="2E2E2E"/>
        </w:rPr>
        <w:t> (</w:t>
      </w:r>
      <w:proofErr w:type="spellStart"/>
      <w:r w:rsidRPr="00363E92">
        <w:rPr>
          <w:color w:val="2E2E2E"/>
        </w:rPr>
        <w:t>Batcome</w:t>
      </w:r>
      <w:proofErr w:type="spellEnd"/>
      <w:r w:rsidRPr="00363E92">
        <w:rPr>
          <w:color w:val="2E2E2E"/>
        </w:rPr>
        <w:t xml:space="preserve"> series) and classified as a Chromic </w:t>
      </w:r>
      <w:proofErr w:type="spellStart"/>
      <w:r>
        <w:fldChar w:fldCharType="begin"/>
      </w:r>
      <w:r>
        <w:instrText>HYPERLINK "https://www.sciencedirect.com/topics/earth-and-planetary-sciences/luvisol" \o "Learn more about Luvisol from ScienceDirect's AI-generated Topic Pages"</w:instrText>
      </w:r>
      <w:r>
        <w:fldChar w:fldCharType="separate"/>
      </w:r>
      <w:r w:rsidRPr="00363E92">
        <w:rPr>
          <w:rStyle w:val="Hyperlink"/>
          <w:color w:val="2E2E2E"/>
        </w:rPr>
        <w:t>Luvisol</w:t>
      </w:r>
      <w:proofErr w:type="spellEnd"/>
      <w:r>
        <w:rPr>
          <w:rStyle w:val="Hyperlink"/>
          <w:color w:val="2E2E2E"/>
        </w:rPr>
        <w:fldChar w:fldCharType="end"/>
      </w:r>
      <w:r w:rsidRPr="00363E92">
        <w:rPr>
          <w:color w:val="2E2E2E"/>
        </w:rPr>
        <w:t> by FAO criteria</w:t>
      </w:r>
      <w:r w:rsidRPr="00363E92">
        <w:t xml:space="preserve"> </w:t>
      </w:r>
      <w:r w:rsidRPr="00363E92">
        <w:rPr>
          <w:color w:val="1C1D1E"/>
          <w:shd w:val="clear" w:color="auto" w:fill="FFFFFF"/>
        </w:rPr>
        <w:t>The soil has a silty-clay loam texture. We studied soils under three contrasting managements. The first was a grassland, present since at least 1838. Grassland plots are maintained as a managed mixed sward of fescue (Festuca pratensis L.), Timothy grass (Phleum pratense L.) and white clover (Trifolium repens L.). Fertilizers (250 kg-K ha</w:t>
      </w:r>
      <w:r w:rsidRPr="00363E92">
        <w:rPr>
          <w:color w:val="1C1D1E"/>
          <w:shd w:val="clear" w:color="auto" w:fill="FFFFFF"/>
          <w:vertAlign w:val="superscript"/>
        </w:rPr>
        <w:t xml:space="preserve">−1 </w:t>
      </w:r>
      <w:r w:rsidRPr="00363E92">
        <w:rPr>
          <w:color w:val="1C1D1E"/>
          <w:shd w:val="clear" w:color="auto" w:fill="FFFFFF"/>
        </w:rPr>
        <w:t>as</w:t>
      </w:r>
      <w:r w:rsidRPr="00363E92">
        <w:t xml:space="preserve"> K</w:t>
      </w:r>
      <w:r w:rsidRPr="00363E92">
        <w:rPr>
          <w:vertAlign w:val="subscript"/>
        </w:rPr>
        <w:t>2</w:t>
      </w:r>
      <w:r w:rsidRPr="00363E92">
        <w:t>SO</w:t>
      </w:r>
      <w:r w:rsidRPr="00363E92">
        <w:rPr>
          <w:vertAlign w:val="subscript"/>
        </w:rPr>
        <w:t xml:space="preserve">4 </w:t>
      </w:r>
      <w:r w:rsidRPr="00363E92">
        <w:rPr>
          <w:color w:val="1C1D1E"/>
          <w:shd w:val="clear" w:color="auto" w:fill="FFFFFF"/>
        </w:rPr>
        <w:t>and 65 kg-P ha</w:t>
      </w:r>
      <w:r w:rsidRPr="00363E92">
        <w:rPr>
          <w:color w:val="1C1D1E"/>
          <w:shd w:val="clear" w:color="auto" w:fill="FFFFFF"/>
          <w:vertAlign w:val="superscript"/>
        </w:rPr>
        <w:t>−1</w:t>
      </w:r>
      <w:r w:rsidRPr="00363E92">
        <w:t xml:space="preserve"> as triple superphosphate [Ca(H</w:t>
      </w:r>
      <w:r w:rsidRPr="00363E92">
        <w:rPr>
          <w:vertAlign w:val="subscript"/>
        </w:rPr>
        <w:t>2</w:t>
      </w:r>
      <w:r w:rsidRPr="00363E92">
        <w:t>PO</w:t>
      </w:r>
      <w:r w:rsidRPr="00363E92">
        <w:rPr>
          <w:vertAlign w:val="subscript"/>
        </w:rPr>
        <w:t>4</w:t>
      </w:r>
      <w:r w:rsidRPr="00363E92">
        <w:t>)2·H</w:t>
      </w:r>
      <w:r w:rsidRPr="00363E92">
        <w:rPr>
          <w:vertAlign w:val="subscript"/>
        </w:rPr>
        <w:t>2</w:t>
      </w:r>
      <w:r w:rsidRPr="00363E92">
        <w:t>O]</w:t>
      </w:r>
      <w:r w:rsidRPr="00363E92">
        <w:rPr>
          <w:color w:val="1C1D1E"/>
          <w:shd w:val="clear" w:color="auto" w:fill="FFFFFF"/>
        </w:rPr>
        <w:t xml:space="preserve">) are added every three years and hay mowed and removed annually. The second treatment was a set of arable plots established in 1949 and managed as a continuous wheat rotation (winter wheat, Triticum </w:t>
      </w:r>
      <w:proofErr w:type="spellStart"/>
      <w:r w:rsidRPr="00363E92">
        <w:rPr>
          <w:color w:val="1C1D1E"/>
          <w:shd w:val="clear" w:color="auto" w:fill="FFFFFF"/>
        </w:rPr>
        <w:t>aestivum</w:t>
      </w:r>
      <w:proofErr w:type="spellEnd"/>
      <w:r w:rsidRPr="00363E92">
        <w:rPr>
          <w:color w:val="1C1D1E"/>
          <w:shd w:val="clear" w:color="auto" w:fill="FFFFFF"/>
        </w:rPr>
        <w:t xml:space="preserve"> L., c.v. “Hereward”) and planted with seeds coated with the triazole fungicides </w:t>
      </w:r>
      <w:proofErr w:type="spellStart"/>
      <w:r w:rsidRPr="00363E92">
        <w:rPr>
          <w:color w:val="1C1D1E"/>
          <w:shd w:val="clear" w:color="auto" w:fill="FFFFFF"/>
        </w:rPr>
        <w:t>prothioconazole</w:t>
      </w:r>
      <w:proofErr w:type="spellEnd"/>
      <w:r w:rsidRPr="00363E92">
        <w:rPr>
          <w:color w:val="1C1D1E"/>
          <w:shd w:val="clear" w:color="auto" w:fill="FFFFFF"/>
        </w:rPr>
        <w:t xml:space="preserve"> (C</w:t>
      </w:r>
      <w:r w:rsidRPr="00363E92">
        <w:rPr>
          <w:color w:val="1C1D1E"/>
          <w:shd w:val="clear" w:color="auto" w:fill="FFFFFF"/>
          <w:vertAlign w:val="subscript"/>
        </w:rPr>
        <w:t>14</w:t>
      </w:r>
      <w:r w:rsidRPr="00363E92">
        <w:rPr>
          <w:color w:val="1C1D1E"/>
          <w:shd w:val="clear" w:color="auto" w:fill="FFFFFF"/>
        </w:rPr>
        <w:t>H</w:t>
      </w:r>
      <w:r w:rsidRPr="00363E92">
        <w:rPr>
          <w:color w:val="1C1D1E"/>
          <w:shd w:val="clear" w:color="auto" w:fill="FFFFFF"/>
          <w:vertAlign w:val="subscript"/>
        </w:rPr>
        <w:t>15</w:t>
      </w:r>
      <w:r w:rsidRPr="00363E92">
        <w:rPr>
          <w:color w:val="1C1D1E"/>
          <w:shd w:val="clear" w:color="auto" w:fill="FFFFFF"/>
        </w:rPr>
        <w:t>Cl</w:t>
      </w:r>
      <w:r w:rsidRPr="00363E92">
        <w:rPr>
          <w:color w:val="1C1D1E"/>
          <w:shd w:val="clear" w:color="auto" w:fill="FFFFFF"/>
          <w:vertAlign w:val="subscript"/>
        </w:rPr>
        <w:t>2</w:t>
      </w:r>
      <w:r w:rsidRPr="00363E92">
        <w:rPr>
          <w:color w:val="1C1D1E"/>
          <w:shd w:val="clear" w:color="auto" w:fill="FFFFFF"/>
        </w:rPr>
        <w:t>N</w:t>
      </w:r>
      <w:r w:rsidRPr="00363E92">
        <w:rPr>
          <w:color w:val="1C1D1E"/>
          <w:shd w:val="clear" w:color="auto" w:fill="FFFFFF"/>
          <w:vertAlign w:val="subscript"/>
        </w:rPr>
        <w:t>3</w:t>
      </w:r>
      <w:r w:rsidRPr="00363E92">
        <w:rPr>
          <w:color w:val="1C1D1E"/>
          <w:shd w:val="clear" w:color="auto" w:fill="FFFFFF"/>
        </w:rPr>
        <w:t>OS) and tebuconazole (C</w:t>
      </w:r>
      <w:r w:rsidRPr="00363E92">
        <w:rPr>
          <w:color w:val="1C1D1E"/>
          <w:shd w:val="clear" w:color="auto" w:fill="FFFFFF"/>
          <w:vertAlign w:val="subscript"/>
        </w:rPr>
        <w:t>16</w:t>
      </w:r>
      <w:r w:rsidRPr="00363E92">
        <w:rPr>
          <w:color w:val="1C1D1E"/>
          <w:shd w:val="clear" w:color="auto" w:fill="FFFFFF"/>
        </w:rPr>
        <w:t>H</w:t>
      </w:r>
      <w:r w:rsidRPr="00363E92">
        <w:rPr>
          <w:color w:val="1C1D1E"/>
          <w:shd w:val="clear" w:color="auto" w:fill="FFFFFF"/>
          <w:vertAlign w:val="subscript"/>
        </w:rPr>
        <w:t>22</w:t>
      </w:r>
      <w:r w:rsidRPr="00363E92">
        <w:rPr>
          <w:color w:val="1C1D1E"/>
          <w:shd w:val="clear" w:color="auto" w:fill="FFFFFF"/>
        </w:rPr>
        <w:t>ClN</w:t>
      </w:r>
      <w:r w:rsidRPr="00363E92">
        <w:rPr>
          <w:color w:val="1C1D1E"/>
          <w:shd w:val="clear" w:color="auto" w:fill="FFFFFF"/>
          <w:vertAlign w:val="subscript"/>
        </w:rPr>
        <w:t>3</w:t>
      </w:r>
      <w:r w:rsidRPr="00363E92">
        <w:rPr>
          <w:color w:val="1C1D1E"/>
          <w:shd w:val="clear" w:color="auto" w:fill="FFFFFF"/>
        </w:rPr>
        <w:t xml:space="preserve">O, Redigo Deter, Bayer </w:t>
      </w:r>
      <w:proofErr w:type="spellStart"/>
      <w:r w:rsidRPr="00363E92">
        <w:rPr>
          <w:color w:val="1C1D1E"/>
          <w:shd w:val="clear" w:color="auto" w:fill="FFFFFF"/>
        </w:rPr>
        <w:t>CropScience</w:t>
      </w:r>
      <w:proofErr w:type="spellEnd"/>
      <w:r w:rsidRPr="00363E92">
        <w:rPr>
          <w:color w:val="1C1D1E"/>
          <w:shd w:val="clear" w:color="auto" w:fill="FFFFFF"/>
        </w:rPr>
        <w:t>, UK). Arable plots are fertilized each year to provide 220 kg-N ha</w:t>
      </w:r>
      <w:r w:rsidRPr="00363E92">
        <w:rPr>
          <w:color w:val="1C1D1E"/>
          <w:shd w:val="clear" w:color="auto" w:fill="FFFFFF"/>
          <w:vertAlign w:val="superscript"/>
        </w:rPr>
        <w:t>−1</w:t>
      </w:r>
      <w:r w:rsidRPr="00363E92">
        <w:rPr>
          <w:color w:val="1C1D1E"/>
          <w:shd w:val="clear" w:color="auto" w:fill="FFFFFF"/>
        </w:rPr>
        <w:t> year</w:t>
      </w:r>
      <w:r w:rsidRPr="00363E92">
        <w:rPr>
          <w:color w:val="1C1D1E"/>
          <w:shd w:val="clear" w:color="auto" w:fill="FFFFFF"/>
          <w:vertAlign w:val="superscript"/>
        </w:rPr>
        <w:t xml:space="preserve">−1 </w:t>
      </w:r>
      <w:r w:rsidRPr="00363E92">
        <w:t xml:space="preserve">as ammonium nitrate </w:t>
      </w:r>
      <w:r w:rsidRPr="00363E92">
        <w:rPr>
          <w:lang w:val="en"/>
        </w:rPr>
        <w:t>(NH</w:t>
      </w:r>
      <w:r w:rsidRPr="00363E92">
        <w:rPr>
          <w:vertAlign w:val="subscript"/>
          <w:lang w:val="en"/>
        </w:rPr>
        <w:t>4</w:t>
      </w:r>
      <w:r w:rsidRPr="00363E92">
        <w:rPr>
          <w:lang w:val="en"/>
        </w:rPr>
        <w:t>NO</w:t>
      </w:r>
      <w:r w:rsidRPr="00363E92">
        <w:rPr>
          <w:vertAlign w:val="subscript"/>
          <w:lang w:val="en"/>
        </w:rPr>
        <w:t>3</w:t>
      </w:r>
      <w:r w:rsidRPr="00363E92">
        <w:rPr>
          <w:lang w:val="en"/>
        </w:rPr>
        <w:t>)</w:t>
      </w:r>
      <w:r w:rsidRPr="00363E92">
        <w:t xml:space="preserve"> </w:t>
      </w:r>
      <w:r w:rsidRPr="00363E92">
        <w:rPr>
          <w:color w:val="1C1D1E"/>
          <w:shd w:val="clear" w:color="auto" w:fill="FFFFFF"/>
        </w:rPr>
        <w:t>and 250 kg-K ha</w:t>
      </w:r>
      <w:r w:rsidRPr="00363E92">
        <w:rPr>
          <w:color w:val="1C1D1E"/>
          <w:shd w:val="clear" w:color="auto" w:fill="FFFFFF"/>
          <w:vertAlign w:val="superscript"/>
        </w:rPr>
        <w:t>−1</w:t>
      </w:r>
      <w:r w:rsidRPr="00363E92">
        <w:rPr>
          <w:color w:val="1C1D1E"/>
          <w:shd w:val="clear" w:color="auto" w:fill="FFFFFF"/>
        </w:rPr>
        <w:t> and 65 kg-P ha</w:t>
      </w:r>
      <w:r w:rsidRPr="00363E92">
        <w:rPr>
          <w:color w:val="1C1D1E"/>
          <w:shd w:val="clear" w:color="auto" w:fill="FFFFFF"/>
          <w:vertAlign w:val="superscript"/>
        </w:rPr>
        <w:t xml:space="preserve">−1 </w:t>
      </w:r>
      <w:r w:rsidRPr="00363E92">
        <w:rPr>
          <w:color w:val="1C1D1E"/>
          <w:shd w:val="clear" w:color="auto" w:fill="FFFFFF"/>
        </w:rPr>
        <w:t xml:space="preserve">every three years. The third treatment was plots managed as bare fallow, established in 1959. These plots are maintained with regular tillage or </w:t>
      </w:r>
      <w:proofErr w:type="spellStart"/>
      <w:r w:rsidRPr="00363E92">
        <w:rPr>
          <w:color w:val="1C1D1E"/>
          <w:shd w:val="clear" w:color="auto" w:fill="FFFFFF"/>
        </w:rPr>
        <w:t>rotavation</w:t>
      </w:r>
      <w:proofErr w:type="spellEnd"/>
      <w:r w:rsidRPr="00363E92">
        <w:rPr>
          <w:color w:val="1C1D1E"/>
          <w:shd w:val="clear" w:color="auto" w:fill="FFFFFF"/>
        </w:rPr>
        <w:t xml:space="preserve"> at least four times per year to prevent any plant growth. Arable and bare-fallow plots are tilled to a depth of approximately 30 cm. The replication of treatments was a minimum of nine aggregates scanned from cores collected from three replicate plots of each treatment (total, 32 aggregates).</w:t>
      </w:r>
    </w:p>
    <w:p w14:paraId="6D43821D" w14:textId="77777777" w:rsidR="00D716EA" w:rsidRPr="00363E92" w:rsidRDefault="00D716EA" w:rsidP="009D0FF6">
      <w:pPr>
        <w:spacing w:line="360" w:lineRule="auto"/>
      </w:pPr>
    </w:p>
    <w:p w14:paraId="51E38C11" w14:textId="77777777" w:rsidR="00D716EA" w:rsidRPr="00363E92" w:rsidRDefault="00D716EA" w:rsidP="009D0FF6">
      <w:pPr>
        <w:spacing w:line="360" w:lineRule="auto"/>
      </w:pPr>
      <w:r w:rsidRPr="00363E92">
        <w:t xml:space="preserve">Broadbalk Winter Wheat long-term experiment (51° 48' 34.1" N, 0° 22' 22.8" W, 130 m above sea level, </w:t>
      </w:r>
      <w:hyperlink r:id="rId6" w:history="1">
        <w:r w:rsidRPr="00363E92">
          <w:rPr>
            <w:rStyle w:val="Hyperlink"/>
          </w:rPr>
          <w:t>http://www.era.rothamsted.ac.uk/experiment/rbk1</w:t>
        </w:r>
      </w:hyperlink>
      <w:r w:rsidRPr="00363E92">
        <w:t xml:space="preserve">). Set on a similar soil texture to the near-by Highfield experiment, this field experiment was established in 1843 and is managed under continuous wheat rotations </w:t>
      </w:r>
      <w:r w:rsidRPr="00363E92">
        <w:rPr>
          <w:color w:val="1C1D1E"/>
          <w:shd w:val="clear" w:color="auto" w:fill="FFFFFF"/>
        </w:rPr>
        <w:t xml:space="preserve">(winter wheat, T. </w:t>
      </w:r>
      <w:proofErr w:type="spellStart"/>
      <w:r w:rsidRPr="00363E92">
        <w:rPr>
          <w:color w:val="1C1D1E"/>
          <w:shd w:val="clear" w:color="auto" w:fill="FFFFFF"/>
        </w:rPr>
        <w:t>aestivum</w:t>
      </w:r>
      <w:proofErr w:type="spellEnd"/>
      <w:r w:rsidRPr="00363E92">
        <w:rPr>
          <w:color w:val="1C1D1E"/>
          <w:shd w:val="clear" w:color="auto" w:fill="FFFFFF"/>
        </w:rPr>
        <w:t xml:space="preserve"> L., most recently using Crusoe [2013-2018] and </w:t>
      </w:r>
      <w:proofErr w:type="spellStart"/>
      <w:r w:rsidRPr="00363E92">
        <w:rPr>
          <w:color w:val="1C1D1E"/>
          <w:shd w:val="clear" w:color="auto" w:fill="FFFFFF"/>
        </w:rPr>
        <w:t>Zyatt</w:t>
      </w:r>
      <w:proofErr w:type="spellEnd"/>
      <w:r w:rsidRPr="00363E92">
        <w:rPr>
          <w:color w:val="1C1D1E"/>
          <w:shd w:val="clear" w:color="auto" w:fill="FFFFFF"/>
        </w:rPr>
        <w:t xml:space="preserve"> [since 2018] cultivars). As with the Highfield arable plots, seed is coated with dual fungicides. </w:t>
      </w:r>
      <w:r w:rsidRPr="00363E92">
        <w:t xml:space="preserve"> The soils provided a range of soil organic carbon stocks. We sampled soil from several contrasting fertility managements including </w:t>
      </w:r>
      <w:r w:rsidRPr="00363E92">
        <w:lastRenderedPageBreak/>
        <w:t>receiving 35 Mg ha</w:t>
      </w:r>
      <w:r w:rsidRPr="00363E92">
        <w:rPr>
          <w:vertAlign w:val="superscript"/>
        </w:rPr>
        <w:t>-1</w:t>
      </w:r>
      <w:r w:rsidRPr="00363E92">
        <w:t xml:space="preserve"> yr</w:t>
      </w:r>
      <w:r w:rsidRPr="00363E92">
        <w:rPr>
          <w:vertAlign w:val="superscript"/>
        </w:rPr>
        <w:t>-1</w:t>
      </w:r>
      <w:r w:rsidRPr="00363E92">
        <w:t xml:space="preserve"> composted farmyard manure from cattle; 144 kg-N ha</w:t>
      </w:r>
      <w:r w:rsidRPr="00363E92">
        <w:rPr>
          <w:vertAlign w:val="superscript"/>
        </w:rPr>
        <w:t>-1</w:t>
      </w:r>
      <w:r w:rsidRPr="00363E92">
        <w:t xml:space="preserve"> yr</w:t>
      </w:r>
      <w:r w:rsidRPr="00363E92">
        <w:rPr>
          <w:vertAlign w:val="superscript"/>
        </w:rPr>
        <w:t>-1</w:t>
      </w:r>
      <w:r w:rsidRPr="00363E92">
        <w:t xml:space="preserve"> together with 90 kg-K ha</w:t>
      </w:r>
      <w:r w:rsidRPr="00363E92">
        <w:rPr>
          <w:vertAlign w:val="superscript"/>
        </w:rPr>
        <w:t>-1</w:t>
      </w:r>
      <w:r w:rsidRPr="00363E92">
        <w:t xml:space="preserve"> yr</w:t>
      </w:r>
      <w:r w:rsidRPr="00363E92">
        <w:rPr>
          <w:vertAlign w:val="superscript"/>
        </w:rPr>
        <w:t>-1</w:t>
      </w:r>
      <w:r w:rsidRPr="00363E92">
        <w:t>, 35 kg-P ha</w:t>
      </w:r>
      <w:r w:rsidRPr="00363E92">
        <w:rPr>
          <w:vertAlign w:val="superscript"/>
        </w:rPr>
        <w:t xml:space="preserve">-1 </w:t>
      </w:r>
      <w:r w:rsidRPr="00363E92">
        <w:t>yr</w:t>
      </w:r>
      <w:r w:rsidRPr="00363E92">
        <w:rPr>
          <w:vertAlign w:val="superscript"/>
        </w:rPr>
        <w:t>-1</w:t>
      </w:r>
      <w:r w:rsidRPr="00363E92">
        <w:t>, and 12 kg-Mg ha</w:t>
      </w:r>
      <w:r w:rsidRPr="00363E92">
        <w:rPr>
          <w:vertAlign w:val="superscript"/>
        </w:rPr>
        <w:t>-1</w:t>
      </w:r>
      <w:r w:rsidRPr="00363E92">
        <w:t xml:space="preserve"> yr</w:t>
      </w:r>
      <w:r w:rsidRPr="00363E92">
        <w:rPr>
          <w:vertAlign w:val="superscript"/>
        </w:rPr>
        <w:t>-1</w:t>
      </w:r>
      <w:r w:rsidRPr="00363E92">
        <w:t xml:space="preserve"> as MgSO</w:t>
      </w:r>
      <w:r w:rsidRPr="00363E92">
        <w:rPr>
          <w:vertAlign w:val="subscript"/>
        </w:rPr>
        <w:t>4</w:t>
      </w:r>
      <w:r w:rsidRPr="00363E92">
        <w:t>; 192 kg-N ha</w:t>
      </w:r>
      <w:r w:rsidRPr="00363E92">
        <w:rPr>
          <w:vertAlign w:val="superscript"/>
        </w:rPr>
        <w:t>-1</w:t>
      </w:r>
      <w:r w:rsidRPr="00363E92">
        <w:t xml:space="preserve"> yr</w:t>
      </w:r>
      <w:r w:rsidRPr="00363E92">
        <w:rPr>
          <w:vertAlign w:val="superscript"/>
        </w:rPr>
        <w:t>-1</w:t>
      </w:r>
      <w:r w:rsidRPr="00363E92">
        <w:t xml:space="preserve"> together with 90 kg-K ha</w:t>
      </w:r>
      <w:r w:rsidRPr="00363E92">
        <w:rPr>
          <w:vertAlign w:val="superscript"/>
        </w:rPr>
        <w:t>-1</w:t>
      </w:r>
      <w:r w:rsidRPr="00363E92">
        <w:t xml:space="preserve"> yr</w:t>
      </w:r>
      <w:r w:rsidRPr="00363E92">
        <w:rPr>
          <w:vertAlign w:val="superscript"/>
        </w:rPr>
        <w:t>-1</w:t>
      </w:r>
      <w:r w:rsidRPr="00363E92">
        <w:t xml:space="preserve"> and 12 kg-Mg ha</w:t>
      </w:r>
      <w:r w:rsidRPr="00363E92">
        <w:rPr>
          <w:vertAlign w:val="superscript"/>
        </w:rPr>
        <w:t>-1</w:t>
      </w:r>
      <w:r w:rsidRPr="00363E92">
        <w:t xml:space="preserve"> yr</w:t>
      </w:r>
      <w:r w:rsidRPr="00363E92">
        <w:rPr>
          <w:vertAlign w:val="superscript"/>
        </w:rPr>
        <w:t>-1</w:t>
      </w:r>
      <w:r w:rsidRPr="00363E92">
        <w:t xml:space="preserve"> (i.e., lacking phosphorus fertilisation); 90 kg-K ha</w:t>
      </w:r>
      <w:r w:rsidRPr="00363E92">
        <w:rPr>
          <w:vertAlign w:val="superscript"/>
        </w:rPr>
        <w:t>-1</w:t>
      </w:r>
      <w:r w:rsidRPr="00363E92">
        <w:t xml:space="preserve"> yr</w:t>
      </w:r>
      <w:r w:rsidRPr="00363E92">
        <w:rPr>
          <w:vertAlign w:val="superscript"/>
        </w:rPr>
        <w:t>-1</w:t>
      </w:r>
      <w:r w:rsidRPr="00363E92">
        <w:t>, 35 kg-P ha</w:t>
      </w:r>
      <w:r w:rsidRPr="00363E92">
        <w:rPr>
          <w:vertAlign w:val="superscript"/>
        </w:rPr>
        <w:t>-1</w:t>
      </w:r>
      <w:r w:rsidRPr="00363E92">
        <w:t xml:space="preserve"> yr</w:t>
      </w:r>
      <w:r w:rsidRPr="00363E92">
        <w:rPr>
          <w:vertAlign w:val="superscript"/>
        </w:rPr>
        <w:t>-1</w:t>
      </w:r>
      <w:r w:rsidRPr="00363E92">
        <w:t xml:space="preserve"> and 12 kg-Mg ha</w:t>
      </w:r>
      <w:r w:rsidRPr="00363E92">
        <w:rPr>
          <w:vertAlign w:val="superscript"/>
        </w:rPr>
        <w:t>-1</w:t>
      </w:r>
      <w:r w:rsidRPr="00363E92">
        <w:t xml:space="preserve"> yr</w:t>
      </w:r>
      <w:r w:rsidRPr="00363E92">
        <w:rPr>
          <w:vertAlign w:val="superscript"/>
        </w:rPr>
        <w:t>-1</w:t>
      </w:r>
      <w:r w:rsidRPr="00363E92">
        <w:t xml:space="preserve"> (i.e., lacking nitrogen fertilisation); and soil which had never received any fertilisation for the duration of the experiment. </w:t>
      </w:r>
      <w:r w:rsidRPr="00363E92">
        <w:rPr>
          <w:color w:val="1C1D1E"/>
          <w:shd w:val="clear" w:color="auto" w:fill="FFFFFF"/>
        </w:rPr>
        <w:t>The replication of treatments was a minimum of seven aggregates scanned from three pseudo-replicate cores collected from treatment plots collected from Section 1 of the field experiment (total, 42 aggregates).</w:t>
      </w:r>
    </w:p>
    <w:p w14:paraId="218159D8" w14:textId="77777777" w:rsidR="00D716EA" w:rsidRPr="00363E92" w:rsidRDefault="00D716EA" w:rsidP="009D0FF6">
      <w:pPr>
        <w:spacing w:line="360" w:lineRule="auto"/>
      </w:pPr>
    </w:p>
    <w:p w14:paraId="7A607BFF" w14:textId="77777777" w:rsidR="00D716EA" w:rsidRPr="00363E92" w:rsidRDefault="00D716EA" w:rsidP="009D0FF6">
      <w:pPr>
        <w:spacing w:line="360" w:lineRule="auto"/>
        <w:rPr>
          <w:color w:val="1C1D1E"/>
          <w:shd w:val="clear" w:color="auto" w:fill="FFFFFF"/>
        </w:rPr>
      </w:pPr>
      <w:r w:rsidRPr="00363E92">
        <w:rPr>
          <w:color w:val="1C1D1E"/>
          <w:shd w:val="clear" w:color="auto" w:fill="FFFFFF"/>
        </w:rPr>
        <w:t xml:space="preserve">Highfield Conversion experiment (51° 48' 15.5" N, 0° 21' 45.7" W, 130 m above sea level). In October 2008, plots of soil managed as bare fallow since 1959 (described above) were converted to arable or grassland managements. Management of the plots converted to grassland and arable is as described above for the permanent managements. Plots have been sampled annually in </w:t>
      </w:r>
      <w:proofErr w:type="spellStart"/>
      <w:r w:rsidRPr="00363E92">
        <w:rPr>
          <w:color w:val="1C1D1E"/>
          <w:shd w:val="clear" w:color="auto" w:fill="FFFFFF"/>
        </w:rPr>
        <w:t>Octoberꟷexcept</w:t>
      </w:r>
      <w:proofErr w:type="spellEnd"/>
      <w:r w:rsidRPr="00363E92">
        <w:rPr>
          <w:color w:val="1C1D1E"/>
          <w:shd w:val="clear" w:color="auto" w:fill="FFFFFF"/>
        </w:rPr>
        <w:t xml:space="preserve"> in 2018 when the plots were sampled in </w:t>
      </w:r>
      <w:proofErr w:type="spellStart"/>
      <w:r w:rsidRPr="00363E92">
        <w:rPr>
          <w:color w:val="1C1D1E"/>
          <w:shd w:val="clear" w:color="auto" w:fill="FFFFFF"/>
        </w:rPr>
        <w:t>Juneꟷusing</w:t>
      </w:r>
      <w:proofErr w:type="spellEnd"/>
      <w:r w:rsidRPr="00363E92">
        <w:rPr>
          <w:color w:val="1C1D1E"/>
          <w:shd w:val="clear" w:color="auto" w:fill="FFFFFF"/>
        </w:rPr>
        <w:t xml:space="preserve"> 10-cm. depth by 3-cm. diameter cores. Following sampling, soil was air-dried and sieved at 2 mm before being archived at room temperature. Aggregates (&lt;2 mm diameter) from continuous bare-fallow (bare-fallow), bare-fallow converted to arable (arable) and bare-fallow converted to grassland (grassland) were selected randomly from samples collected in 2008, 2010, 2012, 2015 and 2018, representing 0, 2-, 4-, 7- and 10-years post-conversion. The replication of treatments was a total of nine scanned aggregates (&lt;2 mm) per year and per treatment selected from three independent plots per treatment and three aggregates (&lt;2 mm) per plot (i.e., three replicates per plot) to be X-ray CT scanned (total, 135 aggregates).</w:t>
      </w:r>
    </w:p>
    <w:p w14:paraId="6281DF3E" w14:textId="77777777" w:rsidR="00D716EA" w:rsidRPr="00363E92" w:rsidRDefault="00D716EA" w:rsidP="009D0FF6">
      <w:pPr>
        <w:spacing w:line="360" w:lineRule="auto"/>
        <w:rPr>
          <w:color w:val="1C1D1E"/>
          <w:shd w:val="clear" w:color="auto" w:fill="FFFFFF"/>
        </w:rPr>
      </w:pPr>
    </w:p>
    <w:p w14:paraId="2B5E463C" w14:textId="77777777" w:rsidR="00D716EA" w:rsidRPr="00363E92" w:rsidRDefault="00D716EA" w:rsidP="009D0FF6">
      <w:pPr>
        <w:spacing w:line="360" w:lineRule="auto"/>
        <w:rPr>
          <w:color w:val="1C1D1E"/>
          <w:shd w:val="clear" w:color="auto" w:fill="FFFFFF"/>
          <w:vertAlign w:val="superscript"/>
        </w:rPr>
      </w:pPr>
      <w:r w:rsidRPr="00363E92">
        <w:rPr>
          <w:color w:val="1C1D1E"/>
          <w:shd w:val="clear" w:color="auto" w:fill="FFFFFF"/>
        </w:rPr>
        <w:t xml:space="preserve">For the field experiments set on Highfield and Broadbalk, the climate metrics measured nearby (51° 48' 24.8" N, 0° 21' 36.5" W) </w:t>
      </w:r>
      <w:bookmarkStart w:id="0" w:name="_Hlk134797585"/>
      <w:r w:rsidRPr="00363E92">
        <w:rPr>
          <w:color w:val="1C1D1E"/>
          <w:shd w:val="clear" w:color="auto" w:fill="FFFFFF"/>
        </w:rPr>
        <w:t xml:space="preserve">between 1991-2020 were mean annual rainfall 764 mm (range of average monthly totals, 47.1 – 81.3 mm), average annual minimum air temperature 6.4 °C (monthly average range, 1.6 – 12.3 °C), mean soil temperature at a depth of 30 cm. under grass 10.9 °C (monthly average range, 5.1 – 17.2 °C), </w:t>
      </w:r>
      <w:bookmarkEnd w:id="0"/>
      <w:r w:rsidRPr="00363E92">
        <w:rPr>
          <w:color w:val="1C1D1E"/>
          <w:shd w:val="clear" w:color="auto" w:fill="FFFFFF"/>
        </w:rPr>
        <w:t>mean annual total solar radiation 3,607 MJ m</w:t>
      </w:r>
      <w:r w:rsidRPr="00363E92">
        <w:rPr>
          <w:color w:val="1C1D1E"/>
          <w:shd w:val="clear" w:color="auto" w:fill="FFFFFF"/>
          <w:vertAlign w:val="superscript"/>
        </w:rPr>
        <w:t xml:space="preserve">-2 </w:t>
      </w:r>
      <w:r w:rsidRPr="00363E92">
        <w:rPr>
          <w:color w:val="1C1D1E"/>
          <w:shd w:val="clear" w:color="auto" w:fill="FFFFFF"/>
        </w:rPr>
        <w:t>(average monthly total range 61.7 – 548.0 MJ m</w:t>
      </w:r>
      <w:r w:rsidRPr="00363E92">
        <w:rPr>
          <w:color w:val="1C1D1E"/>
          <w:shd w:val="clear" w:color="auto" w:fill="FFFFFF"/>
          <w:vertAlign w:val="superscript"/>
        </w:rPr>
        <w:t>-2</w:t>
      </w:r>
      <w:r w:rsidRPr="00363E92">
        <w:rPr>
          <w:color w:val="1C1D1E"/>
          <w:shd w:val="clear" w:color="auto" w:fill="FFFFFF"/>
        </w:rPr>
        <w:t>).</w:t>
      </w:r>
    </w:p>
    <w:p w14:paraId="5AB9372C" w14:textId="77777777" w:rsidR="00D716EA" w:rsidRPr="00363E92" w:rsidRDefault="00D716EA" w:rsidP="009D0FF6">
      <w:pPr>
        <w:spacing w:line="360" w:lineRule="auto"/>
      </w:pPr>
    </w:p>
    <w:p w14:paraId="0E8688DA" w14:textId="77777777" w:rsidR="00D716EA" w:rsidRPr="00363E92" w:rsidRDefault="00D716EA" w:rsidP="009D0FF6">
      <w:pPr>
        <w:spacing w:line="360" w:lineRule="auto"/>
      </w:pPr>
      <w:r w:rsidRPr="00363E92">
        <w:rPr>
          <w:color w:val="2E2E2E"/>
        </w:rPr>
        <w:t xml:space="preserve">Woburn Organic Manuring experiment (51° 59' 59.3" N, 0° 36' 57.7" W, 100 m above sea level, </w:t>
      </w:r>
      <w:hyperlink r:id="rId7" w:history="1">
        <w:r w:rsidRPr="00363E92">
          <w:rPr>
            <w:rStyle w:val="Hyperlink"/>
          </w:rPr>
          <w:t>https://doi.org/10.23637/wrn3-cropping1938-2020-02</w:t>
        </w:r>
      </w:hyperlink>
      <w:r w:rsidRPr="00363E92">
        <w:rPr>
          <w:color w:val="2E2E2E"/>
        </w:rPr>
        <w:t>). Established in 1964, this field experiment is set on a well-draining, </w:t>
      </w:r>
      <w:hyperlink r:id="rId8" w:tooltip="Learn more about sandy loam soil from ScienceDirect's AI-generated Topic Pages" w:history="1">
        <w:r w:rsidRPr="00363E92">
          <w:rPr>
            <w:rStyle w:val="Hyperlink"/>
            <w:color w:val="2E2E2E"/>
          </w:rPr>
          <w:t>sandy loam soil</w:t>
        </w:r>
      </w:hyperlink>
      <w:r w:rsidRPr="00363E92">
        <w:rPr>
          <w:color w:val="2E2E2E"/>
        </w:rPr>
        <w:t xml:space="preserve"> of the Cottenham Series, classified as a </w:t>
      </w:r>
      <w:r w:rsidRPr="00363E92">
        <w:rPr>
          <w:color w:val="2E2E2E"/>
        </w:rPr>
        <w:lastRenderedPageBreak/>
        <w:t>Cambric </w:t>
      </w:r>
      <w:proofErr w:type="spellStart"/>
      <w:r>
        <w:fldChar w:fldCharType="begin"/>
      </w:r>
      <w:r>
        <w:instrText>HYPERLINK "https://www.sciencedirect.com/topics/earth-and-planetary-sciences/arenosol" \o "Learn more about Arenosol from ScienceDirect's AI-generated Topic Pages"</w:instrText>
      </w:r>
      <w:r>
        <w:fldChar w:fldCharType="separate"/>
      </w:r>
      <w:r w:rsidRPr="00363E92">
        <w:rPr>
          <w:rStyle w:val="Hyperlink"/>
          <w:color w:val="2E2E2E"/>
        </w:rPr>
        <w:t>Arenosol</w:t>
      </w:r>
      <w:proofErr w:type="spellEnd"/>
      <w:r>
        <w:rPr>
          <w:rStyle w:val="Hyperlink"/>
          <w:color w:val="2E2E2E"/>
        </w:rPr>
        <w:fldChar w:fldCharType="end"/>
      </w:r>
      <w:r w:rsidRPr="00363E92">
        <w:rPr>
          <w:color w:val="2E2E2E"/>
        </w:rPr>
        <w:t> (FAO).</w:t>
      </w:r>
      <w:r w:rsidRPr="00363E92">
        <w:t xml:space="preserve"> </w:t>
      </w:r>
      <w:r w:rsidRPr="00363E92">
        <w:rPr>
          <w:color w:val="1C1D1E"/>
          <w:shd w:val="clear" w:color="auto" w:fill="FFFFFF"/>
        </w:rPr>
        <w:t>We sampled soil from each of four sub-plots of three contrasting treatments: grass-clover herbal leys, arable soil amended with 25 Mg ha</w:t>
      </w:r>
      <w:r w:rsidRPr="00363E92">
        <w:rPr>
          <w:color w:val="1C1D1E"/>
          <w:shd w:val="clear" w:color="auto" w:fill="FFFFFF"/>
          <w:vertAlign w:val="superscript"/>
        </w:rPr>
        <w:t>-1</w:t>
      </w:r>
      <w:r w:rsidRPr="00363E92">
        <w:rPr>
          <w:color w:val="1C1D1E"/>
          <w:shd w:val="clear" w:color="auto" w:fill="FFFFFF"/>
        </w:rPr>
        <w:t xml:space="preserve"> composted farmyard manure, and arable soil receiving 200 kg-N ha</w:t>
      </w:r>
      <w:r w:rsidRPr="00363E92">
        <w:rPr>
          <w:color w:val="1C1D1E"/>
          <w:shd w:val="clear" w:color="auto" w:fill="FFFFFF"/>
          <w:vertAlign w:val="superscript"/>
        </w:rPr>
        <w:t>-1</w:t>
      </w:r>
      <w:r w:rsidRPr="00363E92">
        <w:rPr>
          <w:color w:val="1C1D1E"/>
          <w:shd w:val="clear" w:color="auto" w:fill="FFFFFF"/>
        </w:rPr>
        <w:t xml:space="preserve"> (as ammonium nitrate). The arable plots are managed as a rotation of rye, barley and wheat and the amount of nitrogen fertiliser input varies between years as follows: rye receives 120 kg-N ha</w:t>
      </w:r>
      <w:r w:rsidRPr="00363E92">
        <w:rPr>
          <w:color w:val="1C1D1E"/>
          <w:shd w:val="clear" w:color="auto" w:fill="FFFFFF"/>
          <w:vertAlign w:val="superscript"/>
        </w:rPr>
        <w:t>-1</w:t>
      </w:r>
      <w:r w:rsidRPr="00363E92">
        <w:rPr>
          <w:color w:val="1C1D1E"/>
          <w:shd w:val="clear" w:color="auto" w:fill="FFFFFF"/>
        </w:rPr>
        <w:t>; barley receives 140 kg-N ha</w:t>
      </w:r>
      <w:r w:rsidRPr="00363E92">
        <w:rPr>
          <w:color w:val="1C1D1E"/>
          <w:shd w:val="clear" w:color="auto" w:fill="FFFFFF"/>
          <w:vertAlign w:val="superscript"/>
        </w:rPr>
        <w:t>-1</w:t>
      </w:r>
      <w:r w:rsidRPr="00363E92">
        <w:rPr>
          <w:color w:val="1C1D1E"/>
          <w:shd w:val="clear" w:color="auto" w:fill="FFFFFF"/>
        </w:rPr>
        <w:t>; and maize and wheat receive 200 kg-N ha</w:t>
      </w:r>
      <w:r w:rsidRPr="00363E92">
        <w:rPr>
          <w:color w:val="1C1D1E"/>
          <w:shd w:val="clear" w:color="auto" w:fill="FFFFFF"/>
          <w:vertAlign w:val="superscript"/>
        </w:rPr>
        <w:t>-1</w:t>
      </w:r>
      <w:r w:rsidRPr="00363E92">
        <w:rPr>
          <w:color w:val="1C1D1E"/>
          <w:shd w:val="clear" w:color="auto" w:fill="FFFFFF"/>
        </w:rPr>
        <w:t>. All plots were sampled when under wheat to be consistent with the Highfield and Broadbalk treatments.</w:t>
      </w:r>
      <w:r w:rsidRPr="00363E92">
        <w:t xml:space="preserve"> For the Woburn site, climate metrics recorded between </w:t>
      </w:r>
      <w:r w:rsidRPr="00363E92">
        <w:rPr>
          <w:color w:val="1C1D1E"/>
          <w:shd w:val="clear" w:color="auto" w:fill="FFFFFF"/>
        </w:rPr>
        <w:t xml:space="preserve">1991 and 2020 </w:t>
      </w:r>
      <w:r w:rsidRPr="00363E92">
        <w:t xml:space="preserve"> at a nearby weather station (52° 0' 52.2" N, 0° 35' 46.3" W) were </w:t>
      </w:r>
      <w:r w:rsidRPr="00363E92">
        <w:rPr>
          <w:color w:val="1C1D1E"/>
          <w:shd w:val="clear" w:color="auto" w:fill="FFFFFF"/>
        </w:rPr>
        <w:t>mean total annual rainfall 671 mm (range of average monthly totals, 41.7 – 74.0 mm), mean annual minimum air temperature 6.1 °C (monthly average range, 1.4 – 11.9 °C), mean soil temperature at a depth of 30 cm. under grass 11.1 °C (monthly average range, 5.1 – 17.9 °C), and mean annual total solar radiation 3,477 MJ m</w:t>
      </w:r>
      <w:r w:rsidRPr="00363E92">
        <w:rPr>
          <w:color w:val="1C1D1E"/>
          <w:shd w:val="clear" w:color="auto" w:fill="FFFFFF"/>
          <w:vertAlign w:val="superscript"/>
        </w:rPr>
        <w:t>-2</w:t>
      </w:r>
      <w:r w:rsidRPr="00363E92">
        <w:rPr>
          <w:color w:val="1C1D1E"/>
          <w:shd w:val="clear" w:color="auto" w:fill="FFFFFF"/>
        </w:rPr>
        <w:t xml:space="preserve"> (average monthly total range 58.0 – 534.1 MJ m</w:t>
      </w:r>
      <w:r w:rsidRPr="00363E92">
        <w:rPr>
          <w:color w:val="1C1D1E"/>
          <w:shd w:val="clear" w:color="auto" w:fill="FFFFFF"/>
          <w:vertAlign w:val="superscript"/>
        </w:rPr>
        <w:t>-2</w:t>
      </w:r>
      <w:r w:rsidRPr="00363E92">
        <w:rPr>
          <w:color w:val="1C1D1E"/>
          <w:shd w:val="clear" w:color="auto" w:fill="FFFFFF"/>
        </w:rPr>
        <w:t>).  Air and soil daily temperatures for the periods 27</w:t>
      </w:r>
      <w:r w:rsidRPr="00363E92">
        <w:rPr>
          <w:color w:val="1C1D1E"/>
          <w:shd w:val="clear" w:color="auto" w:fill="FFFFFF"/>
          <w:vertAlign w:val="superscript"/>
        </w:rPr>
        <w:t>th</w:t>
      </w:r>
      <w:r w:rsidRPr="00363E92">
        <w:rPr>
          <w:color w:val="1C1D1E"/>
          <w:shd w:val="clear" w:color="auto" w:fill="FFFFFF"/>
        </w:rPr>
        <w:t xml:space="preserve"> March – 5</w:t>
      </w:r>
      <w:r w:rsidRPr="00363E92">
        <w:rPr>
          <w:color w:val="1C1D1E"/>
          <w:shd w:val="clear" w:color="auto" w:fill="FFFFFF"/>
          <w:vertAlign w:val="superscript"/>
        </w:rPr>
        <w:t>th</w:t>
      </w:r>
      <w:r w:rsidRPr="00363E92">
        <w:rPr>
          <w:color w:val="1C1D1E"/>
          <w:shd w:val="clear" w:color="auto" w:fill="FFFFFF"/>
        </w:rPr>
        <w:t xml:space="preserve"> July 2007 and 16</w:t>
      </w:r>
      <w:r w:rsidRPr="00363E92">
        <w:rPr>
          <w:color w:val="1C1D1E"/>
          <w:shd w:val="clear" w:color="auto" w:fill="FFFFFF"/>
          <w:vertAlign w:val="superscript"/>
        </w:rPr>
        <w:t>th</w:t>
      </w:r>
      <w:r w:rsidRPr="00363E92">
        <w:rPr>
          <w:color w:val="1C1D1E"/>
          <w:shd w:val="clear" w:color="auto" w:fill="FFFFFF"/>
        </w:rPr>
        <w:t xml:space="preserve"> June – 26</w:t>
      </w:r>
      <w:r w:rsidRPr="00363E92">
        <w:rPr>
          <w:color w:val="1C1D1E"/>
          <w:shd w:val="clear" w:color="auto" w:fill="FFFFFF"/>
          <w:vertAlign w:val="superscript"/>
        </w:rPr>
        <w:t>th</w:t>
      </w:r>
      <w:r w:rsidRPr="00363E92">
        <w:rPr>
          <w:color w:val="1C1D1E"/>
          <w:shd w:val="clear" w:color="auto" w:fill="FFFFFF"/>
        </w:rPr>
        <w:t xml:space="preserve"> July 2009 have been omitted from the estimates of means due to technical issues. The replication of treatments was a minimum of eleven aggregates scanned from one core collected from the three replicate treatment plots (total, 37 aggregates).</w:t>
      </w:r>
    </w:p>
    <w:p w14:paraId="5A3CBBF4" w14:textId="77777777" w:rsidR="00D716EA" w:rsidRPr="00363E92" w:rsidRDefault="00D716EA" w:rsidP="009D0FF6">
      <w:pPr>
        <w:spacing w:line="360" w:lineRule="auto"/>
      </w:pPr>
    </w:p>
    <w:p w14:paraId="670378A6" w14:textId="77777777" w:rsidR="00D716EA" w:rsidRPr="00363E92" w:rsidRDefault="00D716EA" w:rsidP="009D0FF6">
      <w:pPr>
        <w:spacing w:line="360" w:lineRule="auto"/>
        <w:rPr>
          <w:color w:val="2E2E2E"/>
        </w:rPr>
      </w:pPr>
      <w:r w:rsidRPr="00363E92">
        <w:rPr>
          <w:color w:val="2E2E2E"/>
        </w:rPr>
        <w:t>X-ray Computed Tomography of Soil Aggregates. We generated X-ray Computed Tomography (CT) images at 1.5-µm resolution and scales relevant to microbes (10</w:t>
      </w:r>
      <w:r w:rsidRPr="00363E92">
        <w:rPr>
          <w:color w:val="2E2E2E"/>
          <w:vertAlign w:val="superscript"/>
        </w:rPr>
        <w:t>0</w:t>
      </w:r>
      <w:r w:rsidRPr="00363E92">
        <w:rPr>
          <w:color w:val="2E2E2E"/>
        </w:rPr>
        <w:t>–10</w:t>
      </w:r>
      <w:r w:rsidRPr="00363E92">
        <w:rPr>
          <w:color w:val="2E2E2E"/>
          <w:vertAlign w:val="superscript"/>
        </w:rPr>
        <w:t>2</w:t>
      </w:r>
      <w:r w:rsidRPr="00363E92">
        <w:rPr>
          <w:color w:val="2E2E2E"/>
        </w:rPr>
        <w:t> µm), requiring imaging of soil aggregates having a diameter of no greater than 2 mm. Soil aggregates were recovered from sampled soils following air-drying overnight. The soil was passed through 4-, 2- and 0.71-mm mesh size sieves while being subjected to horizontal shaking for 3 min at 300 rotations min</w:t>
      </w:r>
      <w:r w:rsidRPr="00363E92">
        <w:rPr>
          <w:color w:val="2E2E2E"/>
          <w:vertAlign w:val="superscript"/>
        </w:rPr>
        <w:t>−1</w:t>
      </w:r>
      <w:r w:rsidRPr="00363E92">
        <w:rPr>
          <w:color w:val="2E2E2E"/>
        </w:rPr>
        <w:t xml:space="preserve">. Aggregates were selected at random from between the 2- and 0.71-mm sieves and conserved in sealed containers in the dark at room temperature until they were scanned. These were scanned using a Phoenix </w:t>
      </w:r>
      <w:proofErr w:type="spellStart"/>
      <w:r w:rsidRPr="00363E92">
        <w:rPr>
          <w:color w:val="2E2E2E"/>
        </w:rPr>
        <w:t>Nanotom</w:t>
      </w:r>
      <w:proofErr w:type="spellEnd"/>
      <w:r w:rsidRPr="00363E92">
        <w:rPr>
          <w:color w:val="2E2E2E"/>
        </w:rPr>
        <w:t xml:space="preserve"> X-ray Computed Tomography system (GE Measurement and Control solution, </w:t>
      </w:r>
      <w:proofErr w:type="spellStart"/>
      <w:r w:rsidRPr="00363E92">
        <w:rPr>
          <w:color w:val="2E2E2E"/>
        </w:rPr>
        <w:t>Wunstorf</w:t>
      </w:r>
      <w:proofErr w:type="spellEnd"/>
      <w:r w:rsidRPr="00363E92">
        <w:rPr>
          <w:color w:val="2E2E2E"/>
        </w:rPr>
        <w:t>, Germany) set at 90 kV, a current of 65 </w:t>
      </w:r>
      <w:proofErr w:type="spellStart"/>
      <w:r w:rsidRPr="00363E92">
        <w:rPr>
          <w:color w:val="2E2E2E"/>
        </w:rPr>
        <w:t>μA</w:t>
      </w:r>
      <w:proofErr w:type="spellEnd"/>
      <w:r w:rsidRPr="00363E92">
        <w:rPr>
          <w:color w:val="2E2E2E"/>
        </w:rPr>
        <w:t xml:space="preserve"> and at a base resolution of 1.51 </w:t>
      </w:r>
      <w:proofErr w:type="spellStart"/>
      <w:r w:rsidRPr="00363E92">
        <w:rPr>
          <w:color w:val="2E2E2E"/>
        </w:rPr>
        <w:t>μm</w:t>
      </w:r>
      <w:proofErr w:type="spellEnd"/>
      <w:r w:rsidRPr="00363E92">
        <w:rPr>
          <w:color w:val="2E2E2E"/>
        </w:rPr>
        <w:t xml:space="preserve"> (voxel volume resolution = 3.4 μm</w:t>
      </w:r>
      <w:r w:rsidRPr="00363E92">
        <w:rPr>
          <w:color w:val="2E2E2E"/>
          <w:vertAlign w:val="superscript"/>
        </w:rPr>
        <w:t>3</w:t>
      </w:r>
      <w:r w:rsidRPr="00363E92">
        <w:rPr>
          <w:color w:val="2E2E2E"/>
        </w:rPr>
        <w:t>). Projection images were taken at 500 </w:t>
      </w:r>
      <w:proofErr w:type="spellStart"/>
      <w:r w:rsidRPr="00363E92">
        <w:rPr>
          <w:color w:val="2E2E2E"/>
        </w:rPr>
        <w:t>ms</w:t>
      </w:r>
      <w:proofErr w:type="spellEnd"/>
      <w:r w:rsidRPr="00363E92">
        <w:rPr>
          <w:color w:val="2E2E2E"/>
        </w:rPr>
        <w:t xml:space="preserve"> period using an averaging of 3 images and skip of 2. Typical scan times per aggregate were approximately 70 minutes. </w:t>
      </w:r>
    </w:p>
    <w:p w14:paraId="0B385F8F" w14:textId="77777777" w:rsidR="00D716EA" w:rsidRPr="00363E92" w:rsidRDefault="00D716EA" w:rsidP="009D0FF6">
      <w:pPr>
        <w:spacing w:line="360" w:lineRule="auto"/>
        <w:rPr>
          <w:color w:val="2E2E2E"/>
        </w:rPr>
      </w:pPr>
    </w:p>
    <w:p w14:paraId="0CB6AFF8" w14:textId="0341D635" w:rsidR="00D716EA" w:rsidRPr="00363E92" w:rsidRDefault="00D716EA" w:rsidP="009D0FF6">
      <w:pPr>
        <w:pStyle w:val="Bibliography"/>
        <w:spacing w:line="360" w:lineRule="auto"/>
        <w:ind w:left="0" w:firstLine="0"/>
        <w:rPr>
          <w:color w:val="2E2E2E"/>
        </w:rPr>
      </w:pPr>
      <w:r w:rsidRPr="00B3406A">
        <w:rPr>
          <w:color w:val="2E2E2E"/>
        </w:rPr>
        <w:t>Analysis of Tomographic Images. Initial image analysis was performed using</w:t>
      </w:r>
      <w:r w:rsidR="00810D99" w:rsidRPr="00B3406A">
        <w:rPr>
          <w:color w:val="2E2E2E"/>
        </w:rPr>
        <w:t xml:space="preserve"> ImageJ</w:t>
      </w:r>
      <w:r w:rsidR="003B67F1">
        <w:rPr>
          <w:color w:val="2E2E2E"/>
        </w:rPr>
        <w:fldChar w:fldCharType="begin"/>
      </w:r>
      <w:r w:rsidR="00EF2312">
        <w:rPr>
          <w:color w:val="2E2E2E"/>
        </w:rPr>
        <w:instrText xml:space="preserve"> ADDIN ZOTERO_ITEM CSL_CITATION {"citationID":"Wi0ri8AW","properties":{"formattedCitation":"\\super 1\\nosupersub{}","plainCitation":"1","noteIndex":0},"citationItems":[{"id":646,"uris":["http://zotero.org/users/10291311/items/VWBSNVEY"],"itemData":{"id":646,"type":"article-journal","abstract":"For the past 25 years NIH Image and ImageJ software have been pioneers as open tools for the analysis of scientific images. We discuss the origins, challenges and solutions of these two programs, and how their history can serve to advise and inform other software projects.","container-title":"Nature Methods","DOI":"10.1038/nmeth.2089","ISSN":"1548-7105","issue":"7","journalAbbreviation":"Nat Methods","language":"en","license":"2012 Springer Nature America, Inc.","note":"number: 7\npublisher: Nature Publishing Group","page":"671-675","source":"www.nature.com","title":"NIH Image to ImageJ: 25 years of image analysis","title-short":"NIH Image to ImageJ","volume":"9","author":[{"family":"Schneider","given":"Caroline A."},{"family":"Rasband","given":"Wayne S."},{"family":"Eliceiri","given":"Kevin W."}],"issued":{"date-parts":[["2012",7]]}}}],"schema":"https://github.com/citation-style-language/schema/raw/master/csl-citation.json"} </w:instrText>
      </w:r>
      <w:r w:rsidR="003B67F1">
        <w:rPr>
          <w:color w:val="2E2E2E"/>
        </w:rPr>
        <w:fldChar w:fldCharType="separate"/>
      </w:r>
      <w:r w:rsidR="00EF2312" w:rsidRPr="00EF2312">
        <w:rPr>
          <w:color w:val="000000"/>
          <w:vertAlign w:val="superscript"/>
        </w:rPr>
        <w:t>1</w:t>
      </w:r>
      <w:r w:rsidR="003B67F1">
        <w:rPr>
          <w:color w:val="2E2E2E"/>
        </w:rPr>
        <w:fldChar w:fldCharType="end"/>
      </w:r>
      <w:r w:rsidR="00810D99" w:rsidRPr="00B3406A">
        <w:rPr>
          <w:color w:val="2E2E2E"/>
        </w:rPr>
        <w:t>.</w:t>
      </w:r>
      <w:r w:rsidR="00B3406A" w:rsidRPr="00B3406A">
        <w:rPr>
          <w:color w:val="2E2E2E"/>
        </w:rPr>
        <w:t xml:space="preserve"> </w:t>
      </w:r>
      <w:r w:rsidRPr="00363E92">
        <w:rPr>
          <w:color w:val="2E2E2E"/>
        </w:rPr>
        <w:t>Cubic regions of interest (ROI) for aggregates were not possible because of their variable geometry, so the largest ROI accommodated by all aggregates (981 × 725 × 604 </w:t>
      </w:r>
      <w:proofErr w:type="spellStart"/>
      <w:r w:rsidRPr="00363E92">
        <w:rPr>
          <w:color w:val="2E2E2E"/>
        </w:rPr>
        <w:t>μm</w:t>
      </w:r>
      <w:proofErr w:type="spellEnd"/>
      <w:r w:rsidRPr="00363E92">
        <w:rPr>
          <w:color w:val="2E2E2E"/>
        </w:rPr>
        <w:t xml:space="preserve">) was chosen. The </w:t>
      </w:r>
      <w:r w:rsidRPr="00363E92">
        <w:rPr>
          <w:color w:val="2E2E2E"/>
        </w:rPr>
        <w:lastRenderedPageBreak/>
        <w:t>coordinates of these regions were adapted for each image volume and sequence. Image pre-processing consisted of: (</w:t>
      </w:r>
      <w:proofErr w:type="spellStart"/>
      <w:r w:rsidRPr="00363E92">
        <w:rPr>
          <w:color w:val="2E2E2E"/>
        </w:rPr>
        <w:t>i</w:t>
      </w:r>
      <w:proofErr w:type="spellEnd"/>
      <w:r w:rsidRPr="00363E92">
        <w:rPr>
          <w:color w:val="2E2E2E"/>
        </w:rPr>
        <w:t xml:space="preserve">) cropping to the ROI; (ii) enhancing the contrast/brightness to 0.35%; (iii) application of a 2-pixel radius median filter; (iv) converting the image format to 8-bit; (v) saving the new image volume. Stones were segmented from the ROI volume in VG </w:t>
      </w:r>
      <w:proofErr w:type="spellStart"/>
      <w:r w:rsidRPr="00363E92">
        <w:rPr>
          <w:color w:val="2E2E2E"/>
        </w:rPr>
        <w:t>StudioMax</w:t>
      </w:r>
      <w:proofErr w:type="spellEnd"/>
      <w:r w:rsidRPr="00363E92">
        <w:rPr>
          <w:color w:val="2E2E2E"/>
        </w:rPr>
        <w:t>® 2.2 using the surface determination tool.</w:t>
      </w:r>
    </w:p>
    <w:p w14:paraId="5789675A" w14:textId="77777777" w:rsidR="00D716EA" w:rsidRPr="00363E92" w:rsidRDefault="00D716EA" w:rsidP="009D0FF6">
      <w:pPr>
        <w:spacing w:line="360" w:lineRule="auto"/>
        <w:rPr>
          <w:color w:val="2E2E2E"/>
        </w:rPr>
      </w:pPr>
    </w:p>
    <w:p w14:paraId="4D4ED29E" w14:textId="696AE48D" w:rsidR="00D716EA" w:rsidRPr="00363E92" w:rsidRDefault="00D716EA" w:rsidP="009D0FF6">
      <w:pPr>
        <w:spacing w:line="360" w:lineRule="auto"/>
        <w:rPr>
          <w:color w:val="2E2E2E"/>
        </w:rPr>
      </w:pPr>
      <w:r w:rsidRPr="00363E92">
        <w:rPr>
          <w:color w:val="2E2E2E"/>
        </w:rPr>
        <w:t>Segmentation of grey-scale images to generate binary images was performed using the bin bi-level threshold approach</w:t>
      </w:r>
      <w:r w:rsidR="003F6BA4">
        <w:rPr>
          <w:color w:val="2E2E2E"/>
        </w:rPr>
        <w:fldChar w:fldCharType="begin"/>
      </w:r>
      <w:r w:rsidR="00EF2312">
        <w:rPr>
          <w:color w:val="2E2E2E"/>
        </w:rPr>
        <w:instrText xml:space="preserve"> ADDIN ZOTERO_ITEM CSL_CITATION {"citationID":"u74LnRJ5","properties":{"formattedCitation":"\\super 2\\nosupersub{}","plainCitation":"2","noteIndex":0},"citationItems":[{"id":633,"uris":["http://zotero.org/users/10291311/items/ND2FGJH7"],"itemData":{"id":633,"type":"article-journal","abstract":"The connectivity of pore space is an important topological property of soil. Together with the porosity and the pore-size distribution, it governs the transport of water, solutes and gases. This paper describes the Euler-Poincaré characteristic (EPC) as an index of connectivity of soil pore space in three dimensions, and shows how the EPC can be estimated by analysing pairs of parallel images, so-called disectors, automatically. We investigated the connectivity of pores &gt; 50 μm within two horizons of a Terra fusca from serial surfaces through undisturbed soil impregnated with resin. A method is proposed for the segmentation of the grey level images into solid and void which is especially suitable for the detection of the pore edges. This results in identification of topologically distinct features. The 3D EPC was estimated from pairs of adjacent surfaces, the disector, using an algorithm to count the topological features by digital image processing. The EPC from 10 adjacent disectors within the two horizons are significantly different, and confirm qualitative observations of more intensely connected pore space in the upper Ah horizon. Additional results from 100 adjacent disectors in the lower AhBv horizon show the continuous evolution of the EPC estimates over a distance of 5 mm where two different scales of variation can be distinguished clearly: a small-scale variation which is attributed to methodological errors and a large scale variation reflecting the variability of the structure.","container-title":"Geoderma","DOI":"10.1016/0016-7061(96)00043-2","ISSN":"0016-7061","issue":"1","journalAbbreviation":"Geoderma","page":"23-38","source":"ScienceDirect","title":"Topological characterization of pore space in soil — sample preparation and digital image-processing","volume":"73","author":[{"family":"Vogel","given":"H. J."},{"family":"Kretzschmar","given":"A."}],"issued":{"date-parts":[["1996",9,1]]}}}],"schema":"https://github.com/citation-style-language/schema/raw/master/csl-citation.json"} </w:instrText>
      </w:r>
      <w:r w:rsidR="003F6BA4">
        <w:rPr>
          <w:color w:val="2E2E2E"/>
        </w:rPr>
        <w:fldChar w:fldCharType="separate"/>
      </w:r>
      <w:r w:rsidR="00EF2312" w:rsidRPr="00EF2312">
        <w:rPr>
          <w:color w:val="000000"/>
          <w:vertAlign w:val="superscript"/>
        </w:rPr>
        <w:t>2</w:t>
      </w:r>
      <w:r w:rsidR="003F6BA4">
        <w:rPr>
          <w:color w:val="2E2E2E"/>
        </w:rPr>
        <w:fldChar w:fldCharType="end"/>
      </w:r>
      <w:r w:rsidRPr="00363E92">
        <w:rPr>
          <w:color w:val="2E2E2E"/>
        </w:rPr>
        <w:t xml:space="preserve"> using the open source software </w:t>
      </w:r>
      <w:proofErr w:type="spellStart"/>
      <w:r w:rsidRPr="00363E92">
        <w:rPr>
          <w:color w:val="2E2E2E"/>
        </w:rPr>
        <w:t>QuantIm</w:t>
      </w:r>
      <w:proofErr w:type="spellEnd"/>
      <w:r w:rsidRPr="00363E92">
        <w:rPr>
          <w:color w:val="2E2E2E"/>
        </w:rPr>
        <w:t xml:space="preserve"> (</w:t>
      </w:r>
      <w:hyperlink r:id="rId9" w:tgtFrame="_blank" w:history="1">
        <w:r w:rsidRPr="00363E92">
          <w:rPr>
            <w:rStyle w:val="anchor-text"/>
            <w:color w:val="0C7DBB"/>
          </w:rPr>
          <w:t>http://www.quantim.ufz.de</w:t>
        </w:r>
      </w:hyperlink>
      <w:r w:rsidRPr="00363E92">
        <w:rPr>
          <w:color w:val="2E2E2E"/>
        </w:rPr>
        <w:t>). Each image within the image sequence was assigned a single threshold value. To determine the prescribed initial threshold values (T</w:t>
      </w:r>
      <w:r w:rsidRPr="00363E92">
        <w:rPr>
          <w:color w:val="2E2E2E"/>
          <w:vertAlign w:val="subscript"/>
        </w:rPr>
        <w:t>1</w:t>
      </w:r>
      <w:r w:rsidRPr="00363E92">
        <w:rPr>
          <w:color w:val="2E2E2E"/>
        </w:rPr>
        <w:t> and T</w:t>
      </w:r>
      <w:r w:rsidRPr="00363E92">
        <w:rPr>
          <w:color w:val="2E2E2E"/>
          <w:vertAlign w:val="subscript"/>
        </w:rPr>
        <w:t>2</w:t>
      </w:r>
      <w:r w:rsidRPr="00363E92">
        <w:rPr>
          <w:color w:val="2E2E2E"/>
        </w:rPr>
        <w:t>), minimum cross-threshold entropy was applied to twenty images selected at random within the image sequence in ImageJ. Threshold values (T</w:t>
      </w:r>
      <w:r w:rsidRPr="00363E92">
        <w:rPr>
          <w:color w:val="2E2E2E"/>
          <w:vertAlign w:val="subscript"/>
        </w:rPr>
        <w:t>1</w:t>
      </w:r>
      <w:r w:rsidRPr="00363E92">
        <w:rPr>
          <w:color w:val="2E2E2E"/>
        </w:rPr>
        <w:t> and T</w:t>
      </w:r>
      <w:r w:rsidRPr="00363E92">
        <w:rPr>
          <w:color w:val="2E2E2E"/>
          <w:vertAlign w:val="subscript"/>
        </w:rPr>
        <w:t>2</w:t>
      </w:r>
      <w:r w:rsidRPr="00363E92">
        <w:rPr>
          <w:color w:val="2E2E2E"/>
        </w:rPr>
        <w:t>) were attributed depending on extremes values obtained for these twenty images. Porosity and pore connectivity were determined according to</w:t>
      </w:r>
      <w:bookmarkStart w:id="1" w:name="bbb0170"/>
      <w:r w:rsidR="00076D77">
        <w:rPr>
          <w:color w:val="2E2E2E"/>
        </w:rPr>
        <w:t xml:space="preserve"> Vogel et al.</w:t>
      </w:r>
      <w:r w:rsidR="002748F5">
        <w:rPr>
          <w:color w:val="2E2E2E"/>
        </w:rPr>
        <w:fldChar w:fldCharType="begin"/>
      </w:r>
      <w:r w:rsidR="00EF2312">
        <w:rPr>
          <w:color w:val="2E2E2E"/>
        </w:rPr>
        <w:instrText xml:space="preserve"> ADDIN ZOTERO_ITEM CSL_CITATION {"citationID":"WAJv6qUt","properties":{"formattedCitation":"\\super 3\\nosupersub{}","plainCitation":"3","noteIndex":0},"citationItems":[{"id":635,"uris":["http://zotero.org/users/10291311/items/PMBWWF6V"],"itemData":{"id":635,"type":"article-journal","abstract":"The structure of soils and other geologic media is a complex three-dimensional object. Most of the physical material properties including mechanical and hydraulic characteristics are immediately linked to the structure given by the pore space and its spatial distribution. It is an old dream and still a formidable challenge to relate structural features of porous media to their functional properties. Using tomographic techniques, soil structure can be directly observed at a range of spatial scales. In this paper we present a scale-invariant concept to quantify complex structures based on a limited set of meaningful morphological functions. They are based on d+1 Minkowski functionals as defined for d-dimensional bodies. These basic quantities are determined as a function of pore size or aggregate size obtained by filter procedures using mathematical morphology. The resulting Minkowski functions provide valuable information on the size of pores and aggregates, the pore surface area and the pore topology having the potential to be linked to physical properties. The theoretical background and the related algorithms are presented and the approach is demonstrated for the pore structure of an arable soil and the pore structure of a sand both obtained by X-ray micro-tomography. We also analyze the fundamental problem of limited resolution which is critical for any attempt to quantify structural features at any scale using samples of different size recorded at different resolutions. The results demonstrate that objects smaller than 5 voxels are critical for quantitative analysis.","container-title":"Computers &amp; Geosciences","DOI":"10.1016/j.cageo.2010.03.007","ISSN":"0098-3004","issue":"10","journalAbbreviation":"Computers &amp; Geosciences","page":"1236-1245","source":"ScienceDirect","title":"Quantification of soil structure based on Minkowski functions","volume":"36","author":[{"family":"Vogel","given":"H. -J."},{"family":"Weller","given":"U."},{"family":"Schlüter","given":"S."}],"issued":{"date-parts":[["2010",10,1]]}}}],"schema":"https://github.com/citation-style-language/schema/raw/master/csl-citation.json"} </w:instrText>
      </w:r>
      <w:r w:rsidR="002748F5">
        <w:rPr>
          <w:color w:val="2E2E2E"/>
        </w:rPr>
        <w:fldChar w:fldCharType="separate"/>
      </w:r>
      <w:r w:rsidR="00EF2312" w:rsidRPr="00EF2312">
        <w:rPr>
          <w:color w:val="000000"/>
          <w:vertAlign w:val="superscript"/>
        </w:rPr>
        <w:t>3</w:t>
      </w:r>
      <w:r w:rsidR="002748F5">
        <w:rPr>
          <w:color w:val="2E2E2E"/>
        </w:rPr>
        <w:fldChar w:fldCharType="end"/>
      </w:r>
      <w:r w:rsidRPr="00363E92">
        <w:rPr>
          <w:color w:val="2E2E2E"/>
        </w:rPr>
        <w:t xml:space="preserve"> Total porosity (P</w:t>
      </w:r>
      <w:r w:rsidRPr="00363E92">
        <w:rPr>
          <w:color w:val="2E2E2E"/>
          <w:vertAlign w:val="subscript"/>
        </w:rPr>
        <w:t>t</w:t>
      </w:r>
      <w:r w:rsidRPr="00363E92">
        <w:rPr>
          <w:color w:val="2E2E2E"/>
        </w:rPr>
        <w:t>) refers to the percentage of pores &gt;1.8 </w:t>
      </w:r>
      <w:proofErr w:type="spellStart"/>
      <w:r w:rsidRPr="00363E92">
        <w:rPr>
          <w:color w:val="2E2E2E"/>
        </w:rPr>
        <w:t>μm</w:t>
      </w:r>
      <w:proofErr w:type="spellEnd"/>
      <w:r w:rsidRPr="00363E92">
        <w:rPr>
          <w:color w:val="2E2E2E"/>
        </w:rPr>
        <w:t xml:space="preserve"> determined from segmented images. </w:t>
      </w:r>
      <w:bookmarkEnd w:id="1"/>
      <w:r w:rsidRPr="00363E92">
        <w:rPr>
          <w:color w:val="2E2E2E"/>
        </w:rPr>
        <w:t>Pore connectivity (P</w:t>
      </w:r>
      <w:r w:rsidRPr="00363E92">
        <w:rPr>
          <w:color w:val="2E2E2E"/>
          <w:vertAlign w:val="subscript"/>
        </w:rPr>
        <w:t>c</w:t>
      </w:r>
      <w:r w:rsidRPr="00363E92">
        <w:rPr>
          <w:color w:val="2E2E2E"/>
        </w:rPr>
        <w:t xml:space="preserve">) was defined as the pore space through which an uninterrupted path exists between the upper and lower borders of the ROI. </w:t>
      </w:r>
    </w:p>
    <w:p w14:paraId="63F2D8F4" w14:textId="77777777" w:rsidR="00D716EA" w:rsidRPr="00363E92" w:rsidRDefault="00D716EA" w:rsidP="009D0FF6">
      <w:pPr>
        <w:spacing w:line="360" w:lineRule="auto"/>
        <w:rPr>
          <w:color w:val="2E2E2E"/>
        </w:rPr>
      </w:pPr>
    </w:p>
    <w:p w14:paraId="7679F582" w14:textId="2B0B659F" w:rsidR="00D716EA" w:rsidRPr="00363E92" w:rsidRDefault="00D716EA" w:rsidP="009D0FF6">
      <w:pPr>
        <w:spacing w:line="360" w:lineRule="auto"/>
        <w:rPr>
          <w:color w:val="2E2E2E"/>
        </w:rPr>
      </w:pPr>
      <w:r w:rsidRPr="00363E92">
        <w:rPr>
          <w:color w:val="2E2E2E"/>
        </w:rPr>
        <w:t>Soil Organic Carbon Stocks. Stocks of organic carbon measured by dry combustion and element specific detection associated with the long-term experiments are estimated routinely. Stocks for the individual experiments have been reported elsewhere</w:t>
      </w:r>
      <w:r w:rsidR="002615B1">
        <w:rPr>
          <w:color w:val="2E2E2E"/>
        </w:rPr>
        <w:fldChar w:fldCharType="begin"/>
      </w:r>
      <w:r w:rsidR="00EF2312">
        <w:rPr>
          <w:color w:val="2E2E2E"/>
        </w:rPr>
        <w:instrText xml:space="preserve"> ADDIN ZOTERO_ITEM CSL_CITATION {"citationID":"38bbkWV7","properties":{"formattedCitation":"\\super 4\\nosupersub{}","plainCitation":"4","noteIndex":0},"citationItems":[{"id":222,"uris":["http://zotero.org/users/10291311/items/6NAJS6HF"],"itemData":{"id":222,"type":"article-journal","abstract":"We use a unique set of terrestrial experiments to demonstrate how soil management practises result in emergence of distinct associations between physical structure and biological functions. These associations have a significant effect on the flux, resilience and efficiency of nutrient delivery to plants (including water). Physical structure, determining the air-water balance in soil as well as transport rates, is influenced by nutrient and physical interventions. Contrasting emergent soil structures exert selective pressures upon the microbiome metagenome. These selective pressures are associated with the quality of organic carbon inputs, the prevalence of anaerobic microsites and delivery of nutrients to microorganisms attached to soil surfaces. This variety results in distinctive gene assemblages characterising each state. The nature of the interactions provide evidence that soil behaves as an extended composite phenotype of the resident microbiome, responsive to the input and turnover of plant-derived organic carbon. We provide new evidence supporting the theory that soil-microbe systems are self-organising states with organic carbon acting as a critical determining parameter. This perspective leads us to propose carbon flux, rather than soil organic carbon content as the critical factor in soil systems, and we present evidence to support this view.","container-title":"Scientific Reports","DOI":"10.1038/s41598-020-67631-0","ISSN":"2045-2322","issue":"1","journalAbbreviation":"Sci Rep","language":"English","note":"publisher-place: Berlin\npublisher: Nature Portfolio\nWOS:000548353500049","page":"10649","source":"Web of Science Nextgen","title":"Soil as an extended composite phenotype of the microbial metagenome","volume":"10","author":[{"family":"Neal","given":"Andrew L."},{"family":"Bacq-Labreuil","given":"Aurelie"},{"family":"Zhang","given":"Xiaoxian"},{"family":"Clark","given":"Ian M."},{"family":"Coleman","given":"Kevin"},{"family":"Mooney","given":"Sacha J."},{"family":"Ritz","given":"Karl"},{"family":"Crawford","given":"John W."}],"issued":{"date-parts":[["2020",6,30]]}}}],"schema":"https://github.com/citation-style-language/schema/raw/master/csl-citation.json"} </w:instrText>
      </w:r>
      <w:r w:rsidR="002615B1">
        <w:rPr>
          <w:color w:val="2E2E2E"/>
        </w:rPr>
        <w:fldChar w:fldCharType="separate"/>
      </w:r>
      <w:r w:rsidR="00EF2312" w:rsidRPr="00EF2312">
        <w:rPr>
          <w:color w:val="000000"/>
          <w:vertAlign w:val="superscript"/>
        </w:rPr>
        <w:t>4</w:t>
      </w:r>
      <w:r w:rsidR="002615B1">
        <w:rPr>
          <w:color w:val="2E2E2E"/>
        </w:rPr>
        <w:fldChar w:fldCharType="end"/>
      </w:r>
      <w:r w:rsidR="00CF6780">
        <w:rPr>
          <w:color w:val="2E2E2E"/>
          <w:vertAlign w:val="superscript"/>
        </w:rPr>
        <w:t>,</w:t>
      </w:r>
      <w:r w:rsidR="009049BF">
        <w:rPr>
          <w:color w:val="2E2E2E"/>
        </w:rPr>
        <w:fldChar w:fldCharType="begin"/>
      </w:r>
      <w:r w:rsidR="00EF2312">
        <w:rPr>
          <w:color w:val="2E2E2E"/>
        </w:rPr>
        <w:instrText xml:space="preserve"> ADDIN ZOTERO_ITEM CSL_CITATION {"citationID":"E2EYElfI","properties":{"formattedCitation":"\\super 5\\nosupersub{}","plainCitation":"5","noteIndex":0},"citationItems":[{"id":638,"uris":["http://zotero.org/users/10291311/items/TSQQL57V"],"itemData":{"id":638,"type":"article-journal","abstract":"Achieving food security requires resilient agricultural systems with improved nutrient-use efficiency, optimized water and nutrient storage in soils, and reduced gaseous emissions. Success relies on understanding coupled nitrogen and carbon metabolism in soils, their associated influences on soil structure and the processes controlling nitrogen transformations at scales relevant to microbial activity. Here we show that the influence of organic matter on arable soil nitrogen transformations can be decoded by integrating metagenomic data with soil structural parameters. Our approach provides a mechanistic explanation of why organic matter is effective in reducing nitrous oxide losses while supporting system resilience. The relationship between organic carbon, soil-connected porosity and flow rates at scales relevant to microbes suggests that important increases in nutrient-use efficiency could be achieved at lower organic carbon stocks than currently envisaged.","container-title":"Nature Food","DOI":"10.1038/s43016-022-00671-z","ISSN":"2662-1355","issue":"1","journalAbbreviation":"Nat Food","language":"en","license":"2022 The Author(s), under exclusive licence to Springer Nature Limited","note":"number: 1\npublisher: Nature Publishing Group","page":"51-60","source":"www.nature.com","title":"Arable soil nitrogen dynamics reflect organic inputs via the extended composite phenotype","volume":"4","author":[{"family":"Neal","given":"Andrew L."},{"family":"Barrat","given":"Harry A."},{"family":"Bacq-Lebreuil","given":"Aurélie"},{"family":"Qin","given":"Yuwei"},{"family":"Zhang","given":"Xiaoxian"},{"family":"Takahashi","given":"Taro"},{"family":"Rubio","given":"Valentina"},{"family":"Hughes","given":"David"},{"family":"Clark","given":"Ian M."},{"family":"Cárdenas","given":"Laura M."},{"family":"Gardiner","given":"Laura-Jayne"},{"family":"Krishna","given":"Ritesh"},{"family":"Glendining","given":"Margaret L."},{"family":"Ritz","given":"Karl"},{"family":"Mooney","given":"Sacha J."},{"family":"Crawford","given":"John W."}],"issued":{"date-parts":[["2023",1]]}}}],"schema":"https://github.com/citation-style-language/schema/raw/master/csl-citation.json"} </w:instrText>
      </w:r>
      <w:r w:rsidR="009049BF">
        <w:rPr>
          <w:color w:val="2E2E2E"/>
        </w:rPr>
        <w:fldChar w:fldCharType="separate"/>
      </w:r>
      <w:r w:rsidR="00EF2312" w:rsidRPr="00EF2312">
        <w:rPr>
          <w:color w:val="000000"/>
          <w:vertAlign w:val="superscript"/>
        </w:rPr>
        <w:t>5</w:t>
      </w:r>
      <w:r w:rsidR="009049BF">
        <w:rPr>
          <w:color w:val="2E2E2E"/>
        </w:rPr>
        <w:fldChar w:fldCharType="end"/>
      </w:r>
      <w:r w:rsidR="00CF6780">
        <w:rPr>
          <w:color w:val="2E2E2E"/>
          <w:vertAlign w:val="superscript"/>
        </w:rPr>
        <w:t>,</w:t>
      </w:r>
      <w:r w:rsidR="009049BF">
        <w:rPr>
          <w:color w:val="2E2E2E"/>
        </w:rPr>
        <w:fldChar w:fldCharType="begin"/>
      </w:r>
      <w:r w:rsidR="00EF2312">
        <w:rPr>
          <w:color w:val="2E2E2E"/>
        </w:rPr>
        <w:instrText xml:space="preserve"> ADDIN ZOTERO_ITEM CSL_CITATION {"citationID":"6b3jsKgP","properties":{"formattedCitation":"\\super 6\\nosupersub{}","plainCitation":"6","noteIndex":0},"citationItems":[{"id":639,"uris":["http://zotero.org/users/10291311/items/2WWNXBMH"],"itemData":{"id":639,"type":"article-journal","abstract":"Soil organic carbon (SOC) changes under future climate warming are difficult to quantify in situ. Here we apply an innovative approach combining space-for-time substitution with meta-analysis to SOC measurements in 113,013 soil profiles across the globe to estimate the effect of future climate warming on steady-state SOC stocks. We find that SOC stock will reduce by 6.0 ± 1.6% (mean±95% confidence interval), 4.8 ± 2.3% and 1.3 ± 4.0% at 0–0.3, 0.3–1 and 1–2 m soil depths, respectively, under 1 °C air warming, with additional 4.2%, 2.2% and 1.4% losses per every additional 1 °C warming, respectively. The largest proportional SOC losses occur in boreal forests. Existing SOC level is the predominant determinant of the spatial variability of SOC changes with higher percentage losses in SOC-rich soils. Our work demonstrates that warming induces more proportional SOC losses in topsoil than in subsoil, particularly from high-latitudinal SOC-rich systems.","container-title":"Nature Communications","DOI":"10.1038/s41467-022-33278-w","ISSN":"2041-1723","issue":"1","journalAbbreviation":"Nat Commun","language":"en","license":"2022 The Author(s)","note":"number: 1\npublisher: Nature Publishing Group","page":"5514","source":"www.nature.com","title":"Global soil profiles indicate depth-dependent soil carbon losses under a warmer climate","volume":"13","author":[{"family":"Wang","given":"Mingming"},{"family":"Guo","given":"Xiaowei"},{"family":"Zhang","given":"Shuai"},{"family":"Xiao","given":"Liujun"},{"family":"Mishra","given":"Umakant"},{"family":"Yang","given":"Yuanhe"},{"family":"Zhu","given":"Biao"},{"family":"Wang","given":"Guocheng"},{"family":"Mao","given":"Xiali"},{"family":"Qian","given":"Tian"},{"family":"Jiang","given":"Tong"},{"family":"Shi","given":"Zhou"},{"family":"Luo","given":"Zhongkui"}],"issued":{"date-parts":[["2022",9,20]]}}}],"schema":"https://github.com/citation-style-language/schema/raw/master/csl-citation.json"} </w:instrText>
      </w:r>
      <w:r w:rsidR="009049BF">
        <w:rPr>
          <w:color w:val="2E2E2E"/>
        </w:rPr>
        <w:fldChar w:fldCharType="separate"/>
      </w:r>
      <w:r w:rsidR="00EF2312" w:rsidRPr="00EF2312">
        <w:rPr>
          <w:color w:val="000000"/>
          <w:vertAlign w:val="superscript"/>
        </w:rPr>
        <w:t>6</w:t>
      </w:r>
      <w:r w:rsidR="009049BF">
        <w:rPr>
          <w:color w:val="2E2E2E"/>
        </w:rPr>
        <w:fldChar w:fldCharType="end"/>
      </w:r>
      <w:r w:rsidR="00CF6780">
        <w:rPr>
          <w:color w:val="2E2E2E"/>
          <w:vertAlign w:val="superscript"/>
        </w:rPr>
        <w:t>,</w:t>
      </w:r>
      <w:r w:rsidR="00704A62">
        <w:rPr>
          <w:color w:val="2E2E2E"/>
        </w:rPr>
        <w:fldChar w:fldCharType="begin"/>
      </w:r>
      <w:r w:rsidR="00EF2312">
        <w:rPr>
          <w:color w:val="2E2E2E"/>
        </w:rPr>
        <w:instrText xml:space="preserve"> ADDIN ZOTERO_ITEM CSL_CITATION {"citationID":"V7iEhY6W","properties":{"formattedCitation":"\\super 7\\nosupersub{}","plainCitation":"7","noteIndex":0},"citationItems":[{"id":641,"uris":["http://zotero.org/users/10291311/items/AW9YMXLY"],"itemData":{"id":641,"type":"article-journal","abstract":"Soil delivers fundamental ecosystem functions via interactions between physical and biological processes mediated by soil structure. The structure of soil is also dynamic and modified by natural factors and management intervention. The aim of this study was to investigate the effects of different cropping systems on soil structure at contrasting spatial scales. Three systems were studied in replicated plot field experiments involving varying degrees of plant-derived inputs to the soil, viz. perennial (grassland), annual (arable), and no-plant control (bare fallow), associated with two contrasting soil textures (clayey and sandy). We hypothesized the presence of plants results in a greater range (diversity) of pore sizes and that perennial cropping systems invoke greater structural heterogeneity. Accordingly, the nature of the pore systems was visualised and quantified in 3D by X-ray Computed Tomography at the mm and μm scale. Plants did not affect the porosity of clay soil at the mm scale, but at the μm scale, annual and perennial plant cover resulted in significantly increased porosity, a wider range of pore sizes and greater connectivity compared to bare fallow soil. However, the opposite occurred in the sandy soil, where plants decreased the porosity and pore connectivity at the mm scale but had no significant structural effect at the μm scale. These data reveal profound effects of different agricultural management systems upon soil structural modification, which are strongly modulated by the extent of plant presence and also contingent on the inherent texture of the soil.","container-title":"Geoderma","DOI":"10.1016/j.geoderma.2018.07.002","ISSN":"0016-7061","journalAbbreviation":"Geoderma","page":"73-83","source":"ScienceDirect","title":"Effects of cropping systems upon the three-dimensional architecture of soil systems are modulated by texture","volume":"332","author":[{"family":"Bacq-Labreuil","given":"Aurelie"},{"family":"Crawford","given":"John"},{"family":"Mooney","given":"Sacha J."},{"family":"Neal","given":"Andrew L."},{"family":"Akkari","given":"Elsy"},{"family":"McAuliffe","given":"Cormac"},{"family":"Zhang","given":"Xiaoxian"},{"family":"Redmile-Gordon","given":"Marc"},{"family":"Ritz","given":"Karl"}],"issued":{"date-parts":[["2018",12,15]]}}}],"schema":"https://github.com/citation-style-language/schema/raw/master/csl-citation.json"} </w:instrText>
      </w:r>
      <w:r w:rsidR="00704A62">
        <w:rPr>
          <w:color w:val="2E2E2E"/>
        </w:rPr>
        <w:fldChar w:fldCharType="separate"/>
      </w:r>
      <w:r w:rsidR="00EF2312" w:rsidRPr="00EF2312">
        <w:rPr>
          <w:color w:val="000000"/>
          <w:vertAlign w:val="superscript"/>
        </w:rPr>
        <w:t>7</w:t>
      </w:r>
      <w:r w:rsidR="00704A62">
        <w:rPr>
          <w:color w:val="2E2E2E"/>
        </w:rPr>
        <w:fldChar w:fldCharType="end"/>
      </w:r>
      <w:r w:rsidR="00CF6780">
        <w:rPr>
          <w:color w:val="2E2E2E"/>
          <w:vertAlign w:val="superscript"/>
        </w:rPr>
        <w:t>,</w:t>
      </w:r>
      <w:r w:rsidR="00704A62">
        <w:rPr>
          <w:color w:val="2E2E2E"/>
        </w:rPr>
        <w:fldChar w:fldCharType="begin"/>
      </w:r>
      <w:r w:rsidR="00EF2312">
        <w:rPr>
          <w:color w:val="2E2E2E"/>
        </w:rPr>
        <w:instrText xml:space="preserve"> ADDIN ZOTERO_ITEM CSL_CITATION {"citationID":"S072DUxm","properties":{"formattedCitation":"\\super 8\\nosupersub{}","plainCitation":"8","noteIndex":0},"citationItems":[{"id":644,"uris":["http://zotero.org/users/10291311/items/P443HYWG"],"itemData":{"id":644,"type":"dataset","abstract":"Long-term changes in soil organic carbon content (t/ha) in selected treatments of the Broadbalk experiment, where winter wheat has been grown every year since autumn 1843. SOC in t/ha, calculated from %SOC and soil weights, adjusted for changes in soil bulk density in FYM treatments. Updated to include 2015 data and some small corrections to calculations of total SOC for plots 2.1 and 1.","DOI":"10.23637/KEYREFOABKSOC-02","language":"en","license":"Creative Commons Attribution 4.0 International, Copyright Rothamsted Research","medium":"application/vnd.openxmlformats-officedocument.spreadsheetml.sheet","note":"dimensions: 73 KB, 35 KB\npage: 73 KB, 35 KB","publisher":"Electronic Rothamsted Archive, Rothamsted Research","source":"DOI.org (Datacite)","title":"Broadbalk soil organic carbon content 1843-2015","URL":"https://www.era.rothamsted.ac.uk/dataset/rbk1/02-BKSOC1843","version":"2","author":[{"literal":"Rothamsted Research"}],"contributor":[{"family":"Glendining","given":"Margaret"},{"family":"Castells-Brooke","given":"Nathalie"},{"family":"Perryman","given":"Sarah"},{"family":"Macdonald","given":"Andrew"},{"family":"Poulton","given":"Paul"},{"family":"Skilton","given":"Ruth"},{"family":"Day","given":"Jeanne"},{"family":"Hampshire","given":"Daniel"},{"family":"Ostler","given":"Richard"}],"accessed":{"date-parts":[["2023",11,17]]},"issued":{"date-parts":[["2021"]]}}}],"schema":"https://github.com/citation-style-language/schema/raw/master/csl-citation.json"} </w:instrText>
      </w:r>
      <w:r w:rsidR="00704A62">
        <w:rPr>
          <w:color w:val="2E2E2E"/>
        </w:rPr>
        <w:fldChar w:fldCharType="separate"/>
      </w:r>
      <w:r w:rsidR="00EF2312" w:rsidRPr="00EF2312">
        <w:rPr>
          <w:color w:val="000000"/>
          <w:vertAlign w:val="superscript"/>
        </w:rPr>
        <w:t>8</w:t>
      </w:r>
      <w:r w:rsidR="00704A62">
        <w:rPr>
          <w:color w:val="2E2E2E"/>
        </w:rPr>
        <w:fldChar w:fldCharType="end"/>
      </w:r>
      <w:r w:rsidRPr="00363E92">
        <w:rPr>
          <w:color w:val="2E2E2E"/>
        </w:rPr>
        <w:t xml:space="preserve">. </w:t>
      </w:r>
    </w:p>
    <w:p w14:paraId="3FCC7982" w14:textId="77777777" w:rsidR="00D716EA" w:rsidRPr="00363E92" w:rsidRDefault="00D716EA" w:rsidP="009D0FF6">
      <w:pPr>
        <w:spacing w:line="360" w:lineRule="auto"/>
        <w:rPr>
          <w:color w:val="2E2E2E"/>
        </w:rPr>
      </w:pPr>
    </w:p>
    <w:p w14:paraId="225E3EAE" w14:textId="77777777" w:rsidR="00D716EA" w:rsidRPr="00363E92" w:rsidRDefault="00D716EA" w:rsidP="009D0FF6">
      <w:pPr>
        <w:spacing w:line="360" w:lineRule="auto"/>
        <w:rPr>
          <w:rFonts w:eastAsiaTheme="minorEastAsia"/>
        </w:rPr>
      </w:pPr>
      <w:r w:rsidRPr="00363E92">
        <w:rPr>
          <w:color w:val="2E2E2E"/>
        </w:rPr>
        <w:t>Statistical Analysis. We analysed the trends of P</w:t>
      </w:r>
      <w:r w:rsidRPr="00363E92">
        <w:rPr>
          <w:color w:val="2E2E2E"/>
          <w:vertAlign w:val="subscript"/>
        </w:rPr>
        <w:t>t</w:t>
      </w:r>
      <w:r w:rsidRPr="00363E92">
        <w:rPr>
          <w:color w:val="2E2E2E"/>
        </w:rPr>
        <w:t xml:space="preserve"> with soil organic carbon stocks, and the trends of P</w:t>
      </w:r>
      <w:r w:rsidRPr="00363E92">
        <w:rPr>
          <w:color w:val="2E2E2E"/>
          <w:vertAlign w:val="subscript"/>
        </w:rPr>
        <w:t>c</w:t>
      </w:r>
      <w:r w:rsidRPr="00363E92">
        <w:rPr>
          <w:color w:val="2E2E2E"/>
        </w:rPr>
        <w:t xml:space="preserve"> as a proportion of P</w:t>
      </w:r>
      <w:r w:rsidRPr="00363E92">
        <w:rPr>
          <w:color w:val="2E2E2E"/>
          <w:vertAlign w:val="subscript"/>
        </w:rPr>
        <w:t>t</w:t>
      </w:r>
      <w:r w:rsidRPr="00363E92">
        <w:rPr>
          <w:color w:val="2E2E2E"/>
        </w:rPr>
        <w:t xml:space="preserve"> (ν) with P</w:t>
      </w:r>
      <w:r w:rsidRPr="00363E92">
        <w:rPr>
          <w:color w:val="2E2E2E"/>
          <w:vertAlign w:val="subscript"/>
        </w:rPr>
        <w:t>t</w:t>
      </w:r>
      <w:r w:rsidRPr="00363E92">
        <w:rPr>
          <w:color w:val="2E2E2E"/>
        </w:rPr>
        <w:t>. The overall relationships between ν and P</w:t>
      </w:r>
      <w:r w:rsidRPr="00363E92">
        <w:rPr>
          <w:color w:val="2E2E2E"/>
          <w:vertAlign w:val="subscript"/>
        </w:rPr>
        <w:t xml:space="preserve">t </w:t>
      </w:r>
      <w:r w:rsidRPr="00363E92">
        <w:rPr>
          <w:color w:val="2E2E2E"/>
        </w:rPr>
        <w:t xml:space="preserve">were described by an equation of the form </w:t>
      </w:r>
      <w:r w:rsidRPr="00363E92">
        <w:rPr>
          <w:color w:val="2E2E2E"/>
          <w:vertAlign w:val="subscript"/>
        </w:rPr>
        <w:t xml:space="preserve"> </w:t>
      </w:r>
      <m:oMath>
        <m:r>
          <m:rPr>
            <m:sty m:val="p"/>
          </m:rPr>
          <w:rPr>
            <w:rFonts w:ascii="Cambria Math" w:hAnsi="Cambria Math"/>
          </w:rPr>
          <m:t>ν=a</m:t>
        </m:r>
        <m:d>
          <m:dPr>
            <m:endChr m:val=""/>
            <m:ctrlPr>
              <w:rPr>
                <w:rFonts w:ascii="Cambria Math" w:hAnsi="Cambria Math"/>
              </w:rPr>
            </m:ctrlPr>
          </m:dPr>
          <m:e>
            <m:r>
              <m:rPr>
                <m:sty m:val="p"/>
              </m:rPr>
              <w:rPr>
                <w:rFonts w:ascii="Cambria Math" w:hAnsi="Cambria Math"/>
              </w:rPr>
              <m:t>1-b</m:t>
            </m:r>
            <m:d>
              <m:dPr>
                <m:begChr m:val=""/>
                <m:ctrlPr>
                  <w:rPr>
                    <w:rFonts w:ascii="Cambria Math" w:hAnsi="Cambria Math"/>
                  </w:rPr>
                </m:ctrlPr>
              </m:dPr>
              <m:e>
                <m:sSup>
                  <m:sSupPr>
                    <m:ctrlPr>
                      <w:rPr>
                        <w:rFonts w:ascii="Cambria Math" w:hAnsi="Cambria Math"/>
                      </w:rPr>
                    </m:ctrlPr>
                  </m:sSupPr>
                  <m:e>
                    <m:r>
                      <m:rPr>
                        <m:sty m:val="p"/>
                      </m:rPr>
                      <w:rPr>
                        <w:rFonts w:ascii="Cambria Math" w:hAnsi="Cambria Math"/>
                      </w:rPr>
                      <m:t>e</m:t>
                    </m:r>
                  </m:e>
                  <m:sup>
                    <m:r>
                      <m:rPr>
                        <m:sty m:val="p"/>
                      </m:rPr>
                      <w:rPr>
                        <w:rFonts w:ascii="Cambria Math" w:hAnsi="Cambria Math"/>
                      </w:rPr>
                      <m:t>-c</m:t>
                    </m:r>
                    <m:sSub>
                      <m:sSubPr>
                        <m:ctrlPr>
                          <w:rPr>
                            <w:rFonts w:ascii="Cambria Math" w:hAnsi="Cambria Math"/>
                          </w:rPr>
                        </m:ctrlPr>
                      </m:sSubPr>
                      <m:e>
                        <m:r>
                          <m:rPr>
                            <m:sty m:val="p"/>
                          </m:rPr>
                          <w:rPr>
                            <w:rFonts w:ascii="Cambria Math" w:hAnsi="Cambria Math"/>
                          </w:rPr>
                          <m:t>P</m:t>
                        </m:r>
                      </m:e>
                      <m:sub>
                        <m:r>
                          <m:rPr>
                            <m:sty m:val="p"/>
                          </m:rPr>
                          <w:rPr>
                            <w:rFonts w:ascii="Cambria Math" w:hAnsi="Cambria Math"/>
                          </w:rPr>
                          <m:t>t</m:t>
                        </m:r>
                      </m:sub>
                    </m:sSub>
                  </m:sup>
                </m:sSup>
              </m:e>
            </m:d>
          </m:e>
        </m:d>
      </m:oMath>
      <w:r w:rsidRPr="00363E92">
        <w:rPr>
          <w:rFonts w:eastAsiaTheme="minorEastAsia"/>
        </w:rPr>
        <w:t xml:space="preserve">. The value of a was first estimated by the maximal value of ν, and b and c using a straight-line fit to a linearized model. Then nonlinear optimization was used to determine the final form. Close to P*, </w:t>
      </w:r>
      <w:r w:rsidRPr="00363E92">
        <w:rPr>
          <w:color w:val="2E2E2E"/>
        </w:rPr>
        <w:t>relationships between ν and P</w:t>
      </w:r>
      <w:r w:rsidRPr="00363E92">
        <w:rPr>
          <w:color w:val="2E2E2E"/>
          <w:vertAlign w:val="subscript"/>
        </w:rPr>
        <w:t xml:space="preserve">t </w:t>
      </w:r>
      <w:r w:rsidRPr="00363E92">
        <w:rPr>
          <w:color w:val="2E2E2E"/>
        </w:rPr>
        <w:t xml:space="preserve">were described by a power law of the form </w:t>
      </w:r>
      <m:oMath>
        <m:r>
          <m:rPr>
            <m:sty m:val="p"/>
          </m:rPr>
          <w:rPr>
            <w:rFonts w:ascii="Cambria Math" w:hAnsi="Cambria Math"/>
          </w:rPr>
          <m:t xml:space="preserve">v∝ </m:t>
        </m:r>
        <m:sSup>
          <m:sSupPr>
            <m:ctrlPr>
              <w:rPr>
                <w:rFonts w:ascii="Cambria Math" w:hAnsi="Cambria Math"/>
              </w:rPr>
            </m:ctrlPr>
          </m:sSupPr>
          <m:e>
            <m:d>
              <m:dPr>
                <m:begChr m:val="|"/>
                <m:endChr m:val="|"/>
                <m:ctrlPr>
                  <w:rPr>
                    <w:rFonts w:ascii="Cambria Math" w:hAnsi="Cambria Math"/>
                  </w:rPr>
                </m:ctrlPr>
              </m:dPr>
              <m:e>
                <m:sSub>
                  <m:sSubPr>
                    <m:ctrlPr>
                      <w:rPr>
                        <w:rFonts w:ascii="Cambria Math" w:hAnsi="Cambria Math"/>
                      </w:rPr>
                    </m:ctrlPr>
                  </m:sSubPr>
                  <m:e>
                    <m:r>
                      <m:rPr>
                        <m:sty m:val="p"/>
                      </m:rPr>
                      <w:rPr>
                        <w:rFonts w:ascii="Cambria Math" w:hAnsi="Cambria Math"/>
                      </w:rPr>
                      <m:t>P</m:t>
                    </m:r>
                  </m:e>
                  <m:sub>
                    <m:r>
                      <m:rPr>
                        <m:sty m:val="p"/>
                      </m:rPr>
                      <w:rPr>
                        <w:rFonts w:ascii="Cambria Math" w:hAnsi="Cambria Math"/>
                      </w:rPr>
                      <m:t>t</m:t>
                    </m:r>
                  </m:sub>
                </m:sSub>
                <m:r>
                  <m:rPr>
                    <m:sty m:val="p"/>
                  </m:rPr>
                  <w:rPr>
                    <w:rFonts w:ascii="Cambria Math" w:hAnsi="Cambria Math"/>
                  </w:rPr>
                  <m:t>-</m:t>
                </m:r>
                <m:sSup>
                  <m:sSupPr>
                    <m:ctrlPr>
                      <w:rPr>
                        <w:rFonts w:ascii="Cambria Math" w:hAnsi="Cambria Math"/>
                      </w:rPr>
                    </m:ctrlPr>
                  </m:sSupPr>
                  <m:e>
                    <m:r>
                      <m:rPr>
                        <m:sty m:val="p"/>
                      </m:rPr>
                      <w:rPr>
                        <w:rFonts w:ascii="Cambria Math" w:hAnsi="Cambria Math"/>
                      </w:rPr>
                      <m:t>P</m:t>
                    </m:r>
                  </m:e>
                  <m:sup>
                    <m:r>
                      <m:rPr>
                        <m:sty m:val="p"/>
                      </m:rPr>
                      <w:rPr>
                        <w:rFonts w:ascii="Cambria Math" w:hAnsi="Cambria Math"/>
                      </w:rPr>
                      <m:t>*</m:t>
                    </m:r>
                  </m:sup>
                </m:sSup>
              </m:e>
            </m:d>
          </m:e>
          <m:sup>
            <m:r>
              <m:rPr>
                <m:sty m:val="p"/>
              </m:rPr>
              <w:rPr>
                <w:rFonts w:ascii="Cambria Math" w:hAnsi="Cambria Math"/>
              </w:rPr>
              <m:t>β</m:t>
            </m:r>
          </m:sup>
        </m:sSup>
      </m:oMath>
      <w:r w:rsidRPr="00363E92">
        <w:rPr>
          <w:rFonts w:eastAsiaTheme="minorEastAsia"/>
        </w:rPr>
        <w:t>.</w:t>
      </w:r>
    </w:p>
    <w:p w14:paraId="14975382" w14:textId="77777777" w:rsidR="00D716EA" w:rsidRPr="00363E92" w:rsidRDefault="00D716EA" w:rsidP="009D0FF6">
      <w:pPr>
        <w:spacing w:line="360" w:lineRule="auto"/>
        <w:rPr>
          <w:rFonts w:eastAsiaTheme="minorEastAsia"/>
        </w:rPr>
      </w:pPr>
    </w:p>
    <w:p w14:paraId="0C6B61D8" w14:textId="77777777" w:rsidR="00D716EA" w:rsidRPr="00363E92" w:rsidRDefault="00D716EA" w:rsidP="009D0FF6">
      <w:pPr>
        <w:spacing w:line="360" w:lineRule="auto"/>
        <w:rPr>
          <w:color w:val="2E2E2E"/>
        </w:rPr>
      </w:pPr>
      <w:r w:rsidRPr="00363E92">
        <w:rPr>
          <w:rFonts w:eastAsiaTheme="minorEastAsia"/>
        </w:rPr>
        <w:t xml:space="preserve">Ordinary least square (OLS) linear regression was used to relate log(ν) to </w:t>
      </w:r>
      <w:proofErr w:type="gramStart"/>
      <w:r w:rsidRPr="00363E92">
        <w:rPr>
          <w:rFonts w:eastAsiaTheme="minorEastAsia"/>
        </w:rPr>
        <w:t>log(</w:t>
      </w:r>
      <w:proofErr w:type="gramEnd"/>
      <w:r w:rsidRPr="00363E92">
        <w:rPr>
          <w:rFonts w:eastAsiaTheme="minorEastAsia"/>
        </w:rPr>
        <w:t>P</w:t>
      </w:r>
      <w:r w:rsidRPr="00363E92">
        <w:rPr>
          <w:rFonts w:eastAsiaTheme="minorEastAsia"/>
          <w:vertAlign w:val="subscript"/>
        </w:rPr>
        <w:t>t</w:t>
      </w:r>
      <w:r w:rsidRPr="00363E92">
        <w:rPr>
          <w:rFonts w:eastAsiaTheme="minorEastAsia"/>
        </w:rPr>
        <w:t xml:space="preserve"> – P*) and soil P</w:t>
      </w:r>
      <w:r w:rsidRPr="00363E92">
        <w:rPr>
          <w:rFonts w:eastAsiaTheme="minorEastAsia"/>
          <w:vertAlign w:val="subscript"/>
        </w:rPr>
        <w:t>t</w:t>
      </w:r>
      <w:r w:rsidRPr="00363E92">
        <w:rPr>
          <w:rFonts w:eastAsiaTheme="minorEastAsia"/>
        </w:rPr>
        <w:t xml:space="preserve"> to organic carbon stocks. Where necessary we compared the slopes of OLS regression according to</w:t>
      </w:r>
    </w:p>
    <w:p w14:paraId="0E95571D" w14:textId="77777777" w:rsidR="00D716EA" w:rsidRPr="00363E92" w:rsidRDefault="00D716EA" w:rsidP="009D0FF6">
      <w:pPr>
        <w:spacing w:line="360" w:lineRule="auto"/>
        <w:rPr>
          <w:color w:val="2E2E2E"/>
        </w:rPr>
      </w:pPr>
    </w:p>
    <w:p w14:paraId="123BBD7E" w14:textId="77777777" w:rsidR="00D716EA" w:rsidRPr="00363E92" w:rsidRDefault="00D716EA" w:rsidP="009D0FF6">
      <w:pPr>
        <w:spacing w:line="360" w:lineRule="auto"/>
        <w:rPr>
          <w:rFonts w:eastAsiaTheme="minorEastAsia"/>
        </w:rPr>
      </w:pPr>
      <m:oMathPara>
        <m:oMathParaPr>
          <m:jc m:val="left"/>
        </m:oMathParaPr>
        <m:oMath>
          <m:r>
            <m:rPr>
              <m:sty m:val="p"/>
            </m:rPr>
            <w:rPr>
              <w:rFonts w:ascii="Cambria Math" w:hAnsi="Cambria Math"/>
            </w:rPr>
            <w:lastRenderedPageBreak/>
            <m:t xml:space="preserve">F= </m:t>
          </m:r>
          <m:f>
            <m:fPr>
              <m:ctrlPr>
                <w:rPr>
                  <w:rFonts w:ascii="Cambria Math" w:hAnsi="Cambria Math"/>
                </w:rPr>
              </m:ctrlPr>
            </m:fPr>
            <m:num>
              <m:f>
                <m:fPr>
                  <m:ctrlPr>
                    <w:rPr>
                      <w:rFonts w:ascii="Cambria Math" w:hAnsi="Cambria Math"/>
                    </w:rPr>
                  </m:ctrlPr>
                </m:fPr>
                <m:num>
                  <m:r>
                    <m:rPr>
                      <m:sty m:val="p"/>
                    </m:rPr>
                    <w:rPr>
                      <w:rFonts w:ascii="Cambria Math" w:hAnsi="Cambria Math"/>
                    </w:rPr>
                    <m:t>1</m:t>
                  </m:r>
                </m:num>
                <m:den>
                  <m:r>
                    <m:rPr>
                      <m:sty m:val="p"/>
                    </m:rPr>
                    <w:rPr>
                      <w:rFonts w:ascii="Cambria Math" w:hAnsi="Cambria Math"/>
                    </w:rPr>
                    <m:t xml:space="preserve">k-1 </m:t>
                  </m:r>
                </m:den>
              </m:f>
              <m:r>
                <m:rPr>
                  <m:sty m:val="p"/>
                </m:rPr>
                <w:rPr>
                  <w:rFonts w:ascii="Cambria Math" w:hAnsi="Cambria Math"/>
                </w:rPr>
                <m:t>(A-</m:t>
              </m:r>
              <m:nary>
                <m:naryPr>
                  <m:chr m:val="∑"/>
                  <m:limLoc m:val="subSup"/>
                  <m:ctrlPr>
                    <w:rPr>
                      <w:rFonts w:ascii="Cambria Math" w:hAnsi="Cambria Math"/>
                    </w:rPr>
                  </m:ctrlPr>
                </m:naryPr>
                <m:sub>
                  <m:r>
                    <m:rPr>
                      <m:sty m:val="p"/>
                    </m:rPr>
                    <w:rPr>
                      <w:rFonts w:ascii="Cambria Math" w:hAnsi="Cambria Math"/>
                    </w:rPr>
                    <m:t>i=1</m:t>
                  </m:r>
                </m:sub>
                <m:sup>
                  <m:r>
                    <m:rPr>
                      <m:sty m:val="p"/>
                    </m:rPr>
                    <w:rPr>
                      <w:rFonts w:ascii="Cambria Math" w:hAnsi="Cambria Math"/>
                    </w:rPr>
                    <m:t>k</m:t>
                  </m:r>
                </m:sup>
                <m:e>
                  <m:sSub>
                    <m:sSubPr>
                      <m:ctrlPr>
                        <w:rPr>
                          <w:rFonts w:ascii="Cambria Math" w:hAnsi="Cambria Math"/>
                        </w:rPr>
                      </m:ctrlPr>
                    </m:sSubPr>
                    <m:e>
                      <m:r>
                        <m:rPr>
                          <m:sty m:val="p"/>
                        </m:rPr>
                        <w:rPr>
                          <w:rFonts w:ascii="Cambria Math" w:hAnsi="Cambria Math"/>
                        </w:rPr>
                        <m:t>Q</m:t>
                      </m:r>
                    </m:e>
                    <m:sub>
                      <m:r>
                        <m:rPr>
                          <m:sty m:val="p"/>
                        </m:rPr>
                        <w:rPr>
                          <w:rFonts w:ascii="Cambria Math" w:hAnsi="Cambria Math"/>
                        </w:rPr>
                        <m:t>y∙x;i</m:t>
                      </m:r>
                    </m:sub>
                  </m:sSub>
                </m:e>
              </m:nary>
              <m:r>
                <m:rPr>
                  <m:sty m:val="p"/>
                </m:rPr>
                <w:rPr>
                  <w:rFonts w:ascii="Cambria Math" w:hAnsi="Cambria Math"/>
                </w:rPr>
                <m:t>)</m:t>
              </m:r>
            </m:num>
            <m:den>
              <m:f>
                <m:fPr>
                  <m:ctrlPr>
                    <w:rPr>
                      <w:rFonts w:ascii="Cambria Math" w:hAnsi="Cambria Math"/>
                    </w:rPr>
                  </m:ctrlPr>
                </m:fPr>
                <m:num>
                  <m:r>
                    <m:rPr>
                      <m:sty m:val="p"/>
                    </m:rPr>
                    <w:rPr>
                      <w:rFonts w:ascii="Cambria Math" w:hAnsi="Cambria Math"/>
                    </w:rPr>
                    <m:t>1</m:t>
                  </m:r>
                </m:num>
                <m:den>
                  <m:r>
                    <m:rPr>
                      <m:sty m:val="p"/>
                    </m:rPr>
                    <w:rPr>
                      <w:rFonts w:ascii="Cambria Math" w:hAnsi="Cambria Math"/>
                    </w:rPr>
                    <m:t>n-2k</m:t>
                  </m:r>
                </m:den>
              </m:f>
              <m:nary>
                <m:naryPr>
                  <m:chr m:val="∑"/>
                  <m:limLoc m:val="subSup"/>
                  <m:ctrlPr>
                    <w:rPr>
                      <w:rFonts w:ascii="Cambria Math" w:hAnsi="Cambria Math"/>
                    </w:rPr>
                  </m:ctrlPr>
                </m:naryPr>
                <m:sub>
                  <m:r>
                    <m:rPr>
                      <m:sty m:val="p"/>
                    </m:rPr>
                    <w:rPr>
                      <w:rFonts w:ascii="Cambria Math" w:hAnsi="Cambria Math"/>
                    </w:rPr>
                    <m:t>i=1</m:t>
                  </m:r>
                </m:sub>
                <m:sup>
                  <m:r>
                    <m:rPr>
                      <m:sty m:val="p"/>
                    </m:rPr>
                    <w:rPr>
                      <w:rFonts w:ascii="Cambria Math" w:hAnsi="Cambria Math"/>
                    </w:rPr>
                    <m:t>k</m:t>
                  </m:r>
                </m:sup>
                <m:e>
                  <m:sSub>
                    <m:sSubPr>
                      <m:ctrlPr>
                        <w:rPr>
                          <w:rFonts w:ascii="Cambria Math" w:hAnsi="Cambria Math"/>
                        </w:rPr>
                      </m:ctrlPr>
                    </m:sSubPr>
                    <m:e>
                      <m:r>
                        <m:rPr>
                          <m:sty m:val="p"/>
                        </m:rPr>
                        <w:rPr>
                          <w:rFonts w:ascii="Cambria Math" w:hAnsi="Cambria Math"/>
                        </w:rPr>
                        <m:t>Q</m:t>
                      </m:r>
                    </m:e>
                    <m:sub>
                      <m:r>
                        <m:rPr>
                          <m:sty m:val="p"/>
                        </m:rPr>
                        <w:rPr>
                          <w:rFonts w:ascii="Cambria Math" w:hAnsi="Cambria Math"/>
                        </w:rPr>
                        <m:t>y∙x;i</m:t>
                      </m:r>
                    </m:sub>
                  </m:sSub>
                </m:e>
              </m:nary>
            </m:den>
          </m:f>
        </m:oMath>
      </m:oMathPara>
    </w:p>
    <w:p w14:paraId="18E148F7" w14:textId="77777777" w:rsidR="00D716EA" w:rsidRPr="00363E92" w:rsidRDefault="00D716EA" w:rsidP="009D0FF6">
      <w:pPr>
        <w:spacing w:line="360" w:lineRule="auto"/>
        <w:rPr>
          <w:rFonts w:eastAsiaTheme="minorEastAsia"/>
        </w:rPr>
      </w:pPr>
    </w:p>
    <w:p w14:paraId="2C1C2ECA" w14:textId="4EA6A2DF" w:rsidR="00D716EA" w:rsidRPr="003B67F1" w:rsidRDefault="00D716EA" w:rsidP="00D716EA">
      <w:pPr>
        <w:spacing w:line="360" w:lineRule="auto"/>
      </w:pPr>
      <w:r w:rsidRPr="00363E92">
        <w:rPr>
          <w:rFonts w:eastAsiaTheme="minorEastAsia"/>
        </w:rPr>
        <w:t xml:space="preserve">where </w:t>
      </w:r>
      <w:r w:rsidRPr="00363E92">
        <w:t xml:space="preserve">k is the number of regressions compared, </w:t>
      </w:r>
      <m:oMath>
        <m:r>
          <m:rPr>
            <m:sty m:val="p"/>
          </m:rPr>
          <w:rPr>
            <w:rFonts w:ascii="Cambria Math" w:eastAsiaTheme="minorEastAsia" w:hAnsi="Cambria Math"/>
          </w:rPr>
          <m:t xml:space="preserve">A= </m:t>
        </m:r>
        <m:nary>
          <m:naryPr>
            <m:chr m:val="∑"/>
            <m:limLoc m:val="subSup"/>
            <m:ctrlPr>
              <w:rPr>
                <w:rFonts w:ascii="Cambria Math" w:eastAsiaTheme="minorEastAsia" w:hAnsi="Cambria Math"/>
              </w:rPr>
            </m:ctrlPr>
          </m:naryPr>
          <m:sub>
            <m:r>
              <m:rPr>
                <m:sty m:val="p"/>
              </m:rPr>
              <w:rPr>
                <w:rFonts w:ascii="Cambria Math" w:eastAsiaTheme="minorEastAsia" w:hAnsi="Cambria Math"/>
              </w:rPr>
              <m:t>i=1</m:t>
            </m:r>
          </m:sub>
          <m:sup>
            <m:r>
              <m:rPr>
                <m:sty m:val="p"/>
              </m:rPr>
              <w:rPr>
                <w:rFonts w:ascii="Cambria Math" w:eastAsiaTheme="minorEastAsia" w:hAnsi="Cambria Math"/>
              </w:rPr>
              <m:t>k</m:t>
            </m:r>
          </m:sup>
          <m:e>
            <m:sSub>
              <m:sSubPr>
                <m:ctrlPr>
                  <w:rPr>
                    <w:rFonts w:ascii="Cambria Math" w:eastAsiaTheme="minorEastAsia" w:hAnsi="Cambria Math"/>
                  </w:rPr>
                </m:ctrlPr>
              </m:sSubPr>
              <m:e>
                <m:r>
                  <m:rPr>
                    <m:sty m:val="p"/>
                  </m:rPr>
                  <w:rPr>
                    <w:rFonts w:ascii="Cambria Math" w:eastAsiaTheme="minorEastAsia" w:hAnsi="Cambria Math"/>
                  </w:rPr>
                  <m:t>Q</m:t>
                </m:r>
              </m:e>
              <m:sub>
                <m:r>
                  <m:rPr>
                    <m:sty m:val="p"/>
                  </m:rPr>
                  <w:rPr>
                    <w:rFonts w:ascii="Cambria Math" w:eastAsiaTheme="minorEastAsia" w:hAnsi="Cambria Math"/>
                  </w:rPr>
                  <m:t>y;i</m:t>
                </m:r>
              </m:sub>
            </m:sSub>
          </m:e>
        </m:nary>
        <m:r>
          <m:rPr>
            <m:sty m:val="p"/>
          </m:rPr>
          <w:rPr>
            <w:rFonts w:ascii="Cambria Math" w:eastAsiaTheme="minorEastAsia" w:hAnsi="Cambria Math"/>
          </w:rPr>
          <m:t xml:space="preserve">- </m:t>
        </m:r>
        <m:f>
          <m:fPr>
            <m:ctrlPr>
              <w:rPr>
                <w:rFonts w:ascii="Cambria Math" w:eastAsiaTheme="minorEastAsia" w:hAnsi="Cambria Math"/>
              </w:rPr>
            </m:ctrlPr>
          </m:fPr>
          <m:num>
            <m:nary>
              <m:naryPr>
                <m:chr m:val="∑"/>
                <m:limLoc m:val="subSup"/>
                <m:ctrlPr>
                  <w:rPr>
                    <w:rFonts w:ascii="Cambria Math" w:eastAsiaTheme="minorEastAsia" w:hAnsi="Cambria Math"/>
                  </w:rPr>
                </m:ctrlPr>
              </m:naryPr>
              <m:sub>
                <m:r>
                  <m:rPr>
                    <m:sty m:val="p"/>
                  </m:rPr>
                  <w:rPr>
                    <w:rFonts w:ascii="Cambria Math" w:eastAsiaTheme="minorEastAsia" w:hAnsi="Cambria Math"/>
                  </w:rPr>
                  <m:t>i=1</m:t>
                </m:r>
              </m:sub>
              <m:sup>
                <m:r>
                  <m:rPr>
                    <m:sty m:val="p"/>
                  </m:rPr>
                  <w:rPr>
                    <w:rFonts w:ascii="Cambria Math" w:eastAsiaTheme="minorEastAsia" w:hAnsi="Cambria Math"/>
                  </w:rPr>
                  <m:t>k</m:t>
                </m:r>
              </m:sup>
              <m:e>
                <m:sSub>
                  <m:sSubPr>
                    <m:ctrlPr>
                      <w:rPr>
                        <w:rFonts w:ascii="Cambria Math" w:eastAsiaTheme="minorEastAsia" w:hAnsi="Cambria Math"/>
                      </w:rPr>
                    </m:ctrlPr>
                  </m:sSubPr>
                  <m:e>
                    <m:r>
                      <m:rPr>
                        <m:sty m:val="p"/>
                      </m:rPr>
                      <w:rPr>
                        <w:rFonts w:ascii="Cambria Math" w:eastAsiaTheme="minorEastAsia" w:hAnsi="Cambria Math"/>
                      </w:rPr>
                      <m:t>Q</m:t>
                    </m:r>
                  </m:e>
                  <m:sub>
                    <m:r>
                      <m:rPr>
                        <m:sty m:val="p"/>
                      </m:rPr>
                      <w:rPr>
                        <w:rFonts w:ascii="Cambria Math" w:eastAsiaTheme="minorEastAsia" w:hAnsi="Cambria Math"/>
                      </w:rPr>
                      <m:t>xy;i</m:t>
                    </m:r>
                  </m:sub>
                </m:sSub>
              </m:e>
            </m:nary>
          </m:num>
          <m:den>
            <m:nary>
              <m:naryPr>
                <m:chr m:val="∑"/>
                <m:limLoc m:val="subSup"/>
                <m:ctrlPr>
                  <w:rPr>
                    <w:rFonts w:ascii="Cambria Math" w:eastAsiaTheme="minorEastAsia" w:hAnsi="Cambria Math"/>
                  </w:rPr>
                </m:ctrlPr>
              </m:naryPr>
              <m:sub>
                <m:r>
                  <m:rPr>
                    <m:sty m:val="p"/>
                  </m:rPr>
                  <w:rPr>
                    <w:rFonts w:ascii="Cambria Math" w:eastAsiaTheme="minorEastAsia" w:hAnsi="Cambria Math"/>
                  </w:rPr>
                  <m:t>i=1</m:t>
                </m:r>
              </m:sub>
              <m:sup>
                <m:r>
                  <m:rPr>
                    <m:sty m:val="p"/>
                  </m:rPr>
                  <w:rPr>
                    <w:rFonts w:ascii="Cambria Math" w:eastAsiaTheme="minorEastAsia" w:hAnsi="Cambria Math"/>
                  </w:rPr>
                  <m:t>k</m:t>
                </m:r>
              </m:sup>
              <m:e>
                <m:sSub>
                  <m:sSubPr>
                    <m:ctrlPr>
                      <w:rPr>
                        <w:rFonts w:ascii="Cambria Math" w:eastAsiaTheme="minorEastAsia" w:hAnsi="Cambria Math"/>
                      </w:rPr>
                    </m:ctrlPr>
                  </m:sSubPr>
                  <m:e>
                    <m:r>
                      <m:rPr>
                        <m:sty m:val="p"/>
                      </m:rPr>
                      <w:rPr>
                        <w:rFonts w:ascii="Cambria Math" w:eastAsiaTheme="minorEastAsia" w:hAnsi="Cambria Math"/>
                      </w:rPr>
                      <m:t>Q</m:t>
                    </m:r>
                  </m:e>
                  <m:sub>
                    <m:r>
                      <m:rPr>
                        <m:sty m:val="p"/>
                      </m:rPr>
                      <w:rPr>
                        <w:rFonts w:ascii="Cambria Math" w:eastAsiaTheme="minorEastAsia" w:hAnsi="Cambria Math"/>
                      </w:rPr>
                      <m:t>x;i</m:t>
                    </m:r>
                  </m:sub>
                </m:sSub>
              </m:e>
            </m:nary>
          </m:den>
        </m:f>
      </m:oMath>
      <w:r w:rsidRPr="00363E92">
        <w:rPr>
          <w:rFonts w:eastAsiaTheme="minorEastAsia"/>
        </w:rPr>
        <w:t xml:space="preserve">, </w:t>
      </w:r>
      <m:oMath>
        <m:sSub>
          <m:sSubPr>
            <m:ctrlPr>
              <w:rPr>
                <w:rFonts w:ascii="Cambria Math" w:eastAsiaTheme="minorEastAsia" w:hAnsi="Cambria Math"/>
              </w:rPr>
            </m:ctrlPr>
          </m:sSubPr>
          <m:e>
            <m:r>
              <m:rPr>
                <m:sty m:val="p"/>
              </m:rPr>
              <w:rPr>
                <w:rFonts w:ascii="Cambria Math" w:eastAsiaTheme="minorEastAsia" w:hAnsi="Cambria Math"/>
              </w:rPr>
              <m:t>Q</m:t>
            </m:r>
          </m:e>
          <m:sub>
            <m:r>
              <m:rPr>
                <m:sty m:val="p"/>
              </m:rPr>
              <w:rPr>
                <w:rFonts w:ascii="Cambria Math" w:eastAsiaTheme="minorEastAsia" w:hAnsi="Cambria Math"/>
              </w:rPr>
              <m:t>y∙x</m:t>
            </m:r>
          </m:sub>
        </m:sSub>
        <m:r>
          <m:rPr>
            <m:sty m:val="p"/>
          </m:rPr>
          <w:rPr>
            <w:rFonts w:ascii="Cambria Math" w:eastAsiaTheme="minorEastAsia" w:hAnsi="Cambria Math"/>
          </w:rPr>
          <m:t xml:space="preserve">= </m:t>
        </m:r>
        <m:nary>
          <m:naryPr>
            <m:chr m:val="∑"/>
            <m:limLoc m:val="undOvr"/>
            <m:subHide m:val="1"/>
            <m:supHide m:val="1"/>
            <m:ctrlPr>
              <w:rPr>
                <w:rFonts w:ascii="Cambria Math" w:eastAsiaTheme="minorEastAsia" w:hAnsi="Cambria Math"/>
              </w:rPr>
            </m:ctrlPr>
          </m:naryPr>
          <m:sub/>
          <m:sup/>
          <m:e>
            <m:d>
              <m:dPr>
                <m:endChr m:val=""/>
                <m:ctrlPr>
                  <w:rPr>
                    <w:rFonts w:ascii="Cambria Math" w:eastAsiaTheme="minorEastAsia" w:hAnsi="Cambria Math"/>
                  </w:rPr>
                </m:ctrlPr>
              </m:dPr>
              <m:e>
                <m:sSub>
                  <m:sSubPr>
                    <m:ctrlPr>
                      <w:rPr>
                        <w:rFonts w:ascii="Cambria Math" w:eastAsiaTheme="minorEastAsia" w:hAnsi="Cambria Math"/>
                      </w:rPr>
                    </m:ctrlPr>
                  </m:sSubPr>
                  <m:e>
                    <m:r>
                      <m:rPr>
                        <m:sty m:val="p"/>
                      </m:rPr>
                      <w:rPr>
                        <w:rFonts w:ascii="Cambria Math" w:eastAsiaTheme="minorEastAsia" w:hAnsi="Cambria Math"/>
                      </w:rPr>
                      <m:t>y</m:t>
                    </m:r>
                  </m:e>
                  <m:sub>
                    <m:r>
                      <m:rPr>
                        <m:sty m:val="p"/>
                      </m:rPr>
                      <w:rPr>
                        <w:rFonts w:ascii="Cambria Math" w:eastAsiaTheme="minorEastAsia" w:hAnsi="Cambria Math"/>
                      </w:rPr>
                      <m:t>i</m:t>
                    </m:r>
                  </m:sub>
                </m:sSub>
                <m:r>
                  <m:rPr>
                    <m:sty m:val="p"/>
                  </m:rPr>
                  <w:rPr>
                    <w:rFonts w:ascii="Cambria Math" w:eastAsiaTheme="minorEastAsia" w:hAnsi="Cambria Math"/>
                  </w:rPr>
                  <m:t>-</m:t>
                </m:r>
                <m:d>
                  <m:dPr>
                    <m:begChr m:val=""/>
                    <m:ctrlPr>
                      <w:rPr>
                        <w:rFonts w:ascii="Cambria Math" w:eastAsiaTheme="minorEastAsia" w:hAnsi="Cambria Math"/>
                      </w:rPr>
                    </m:ctrlPr>
                  </m:dPr>
                  <m:e>
                    <m:acc>
                      <m:accPr>
                        <m:ctrlPr>
                          <w:rPr>
                            <w:rFonts w:ascii="Cambria Math" w:eastAsiaTheme="minorEastAsia" w:hAnsi="Cambria Math"/>
                          </w:rPr>
                        </m:ctrlPr>
                      </m:accPr>
                      <m:e>
                        <m:r>
                          <m:rPr>
                            <m:sty m:val="p"/>
                          </m:rPr>
                          <w:rPr>
                            <w:rFonts w:ascii="Cambria Math" w:eastAsiaTheme="minorEastAsia" w:hAnsi="Cambria Math"/>
                          </w:rPr>
                          <m:t>y</m:t>
                        </m:r>
                      </m:e>
                    </m:acc>
                  </m:e>
                </m:d>
                <m:r>
                  <m:rPr>
                    <m:sty m:val="p"/>
                  </m:rPr>
                  <w:rPr>
                    <w:rFonts w:ascii="Cambria Math" w:eastAsiaTheme="minorEastAsia" w:hAnsi="Cambria Math"/>
                  </w:rPr>
                  <m:t>²</m:t>
                </m:r>
              </m:e>
            </m:d>
          </m:e>
        </m:nary>
      </m:oMath>
      <w:r w:rsidRPr="00363E92">
        <w:rPr>
          <w:rFonts w:eastAsiaTheme="minorEastAsia"/>
        </w:rPr>
        <w:t xml:space="preserve">, and </w:t>
      </w:r>
      <m:oMath>
        <m:sSub>
          <m:sSubPr>
            <m:ctrlPr>
              <w:rPr>
                <w:rFonts w:ascii="Cambria Math" w:eastAsiaTheme="minorEastAsia" w:hAnsi="Cambria Math"/>
              </w:rPr>
            </m:ctrlPr>
          </m:sSubPr>
          <m:e>
            <m:r>
              <m:rPr>
                <m:sty m:val="p"/>
              </m:rPr>
              <w:rPr>
                <w:rFonts w:ascii="Cambria Math" w:eastAsiaTheme="minorEastAsia" w:hAnsi="Cambria Math"/>
              </w:rPr>
              <m:t>Q</m:t>
            </m:r>
          </m:e>
          <m:sub>
            <m:r>
              <m:rPr>
                <m:sty m:val="p"/>
              </m:rPr>
              <w:rPr>
                <w:rFonts w:ascii="Cambria Math" w:eastAsiaTheme="minorEastAsia" w:hAnsi="Cambria Math"/>
              </w:rPr>
              <m:t>xy</m:t>
            </m:r>
          </m:sub>
        </m:sSub>
        <m:r>
          <m:rPr>
            <m:sty m:val="p"/>
          </m:rPr>
          <w:rPr>
            <w:rFonts w:ascii="Cambria Math" w:eastAsiaTheme="minorEastAsia" w:hAnsi="Cambria Math"/>
          </w:rPr>
          <m:t xml:space="preserve">= </m:t>
        </m:r>
        <m:nary>
          <m:naryPr>
            <m:chr m:val="∑"/>
            <m:limLoc m:val="undOvr"/>
            <m:subHide m:val="1"/>
            <m:supHide m:val="1"/>
            <m:ctrlPr>
              <w:rPr>
                <w:rFonts w:ascii="Cambria Math" w:eastAsiaTheme="minorEastAsia" w:hAnsi="Cambria Math"/>
              </w:rPr>
            </m:ctrlPr>
          </m:naryPr>
          <m:sub/>
          <m:sup/>
          <m:e>
            <m:d>
              <m:dPr>
                <m:endChr m:val=""/>
                <m:ctrlPr>
                  <w:rPr>
                    <w:rFonts w:ascii="Cambria Math" w:eastAsiaTheme="minorEastAsia" w:hAnsi="Cambria Math"/>
                  </w:rPr>
                </m:ctrlPr>
              </m:dPr>
              <m:e>
                <m:r>
                  <m:rPr>
                    <m:sty m:val="p"/>
                  </m:rPr>
                  <w:rPr>
                    <w:rFonts w:ascii="Cambria Math" w:eastAsiaTheme="minorEastAsia" w:hAnsi="Cambria Math"/>
                  </w:rPr>
                  <m:t>x-</m:t>
                </m:r>
              </m:e>
            </m:d>
          </m:e>
        </m:nary>
        <m:d>
          <m:dPr>
            <m:begChr m:val=""/>
            <m:ctrlPr>
              <w:rPr>
                <w:rFonts w:ascii="Cambria Math" w:eastAsiaTheme="minorEastAsia" w:hAnsi="Cambria Math"/>
              </w:rPr>
            </m:ctrlPr>
          </m:dPr>
          <m:e>
            <m:acc>
              <m:accPr>
                <m:chr m:val="̅"/>
                <m:ctrlPr>
                  <w:rPr>
                    <w:rFonts w:ascii="Cambria Math" w:eastAsiaTheme="minorEastAsia" w:hAnsi="Cambria Math"/>
                  </w:rPr>
                </m:ctrlPr>
              </m:accPr>
              <m:e>
                <m:r>
                  <m:rPr>
                    <m:sty m:val="p"/>
                  </m:rPr>
                  <w:rPr>
                    <w:rFonts w:ascii="Cambria Math" w:eastAsiaTheme="minorEastAsia" w:hAnsi="Cambria Math"/>
                  </w:rPr>
                  <m:t>x</m:t>
                </m:r>
              </m:e>
            </m:acc>
          </m:e>
        </m:d>
        <m:d>
          <m:dPr>
            <m:endChr m:val=""/>
            <m:ctrlPr>
              <w:rPr>
                <w:rFonts w:ascii="Cambria Math" w:eastAsiaTheme="minorEastAsia" w:hAnsi="Cambria Math"/>
              </w:rPr>
            </m:ctrlPr>
          </m:dPr>
          <m:e>
            <m:r>
              <m:rPr>
                <m:sty m:val="p"/>
              </m:rPr>
              <w:rPr>
                <w:rFonts w:ascii="Cambria Math" w:eastAsiaTheme="minorEastAsia" w:hAnsi="Cambria Math"/>
              </w:rPr>
              <m:t>y-</m:t>
            </m:r>
            <m:d>
              <m:dPr>
                <m:begChr m:val=""/>
                <m:ctrlPr>
                  <w:rPr>
                    <w:rFonts w:ascii="Cambria Math" w:eastAsiaTheme="minorEastAsia" w:hAnsi="Cambria Math"/>
                  </w:rPr>
                </m:ctrlPr>
              </m:dPr>
              <m:e>
                <m:acc>
                  <m:accPr>
                    <m:chr m:val="̅"/>
                    <m:ctrlPr>
                      <w:rPr>
                        <w:rFonts w:ascii="Cambria Math" w:eastAsiaTheme="minorEastAsia" w:hAnsi="Cambria Math"/>
                      </w:rPr>
                    </m:ctrlPr>
                  </m:accPr>
                  <m:e>
                    <m:r>
                      <m:rPr>
                        <m:sty m:val="p"/>
                      </m:rPr>
                      <w:rPr>
                        <w:rFonts w:ascii="Cambria Math" w:eastAsiaTheme="minorEastAsia" w:hAnsi="Cambria Math"/>
                      </w:rPr>
                      <m:t>y</m:t>
                    </m:r>
                  </m:e>
                </m:acc>
              </m:e>
            </m:d>
          </m:e>
        </m:d>
      </m:oMath>
      <w:r w:rsidRPr="00363E92">
        <w:rPr>
          <w:rFonts w:eastAsiaTheme="minorEastAsia"/>
        </w:rPr>
        <w:t xml:space="preserve">. The null hypothesis of equal slopes was tested based upon an </w:t>
      </w:r>
      <w:r w:rsidRPr="00363E92">
        <w:t>F distribution with k - 1 and n - 2k degrees of freedom.</w:t>
      </w:r>
    </w:p>
    <w:p w14:paraId="503BD5D2" w14:textId="77777777" w:rsidR="00D716EA" w:rsidRDefault="00D716EA" w:rsidP="00D716EA">
      <w:pPr>
        <w:spacing w:line="360" w:lineRule="auto"/>
        <w:rPr>
          <w:b/>
          <w:bCs/>
          <w:sz w:val="28"/>
          <w:szCs w:val="28"/>
        </w:rPr>
      </w:pPr>
    </w:p>
    <w:p w14:paraId="25F45AC1" w14:textId="3AA5D8A8" w:rsidR="00D716EA" w:rsidRPr="003B67F1" w:rsidRDefault="00D716EA" w:rsidP="00D716EA">
      <w:pPr>
        <w:spacing w:line="360" w:lineRule="auto"/>
        <w:rPr>
          <w:b/>
          <w:bCs/>
        </w:rPr>
      </w:pPr>
      <w:r w:rsidRPr="003B67F1">
        <w:rPr>
          <w:b/>
          <w:bCs/>
        </w:rPr>
        <w:t>Modelling Soil Respiration Close to the Tipping Point</w:t>
      </w:r>
    </w:p>
    <w:p w14:paraId="2A4A6F56" w14:textId="77777777" w:rsidR="00D716EA" w:rsidRDefault="00D716EA" w:rsidP="00D716EA">
      <w:pPr>
        <w:spacing w:line="360" w:lineRule="auto"/>
      </w:pPr>
      <w:r>
        <w:t xml:space="preserve">As stated in the main body of the paper, we start with the assumption that microbial respiration is a zeroth order function of the oxygen concentration (i.e. the respiration per unit volume is </w:t>
      </w:r>
      <m:oMath>
        <m:r>
          <w:rPr>
            <w:rFonts w:ascii="Cambria Math" w:hAnsi="Cambria Math"/>
          </w:rPr>
          <m:t>Q</m:t>
        </m:r>
      </m:oMath>
      <w:r>
        <w:t xml:space="preserve"> for all </w:t>
      </w:r>
      <m:oMath>
        <m:r>
          <w:rPr>
            <w:rFonts w:ascii="Cambria Math" w:hAnsi="Cambria Math"/>
          </w:rPr>
          <m:t>C&gt;0</m:t>
        </m:r>
      </m:oMath>
      <w:r>
        <w:t xml:space="preserve">, and is zero for </w:t>
      </w:r>
      <m:oMath>
        <m:r>
          <w:rPr>
            <w:rFonts w:ascii="Cambria Math" w:hAnsi="Cambria Math"/>
          </w:rPr>
          <m:t>C=0</m:t>
        </m:r>
      </m:oMath>
      <w:r>
        <w:t>). The equation describing the distribution of oxygen in soil can then be written:</w:t>
      </w:r>
    </w:p>
    <w:p w14:paraId="049E0C30" w14:textId="77777777" w:rsidR="00D716EA" w:rsidRPr="00F27579" w:rsidRDefault="00000000" w:rsidP="00D716EA">
      <w:pPr>
        <w:spacing w:line="360" w:lineRule="auto"/>
      </w:pPr>
      <m:oMathPara>
        <m:oMath>
          <m:f>
            <m:fPr>
              <m:ctrlPr>
                <w:rPr>
                  <w:rFonts w:ascii="Cambria Math" w:hAnsi="Cambria Math"/>
                  <w:i/>
                </w:rPr>
              </m:ctrlPr>
            </m:fPr>
            <m:num>
              <m:r>
                <w:rPr>
                  <w:rFonts w:ascii="Cambria Math" w:hAnsi="Cambria Math"/>
                </w:rPr>
                <m:t>∂C</m:t>
              </m:r>
            </m:num>
            <m:den>
              <m:r>
                <w:rPr>
                  <w:rFonts w:ascii="Cambria Math" w:hAnsi="Cambria Math"/>
                </w:rPr>
                <m:t>∂t</m:t>
              </m:r>
            </m:den>
          </m:f>
          <m:r>
            <w:rPr>
              <w:rFonts w:ascii="Cambria Math" w:hAnsi="Cambria Math"/>
            </w:rPr>
            <m:t>=</m:t>
          </m:r>
          <m:sSup>
            <m:sSupPr>
              <m:ctrlPr>
                <w:rPr>
                  <w:rFonts w:ascii="Cambria Math" w:hAnsi="Cambria Math"/>
                </w:rPr>
              </m:ctrlPr>
            </m:sSupPr>
            <m:e>
              <m:r>
                <m:rPr>
                  <m:sty m:val="p"/>
                </m:rPr>
                <w:rPr>
                  <w:rFonts w:ascii="Cambria Math" w:hAnsi="Cambria Math"/>
                </w:rPr>
                <m:t>∇</m:t>
              </m:r>
            </m:e>
            <m:sup>
              <m:r>
                <w:rPr>
                  <w:rFonts w:ascii="Cambria Math" w:hAnsi="Cambria Math"/>
                </w:rPr>
                <m:t>2</m:t>
              </m:r>
            </m:sup>
          </m:sSup>
          <m:r>
            <w:rPr>
              <w:rFonts w:ascii="Cambria Math" w:hAnsi="Cambria Math"/>
            </w:rPr>
            <m:t xml:space="preserve">DC-Q  ,                         </m:t>
          </m:r>
          <m:d>
            <m:dPr>
              <m:ctrlPr>
                <w:rPr>
                  <w:rFonts w:ascii="Cambria Math" w:hAnsi="Cambria Math"/>
                  <w:i/>
                </w:rPr>
              </m:ctrlPr>
            </m:dPr>
            <m:e>
              <m:r>
                <w:rPr>
                  <w:rFonts w:ascii="Cambria Math" w:hAnsi="Cambria Math"/>
                </w:rPr>
                <m:t>1</m:t>
              </m:r>
            </m:e>
          </m:d>
        </m:oMath>
      </m:oMathPara>
    </w:p>
    <w:p w14:paraId="3E464E07" w14:textId="77777777" w:rsidR="00D716EA" w:rsidRDefault="00D716EA" w:rsidP="00D716EA">
      <w:pPr>
        <w:spacing w:line="360" w:lineRule="auto"/>
      </w:pPr>
      <w:r>
        <w:t xml:space="preserve">where </w:t>
      </w:r>
      <m:oMath>
        <m:r>
          <w:rPr>
            <w:rFonts w:ascii="Cambria Math" w:hAnsi="Cambria Math"/>
          </w:rPr>
          <m:t>C</m:t>
        </m:r>
      </m:oMath>
      <w:r>
        <w:t xml:space="preserve"> is the oxygen concentration, </w:t>
      </w:r>
      <m:oMath>
        <m:r>
          <w:rPr>
            <w:rFonts w:ascii="Cambria Math" w:hAnsi="Cambria Math"/>
          </w:rPr>
          <m:t>D</m:t>
        </m:r>
      </m:oMath>
      <w:r>
        <w:t xml:space="preserve"> is the oxygen diffusion coefficient, and </w:t>
      </w:r>
      <m:oMath>
        <m:r>
          <w:rPr>
            <w:rFonts w:ascii="Cambria Math" w:hAnsi="Cambria Math"/>
          </w:rPr>
          <m:t>Q</m:t>
        </m:r>
      </m:oMath>
      <w:r>
        <w:tab/>
        <w:t>is the potential respiration rate per unit volume. Assuming planar geometry, this can be written in non-dimensional form by making the following substitutions:</w:t>
      </w:r>
    </w:p>
    <w:p w14:paraId="2A2C2C0D" w14:textId="77777777" w:rsidR="00D716EA" w:rsidRPr="007C558F" w:rsidRDefault="00D716EA" w:rsidP="00D716EA">
      <w:pPr>
        <w:spacing w:line="360" w:lineRule="auto"/>
      </w:pPr>
      <m:oMathPara>
        <m:oMath>
          <m:r>
            <w:rPr>
              <w:rFonts w:ascii="Cambria Math" w:hAnsi="Cambria Math"/>
            </w:rPr>
            <m:t>γ=</m:t>
          </m:r>
          <m:f>
            <m:fPr>
              <m:ctrlPr>
                <w:rPr>
                  <w:rFonts w:ascii="Cambria Math" w:hAnsi="Cambria Math"/>
                  <w:i/>
                </w:rPr>
              </m:ctrlPr>
            </m:fPr>
            <m:num>
              <m:r>
                <w:rPr>
                  <w:rFonts w:ascii="Cambria Math" w:hAnsi="Cambria Math"/>
                </w:rPr>
                <m:t>C</m:t>
              </m:r>
            </m:num>
            <m:den>
              <m:sSub>
                <m:sSubPr>
                  <m:ctrlPr>
                    <w:rPr>
                      <w:rFonts w:ascii="Cambria Math" w:hAnsi="Cambria Math"/>
                      <w:i/>
                    </w:rPr>
                  </m:ctrlPr>
                </m:sSubPr>
                <m:e>
                  <m:r>
                    <w:rPr>
                      <w:rFonts w:ascii="Cambria Math" w:hAnsi="Cambria Math"/>
                    </w:rPr>
                    <m:t>C</m:t>
                  </m:r>
                </m:e>
                <m:sub>
                  <m:r>
                    <w:rPr>
                      <w:rFonts w:ascii="Cambria Math" w:hAnsi="Cambria Math"/>
                    </w:rPr>
                    <m:t>a</m:t>
                  </m:r>
                </m:sub>
              </m:sSub>
            </m:den>
          </m:f>
          <m:r>
            <w:rPr>
              <w:rFonts w:ascii="Cambria Math" w:hAnsi="Cambria Math"/>
            </w:rPr>
            <m:t>;   τ=</m:t>
          </m:r>
          <m:f>
            <m:fPr>
              <m:ctrlPr>
                <w:rPr>
                  <w:rFonts w:ascii="Cambria Math" w:hAnsi="Cambria Math"/>
                  <w:i/>
                </w:rPr>
              </m:ctrlPr>
            </m:fPr>
            <m:num>
              <m:r>
                <w:rPr>
                  <w:rFonts w:ascii="Cambria Math" w:hAnsi="Cambria Math"/>
                </w:rPr>
                <m:t>t</m:t>
              </m:r>
            </m:num>
            <m:den>
              <m:sSub>
                <m:sSubPr>
                  <m:ctrlPr>
                    <w:rPr>
                      <w:rFonts w:ascii="Cambria Math" w:hAnsi="Cambria Math"/>
                      <w:i/>
                    </w:rPr>
                  </m:ctrlPr>
                </m:sSubPr>
                <m:e>
                  <m:r>
                    <w:rPr>
                      <w:rFonts w:ascii="Cambria Math" w:hAnsi="Cambria Math"/>
                    </w:rPr>
                    <m:t>t</m:t>
                  </m:r>
                </m:e>
                <m:sub>
                  <m:r>
                    <w:rPr>
                      <w:rFonts w:ascii="Cambria Math" w:hAnsi="Cambria Math"/>
                    </w:rPr>
                    <m:t>0</m:t>
                  </m:r>
                </m:sub>
              </m:sSub>
            </m:den>
          </m:f>
          <m:r>
            <w:rPr>
              <w:rFonts w:ascii="Cambria Math" w:hAnsi="Cambria Math"/>
            </w:rPr>
            <m:t>;   χ=</m:t>
          </m:r>
          <m:f>
            <m:fPr>
              <m:ctrlPr>
                <w:rPr>
                  <w:rFonts w:ascii="Cambria Math" w:hAnsi="Cambria Math"/>
                  <w:i/>
                </w:rPr>
              </m:ctrlPr>
            </m:fPr>
            <m:num>
              <m:r>
                <w:rPr>
                  <w:rFonts w:ascii="Cambria Math" w:hAnsi="Cambria Math"/>
                </w:rPr>
                <m:t>x</m:t>
              </m:r>
            </m:num>
            <m:den>
              <m:r>
                <w:rPr>
                  <w:rFonts w:ascii="Cambria Math" w:hAnsi="Cambria Math"/>
                </w:rPr>
                <m:t>L</m:t>
              </m:r>
            </m:den>
          </m:f>
          <m:r>
            <w:rPr>
              <w:rFonts w:ascii="Cambria Math" w:hAnsi="Cambria Math"/>
            </w:rPr>
            <m:t xml:space="preserve"> ; κ=</m:t>
          </m:r>
          <m:f>
            <m:fPr>
              <m:ctrlPr>
                <w:rPr>
                  <w:rFonts w:ascii="Cambria Math" w:hAnsi="Cambria Math"/>
                  <w:i/>
                </w:rPr>
              </m:ctrlPr>
            </m:fPr>
            <m:num>
              <m:r>
                <w:rPr>
                  <w:rFonts w:ascii="Cambria Math" w:hAnsi="Cambria Math"/>
                </w:rPr>
                <m:t>Q</m:t>
              </m:r>
              <m:sSub>
                <m:sSubPr>
                  <m:ctrlPr>
                    <w:rPr>
                      <w:rFonts w:ascii="Cambria Math" w:hAnsi="Cambria Math"/>
                      <w:i/>
                    </w:rPr>
                  </m:ctrlPr>
                </m:sSubPr>
                <m:e>
                  <m:r>
                    <w:rPr>
                      <w:rFonts w:ascii="Cambria Math" w:hAnsi="Cambria Math"/>
                    </w:rPr>
                    <m:t>t</m:t>
                  </m:r>
                </m:e>
                <m:sub>
                  <m:r>
                    <w:rPr>
                      <w:rFonts w:ascii="Cambria Math" w:hAnsi="Cambria Math"/>
                    </w:rPr>
                    <m:t>0</m:t>
                  </m:r>
                </m:sub>
              </m:sSub>
            </m:num>
            <m:den>
              <m:sSub>
                <m:sSubPr>
                  <m:ctrlPr>
                    <w:rPr>
                      <w:rFonts w:ascii="Cambria Math" w:hAnsi="Cambria Math"/>
                      <w:i/>
                    </w:rPr>
                  </m:ctrlPr>
                </m:sSubPr>
                <m:e>
                  <m:r>
                    <w:rPr>
                      <w:rFonts w:ascii="Cambria Math" w:hAnsi="Cambria Math"/>
                    </w:rPr>
                    <m:t>C</m:t>
                  </m:r>
                </m:e>
                <m:sub>
                  <m:r>
                    <w:rPr>
                      <w:rFonts w:ascii="Cambria Math" w:hAnsi="Cambria Math"/>
                    </w:rPr>
                    <m:t>a</m:t>
                  </m:r>
                </m:sub>
              </m:sSub>
            </m:den>
          </m:f>
          <m:r>
            <w:rPr>
              <w:rFonts w:ascii="Cambria Math" w:hAnsi="Cambria Math"/>
            </w:rPr>
            <m:t xml:space="preserve"> ; </m:t>
          </m:r>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L</m:t>
                  </m:r>
                </m:e>
                <m:sup>
                  <m:r>
                    <w:rPr>
                      <w:rFonts w:ascii="Cambria Math" w:hAnsi="Cambria Math"/>
                    </w:rPr>
                    <m:t>2</m:t>
                  </m:r>
                </m:sup>
              </m:sSup>
            </m:num>
            <m:den>
              <m:r>
                <w:rPr>
                  <w:rFonts w:ascii="Cambria Math" w:hAnsi="Cambria Math"/>
                </w:rPr>
                <m:t>D</m:t>
              </m:r>
            </m:den>
          </m:f>
        </m:oMath>
      </m:oMathPara>
    </w:p>
    <w:p w14:paraId="7BA2A977" w14:textId="77777777" w:rsidR="00D716EA" w:rsidRDefault="00D716EA" w:rsidP="00D716EA">
      <w:pPr>
        <w:spacing w:line="360" w:lineRule="auto"/>
      </w:pPr>
      <w:r>
        <w:t xml:space="preserve">where </w:t>
      </w:r>
      <m:oMath>
        <m:sSub>
          <m:sSubPr>
            <m:ctrlPr>
              <w:rPr>
                <w:rFonts w:ascii="Cambria Math" w:hAnsi="Cambria Math"/>
                <w:i/>
              </w:rPr>
            </m:ctrlPr>
          </m:sSubPr>
          <m:e>
            <m:r>
              <w:rPr>
                <w:rFonts w:ascii="Cambria Math" w:hAnsi="Cambria Math"/>
              </w:rPr>
              <m:t>C</m:t>
            </m:r>
          </m:e>
          <m:sub>
            <m:r>
              <w:rPr>
                <w:rFonts w:ascii="Cambria Math" w:hAnsi="Cambria Math"/>
              </w:rPr>
              <m:t>a</m:t>
            </m:r>
          </m:sub>
        </m:sSub>
      </m:oMath>
      <w:r>
        <w:t xml:space="preserve"> is the atmospheric oxygen concentration, </w:t>
      </w:r>
      <m:oMath>
        <m:r>
          <w:rPr>
            <w:rFonts w:ascii="Cambria Math" w:hAnsi="Cambria Math"/>
          </w:rPr>
          <m:t>L</m:t>
        </m:r>
      </m:oMath>
      <w:r>
        <w:t xml:space="preserve"> is the depth to which oxygen penetrates the soil profile, and </w:t>
      </w:r>
      <m:oMath>
        <m:sSub>
          <m:sSubPr>
            <m:ctrlPr>
              <w:rPr>
                <w:rFonts w:ascii="Cambria Math" w:hAnsi="Cambria Math"/>
                <w:i/>
              </w:rPr>
            </m:ctrlPr>
          </m:sSubPr>
          <m:e>
            <m:r>
              <w:rPr>
                <w:rFonts w:ascii="Cambria Math" w:hAnsi="Cambria Math"/>
              </w:rPr>
              <m:t>t</m:t>
            </m:r>
          </m:e>
          <m:sub>
            <m:r>
              <w:rPr>
                <w:rFonts w:ascii="Cambria Math" w:hAnsi="Cambria Math"/>
              </w:rPr>
              <m:t>0</m:t>
            </m:r>
          </m:sub>
        </m:sSub>
        <m:r>
          <w:rPr>
            <w:rFonts w:ascii="Cambria Math" w:hAnsi="Cambria Math"/>
          </w:rPr>
          <m:t>=</m:t>
        </m:r>
        <m:f>
          <m:fPr>
            <m:type m:val="lin"/>
            <m:ctrlPr>
              <w:rPr>
                <w:rFonts w:ascii="Cambria Math" w:hAnsi="Cambria Math"/>
                <w:i/>
              </w:rPr>
            </m:ctrlPr>
          </m:fPr>
          <m:num>
            <m:sSup>
              <m:sSupPr>
                <m:ctrlPr>
                  <w:rPr>
                    <w:rFonts w:ascii="Cambria Math" w:hAnsi="Cambria Math"/>
                    <w:i/>
                  </w:rPr>
                </m:ctrlPr>
              </m:sSupPr>
              <m:e>
                <m:r>
                  <w:rPr>
                    <w:rFonts w:ascii="Cambria Math" w:hAnsi="Cambria Math"/>
                  </w:rPr>
                  <m:t>L</m:t>
                </m:r>
              </m:e>
              <m:sup>
                <m:r>
                  <w:rPr>
                    <w:rFonts w:ascii="Cambria Math" w:hAnsi="Cambria Math"/>
                  </w:rPr>
                  <m:t>2</m:t>
                </m:r>
              </m:sup>
            </m:sSup>
          </m:num>
          <m:den>
            <m:r>
              <w:rPr>
                <w:rFonts w:ascii="Cambria Math" w:hAnsi="Cambria Math"/>
              </w:rPr>
              <m:t>D</m:t>
            </m:r>
          </m:den>
        </m:f>
      </m:oMath>
      <w:r>
        <w:t>. The non-dimensional form of equation 1 is then,</w:t>
      </w:r>
    </w:p>
    <w:p w14:paraId="2A4C23A8" w14:textId="77777777" w:rsidR="00D716EA" w:rsidRPr="00107C4B" w:rsidRDefault="00000000" w:rsidP="00D716EA">
      <w:pPr>
        <w:spacing w:line="360" w:lineRule="auto"/>
      </w:pPr>
      <m:oMathPara>
        <m:oMath>
          <m:f>
            <m:fPr>
              <m:ctrlPr>
                <w:rPr>
                  <w:rFonts w:ascii="Cambria Math" w:hAnsi="Cambria Math"/>
                  <w:i/>
                </w:rPr>
              </m:ctrlPr>
            </m:fPr>
            <m:num>
              <m:r>
                <w:rPr>
                  <w:rFonts w:ascii="Cambria Math" w:hAnsi="Cambria Math"/>
                </w:rPr>
                <m:t>∂γ</m:t>
              </m:r>
            </m:num>
            <m:den>
              <m:r>
                <w:rPr>
                  <w:rFonts w:ascii="Cambria Math" w:hAnsi="Cambria Math"/>
                </w:rPr>
                <m:t>∂τ</m:t>
              </m:r>
            </m:den>
          </m:f>
          <m:r>
            <w:rPr>
              <w:rFonts w:ascii="Cambria Math" w:hAnsi="Cambria Math"/>
            </w:rPr>
            <m:t>=</m:t>
          </m:r>
          <m:sSup>
            <m:sSupPr>
              <m:ctrlPr>
                <w:rPr>
                  <w:rFonts w:ascii="Cambria Math" w:hAnsi="Cambria Math"/>
                </w:rPr>
              </m:ctrlPr>
            </m:sSupPr>
            <m:e>
              <m:r>
                <m:rPr>
                  <m:sty m:val="p"/>
                </m:rPr>
                <w:rPr>
                  <w:rFonts w:ascii="Cambria Math" w:hAnsi="Cambria Math"/>
                </w:rPr>
                <m:t>∇</m:t>
              </m:r>
            </m:e>
            <m:sup>
              <m:r>
                <w:rPr>
                  <w:rFonts w:ascii="Cambria Math" w:hAnsi="Cambria Math"/>
                </w:rPr>
                <m:t>2</m:t>
              </m:r>
            </m:sup>
          </m:sSup>
          <m:r>
            <w:rPr>
              <w:rFonts w:ascii="Cambria Math" w:hAnsi="Cambria Math"/>
            </w:rPr>
            <m:t xml:space="preserve">Dγ-κ ,                       </m:t>
          </m:r>
          <m:d>
            <m:dPr>
              <m:ctrlPr>
                <w:rPr>
                  <w:rFonts w:ascii="Cambria Math" w:hAnsi="Cambria Math"/>
                  <w:i/>
                </w:rPr>
              </m:ctrlPr>
            </m:dPr>
            <m:e>
              <m:r>
                <w:rPr>
                  <w:rFonts w:ascii="Cambria Math" w:hAnsi="Cambria Math"/>
                </w:rPr>
                <m:t>2</m:t>
              </m:r>
            </m:e>
          </m:d>
        </m:oMath>
      </m:oMathPara>
    </w:p>
    <w:p w14:paraId="4600AD63" w14:textId="77777777" w:rsidR="00D716EA" w:rsidRDefault="00D716EA" w:rsidP="00D716EA">
      <w:pPr>
        <w:spacing w:line="360" w:lineRule="auto"/>
      </w:pPr>
      <w:r>
        <w:t>This has the following boundary conditions at the steady state,</w:t>
      </w:r>
    </w:p>
    <w:p w14:paraId="23088223" w14:textId="77777777" w:rsidR="00D716EA" w:rsidRPr="00216B4A" w:rsidRDefault="00D716EA" w:rsidP="00D716EA">
      <w:pPr>
        <w:spacing w:line="360" w:lineRule="auto"/>
      </w:pPr>
      <m:oMathPara>
        <m:oMath>
          <m:r>
            <w:rPr>
              <w:rFonts w:ascii="Cambria Math" w:hAnsi="Cambria Math"/>
            </w:rPr>
            <m:t>χ=0 ⇒ γ=1</m:t>
          </m:r>
        </m:oMath>
      </m:oMathPara>
    </w:p>
    <w:p w14:paraId="18754405" w14:textId="77777777" w:rsidR="00D716EA" w:rsidRDefault="00D716EA" w:rsidP="00D716EA">
      <w:pPr>
        <w:spacing w:line="360" w:lineRule="auto"/>
      </w:pPr>
      <m:oMathPara>
        <m:oMath>
          <m:r>
            <w:rPr>
              <w:rFonts w:ascii="Cambria Math" w:hAnsi="Cambria Math"/>
            </w:rPr>
            <m:t xml:space="preserve">χ=1 ⇒ γ=0  </m:t>
          </m:r>
          <m:r>
            <m:rPr>
              <m:nor/>
            </m:rPr>
            <w:rPr>
              <w:rFonts w:ascii="Cambria Math" w:hAnsi="Cambria Math"/>
            </w:rPr>
            <m:t>and</m:t>
          </m:r>
          <m:r>
            <w:rPr>
              <w:rFonts w:ascii="Cambria Math" w:hAnsi="Cambria Math"/>
            </w:rPr>
            <m:t xml:space="preserve"> </m:t>
          </m:r>
          <m:f>
            <m:fPr>
              <m:ctrlPr>
                <w:rPr>
                  <w:rFonts w:ascii="Cambria Math" w:hAnsi="Cambria Math"/>
                  <w:i/>
                </w:rPr>
              </m:ctrlPr>
            </m:fPr>
            <m:num>
              <m:r>
                <w:rPr>
                  <w:rFonts w:ascii="Cambria Math" w:hAnsi="Cambria Math"/>
                </w:rPr>
                <m:t>∂γ</m:t>
              </m:r>
            </m:num>
            <m:den>
              <m:r>
                <w:rPr>
                  <w:rFonts w:ascii="Cambria Math" w:hAnsi="Cambria Math"/>
                </w:rPr>
                <m:t>∂x</m:t>
              </m:r>
            </m:den>
          </m:f>
          <m:r>
            <w:rPr>
              <w:rFonts w:ascii="Cambria Math" w:hAnsi="Cambria Math"/>
            </w:rPr>
            <m:t>=0</m:t>
          </m:r>
        </m:oMath>
      </m:oMathPara>
    </w:p>
    <w:p w14:paraId="65BF3C58" w14:textId="77777777" w:rsidR="00D716EA" w:rsidRDefault="00D716EA" w:rsidP="00D716EA">
      <w:pPr>
        <w:spacing w:line="360" w:lineRule="auto"/>
      </w:pPr>
      <w:r>
        <w:t>Leading to the solution,</w:t>
      </w:r>
    </w:p>
    <w:p w14:paraId="747AF593" w14:textId="77777777" w:rsidR="00D716EA" w:rsidRDefault="00D716EA" w:rsidP="00D716EA">
      <w:pPr>
        <w:spacing w:line="360" w:lineRule="auto"/>
      </w:pPr>
      <m:oMathPara>
        <m:oMath>
          <m:r>
            <w:rPr>
              <w:rFonts w:ascii="Cambria Math" w:hAnsi="Cambria Math"/>
            </w:rPr>
            <m:t>γ</m:t>
          </m:r>
          <m:d>
            <m:dPr>
              <m:ctrlPr>
                <w:rPr>
                  <w:rFonts w:ascii="Cambria Math" w:hAnsi="Cambria Math"/>
                  <w:i/>
                </w:rPr>
              </m:ctrlPr>
            </m:dPr>
            <m:e>
              <m:r>
                <w:rPr>
                  <w:rFonts w:ascii="Cambria Math" w:hAnsi="Cambria Math"/>
                </w:rPr>
                <m:t>χ</m:t>
              </m:r>
            </m:e>
          </m:d>
          <m:r>
            <w:rPr>
              <w:rFonts w:ascii="Cambria Math" w:hAnsi="Cambria Math"/>
            </w:rPr>
            <m:t>=</m:t>
          </m:r>
          <m:d>
            <m:dPr>
              <m:begChr m:val="{"/>
              <m:endChr m:val=""/>
              <m:ctrlPr>
                <w:rPr>
                  <w:rFonts w:ascii="Cambria Math" w:hAnsi="Cambria Math"/>
                  <w:i/>
                </w:rPr>
              </m:ctrlPr>
            </m:dPr>
            <m:e>
              <m:eqArr>
                <m:eqArrPr>
                  <m:ctrlPr>
                    <w:rPr>
                      <w:rFonts w:ascii="Cambria Math" w:hAnsi="Cambria Math"/>
                      <w:i/>
                    </w:rPr>
                  </m:ctrlPr>
                </m:eqArrPr>
                <m:e>
                  <m:sSup>
                    <m:sSupPr>
                      <m:ctrlPr>
                        <w:rPr>
                          <w:rFonts w:ascii="Cambria Math" w:hAnsi="Cambria Math"/>
                          <w:i/>
                        </w:rPr>
                      </m:ctrlPr>
                    </m:sSupPr>
                    <m:e>
                      <m:d>
                        <m:dPr>
                          <m:ctrlPr>
                            <w:rPr>
                              <w:rFonts w:ascii="Cambria Math" w:hAnsi="Cambria Math"/>
                              <w:i/>
                            </w:rPr>
                          </m:ctrlPr>
                        </m:dPr>
                        <m:e>
                          <m:r>
                            <w:rPr>
                              <w:rFonts w:ascii="Cambria Math" w:hAnsi="Cambria Math"/>
                            </w:rPr>
                            <m:t>1-χ</m:t>
                          </m:r>
                        </m:e>
                      </m:d>
                    </m:e>
                    <m:sup>
                      <m:r>
                        <w:rPr>
                          <w:rFonts w:ascii="Cambria Math" w:hAnsi="Cambria Math"/>
                        </w:rPr>
                        <m:t>2</m:t>
                      </m:r>
                    </m:sup>
                  </m:sSup>
                  <m:r>
                    <w:rPr>
                      <w:rFonts w:ascii="Cambria Math" w:hAnsi="Cambria Math"/>
                    </w:rPr>
                    <m:t>,  &amp;χ≤1                (3)</m:t>
                  </m:r>
                </m:e>
                <m:e>
                  <m:r>
                    <w:rPr>
                      <w:rFonts w:ascii="Cambria Math" w:hAnsi="Cambria Math"/>
                    </w:rPr>
                    <m:t>0,  &amp;χ&gt;1,</m:t>
                  </m:r>
                </m:e>
              </m:eqArr>
            </m:e>
          </m:d>
        </m:oMath>
      </m:oMathPara>
    </w:p>
    <w:p w14:paraId="2C2C010A" w14:textId="77777777" w:rsidR="00D716EA" w:rsidRDefault="00D716EA" w:rsidP="00D716EA">
      <w:pPr>
        <w:spacing w:line="360" w:lineRule="auto"/>
      </w:pPr>
      <w:r>
        <w:t>and</w:t>
      </w:r>
    </w:p>
    <w:p w14:paraId="2F30A10B" w14:textId="77777777" w:rsidR="00D716EA" w:rsidRDefault="00D716EA" w:rsidP="00D716EA">
      <w:pPr>
        <w:spacing w:line="360" w:lineRule="auto"/>
      </w:pPr>
      <m:oMathPara>
        <m:oMath>
          <m:r>
            <w:rPr>
              <w:rFonts w:ascii="Cambria Math" w:hAnsi="Cambria Math"/>
            </w:rPr>
            <m:t>κ=2                                    (4)</m:t>
          </m:r>
        </m:oMath>
      </m:oMathPara>
    </w:p>
    <w:p w14:paraId="779EF69D" w14:textId="77777777" w:rsidR="00D716EA" w:rsidRDefault="00D716EA" w:rsidP="00D716EA">
      <w:pPr>
        <w:spacing w:line="360" w:lineRule="auto"/>
      </w:pPr>
    </w:p>
    <w:p w14:paraId="2867DA26" w14:textId="77777777" w:rsidR="00D716EA" w:rsidRDefault="00D716EA" w:rsidP="00D716EA">
      <w:pPr>
        <w:spacing w:line="360" w:lineRule="auto"/>
      </w:pPr>
      <w:r>
        <w:lastRenderedPageBreak/>
        <w:t xml:space="preserve">Returning to the dimensional form and using equation 4, the length scale, </w:t>
      </w:r>
      <m:oMath>
        <m:r>
          <w:rPr>
            <w:rFonts w:ascii="Cambria Math" w:hAnsi="Cambria Math"/>
          </w:rPr>
          <m:t>L</m:t>
        </m:r>
      </m:oMath>
      <w:r>
        <w:t>, can be expressed in the following form,</w:t>
      </w:r>
    </w:p>
    <w:p w14:paraId="3328BA0C" w14:textId="77777777" w:rsidR="00D716EA" w:rsidRDefault="00D716EA" w:rsidP="00D716EA">
      <w:pPr>
        <w:spacing w:line="360" w:lineRule="auto"/>
      </w:pPr>
      <m:oMathPara>
        <m:oMath>
          <m:r>
            <w:rPr>
              <w:rFonts w:ascii="Cambria Math" w:hAnsi="Cambria Math"/>
            </w:rPr>
            <m:t>L=</m:t>
          </m:r>
          <m:rad>
            <m:radPr>
              <m:degHide m:val="1"/>
              <m:ctrlPr>
                <w:rPr>
                  <w:rFonts w:ascii="Cambria Math" w:hAnsi="Cambria Math"/>
                  <w:i/>
                </w:rPr>
              </m:ctrlPr>
            </m:radPr>
            <m:deg/>
            <m:e>
              <m:f>
                <m:fPr>
                  <m:ctrlPr>
                    <w:rPr>
                      <w:rFonts w:ascii="Cambria Math" w:hAnsi="Cambria Math"/>
                      <w:i/>
                    </w:rPr>
                  </m:ctrlPr>
                </m:fPr>
                <m:num>
                  <m:r>
                    <w:rPr>
                      <w:rFonts w:ascii="Cambria Math" w:hAnsi="Cambria Math"/>
                    </w:rPr>
                    <m:t>2D</m:t>
                  </m:r>
                  <m:sSub>
                    <m:sSubPr>
                      <m:ctrlPr>
                        <w:rPr>
                          <w:rFonts w:ascii="Cambria Math" w:hAnsi="Cambria Math"/>
                          <w:i/>
                        </w:rPr>
                      </m:ctrlPr>
                    </m:sSubPr>
                    <m:e>
                      <m:r>
                        <w:rPr>
                          <w:rFonts w:ascii="Cambria Math" w:hAnsi="Cambria Math"/>
                        </w:rPr>
                        <m:t>C</m:t>
                      </m:r>
                    </m:e>
                    <m:sub>
                      <m:r>
                        <w:rPr>
                          <w:rFonts w:ascii="Cambria Math" w:hAnsi="Cambria Math"/>
                        </w:rPr>
                        <m:t>a</m:t>
                      </m:r>
                    </m:sub>
                  </m:sSub>
                </m:num>
                <m:den>
                  <m:r>
                    <w:rPr>
                      <w:rFonts w:ascii="Cambria Math" w:hAnsi="Cambria Math"/>
                    </w:rPr>
                    <m:t>Q</m:t>
                  </m:r>
                </m:den>
              </m:f>
            </m:e>
          </m:rad>
          <m:r>
            <w:rPr>
              <w:rFonts w:ascii="Cambria Math" w:hAnsi="Cambria Math"/>
            </w:rPr>
            <m:t xml:space="preserve">                    (5)</m:t>
          </m:r>
        </m:oMath>
      </m:oMathPara>
    </w:p>
    <w:p w14:paraId="3C763AD2" w14:textId="77777777" w:rsidR="00D716EA" w:rsidRDefault="00D716EA" w:rsidP="00D716EA">
      <w:pPr>
        <w:spacing w:line="360" w:lineRule="auto"/>
      </w:pPr>
    </w:p>
    <w:p w14:paraId="1EBB69AD" w14:textId="77777777" w:rsidR="00D716EA" w:rsidRDefault="00D716EA" w:rsidP="00D716EA">
      <w:pPr>
        <w:spacing w:line="360" w:lineRule="auto"/>
      </w:pPr>
      <w:r>
        <w:t xml:space="preserve">Because we have assumed respiration is a zeroth order function of oxygen, the respiration per unit soil surface area, </w:t>
      </w:r>
      <m:oMath>
        <m:sSub>
          <m:sSubPr>
            <m:ctrlPr>
              <w:rPr>
                <w:rFonts w:ascii="Cambria Math" w:hAnsi="Cambria Math"/>
                <w:i/>
              </w:rPr>
            </m:ctrlPr>
          </m:sSubPr>
          <m:e>
            <m:r>
              <w:rPr>
                <w:rFonts w:ascii="Cambria Math" w:hAnsi="Cambria Math"/>
              </w:rPr>
              <m:t>r</m:t>
            </m:r>
          </m:e>
          <m:sub>
            <m:r>
              <w:rPr>
                <w:rFonts w:ascii="Cambria Math" w:hAnsi="Cambria Math"/>
              </w:rPr>
              <m:t>n</m:t>
            </m:r>
          </m:sub>
        </m:sSub>
      </m:oMath>
      <w:r>
        <w:t xml:space="preserve">, is given by the product </w:t>
      </w:r>
      <m:oMath>
        <m:r>
          <w:rPr>
            <w:rFonts w:ascii="Cambria Math" w:hAnsi="Cambria Math"/>
          </w:rPr>
          <m:t>QL</m:t>
        </m:r>
      </m:oMath>
      <w:r>
        <w:t>. Therefore, using equation 5, we can express the soil respiration rate as,</w:t>
      </w:r>
    </w:p>
    <w:p w14:paraId="16D1CE18" w14:textId="77777777" w:rsidR="00D716EA" w:rsidRPr="00216B4A" w:rsidRDefault="00000000" w:rsidP="00D716EA">
      <w:pPr>
        <w:spacing w:line="360" w:lineRule="auto"/>
      </w:pPr>
      <m:oMathPara>
        <m:oMath>
          <m:sSub>
            <m:sSubPr>
              <m:ctrlPr>
                <w:rPr>
                  <w:rFonts w:ascii="Cambria Math" w:hAnsi="Cambria Math"/>
                  <w:i/>
                </w:rPr>
              </m:ctrlPr>
            </m:sSubPr>
            <m:e>
              <m:r>
                <w:rPr>
                  <w:rFonts w:ascii="Cambria Math" w:hAnsi="Cambria Math"/>
                </w:rPr>
                <m:t>r</m:t>
              </m:r>
            </m:e>
            <m:sub>
              <m:r>
                <w:rPr>
                  <w:rFonts w:ascii="Cambria Math" w:hAnsi="Cambria Math"/>
                </w:rPr>
                <m:t>n</m:t>
              </m:r>
            </m:sub>
          </m:sSub>
          <m:r>
            <w:rPr>
              <w:rFonts w:ascii="Cambria Math" w:hAnsi="Cambria Math"/>
            </w:rPr>
            <m:t>=</m:t>
          </m:r>
          <m:rad>
            <m:radPr>
              <m:degHide m:val="1"/>
              <m:ctrlPr>
                <w:rPr>
                  <w:rFonts w:ascii="Cambria Math" w:hAnsi="Cambria Math"/>
                  <w:i/>
                </w:rPr>
              </m:ctrlPr>
            </m:radPr>
            <m:deg/>
            <m:e>
              <m:r>
                <w:rPr>
                  <w:rFonts w:ascii="Cambria Math" w:hAnsi="Cambria Math"/>
                </w:rPr>
                <m:t>2QD</m:t>
              </m:r>
              <m:sSub>
                <m:sSubPr>
                  <m:ctrlPr>
                    <w:rPr>
                      <w:rFonts w:ascii="Cambria Math" w:hAnsi="Cambria Math"/>
                      <w:i/>
                    </w:rPr>
                  </m:ctrlPr>
                </m:sSubPr>
                <m:e>
                  <m:r>
                    <w:rPr>
                      <w:rFonts w:ascii="Cambria Math" w:hAnsi="Cambria Math"/>
                    </w:rPr>
                    <m:t>C</m:t>
                  </m:r>
                </m:e>
                <m:sub>
                  <m:r>
                    <w:rPr>
                      <w:rFonts w:ascii="Cambria Math" w:hAnsi="Cambria Math"/>
                    </w:rPr>
                    <m:t>a</m:t>
                  </m:r>
                </m:sub>
              </m:sSub>
            </m:e>
          </m:rad>
          <m:r>
            <w:rPr>
              <w:rFonts w:ascii="Cambria Math" w:hAnsi="Cambria Math"/>
            </w:rPr>
            <m:t xml:space="preserve">                                      (6)</m:t>
          </m:r>
        </m:oMath>
      </m:oMathPara>
    </w:p>
    <w:p w14:paraId="09DC23B2" w14:textId="1073D9DF" w:rsidR="00D716EA" w:rsidRDefault="00D716EA" w:rsidP="00D716EA">
      <w:pPr>
        <w:spacing w:line="360" w:lineRule="auto"/>
      </w:pPr>
      <w:r>
        <w:t>To explore the consequences of self-organised critical behaviour, we first assume that the diffusion rate is a power-law function of porosity</w:t>
      </w:r>
      <w:r w:rsidR="00D207C6">
        <w:fldChar w:fldCharType="begin"/>
      </w:r>
      <w:r w:rsidR="00EF2312">
        <w:instrText xml:space="preserve"> ADDIN ZOTERO_ITEM CSL_CITATION {"citationID":"9ab8fUPe","properties":{"formattedCitation":"\\super 9\\nosupersub{}","plainCitation":"9","noteIndex":0},"citationItems":[{"id":217,"uris":["http://zotero.org/users/10291311/items/YDRUEW4L"],"itemData":{"id":217,"type":"article-journal","abstract":"A key finding in soil carbon studies over the past decade is that soil organic carbon (SOC) stabilization is not controlled by its molecular complexity or adsorption to clay, but by its physicochemical protection including occlusion in aggregates and sorption-precipitation with organo-mineral associations. The organo-mineral complexes and the adsorbed SOC can be dissolved microbially under anoxic conditions, which is an important pathway in carbon cycle but has been overlooked by most carbon models. As organo-mineral associations are reported to form in aerobic conditions and can be lost under anaerobic conditions, there should be a positive correlation between SOC and ability of the aggregates to transport dissolved oxygen. We develop a simulation model to test this using soil structural data from two long-term experiments which naturally created a SOC gradient: One is a winter wheat experiment established in 1843 to compare the effects of different fertilizations on the yield of winter wheat and the other one is a ley-arable experiment established in 1948 to investigate the consequence of cropping system changes for ecological yield. Aggregates from different treatments on the two experiments were scanned using X-ray Computed Tomography to simulate oxygen transport using a pore-scale model. We compared porosity and diffusion coefficient of all aggregates and linked them to SOC measured from the two experiments. The agronomic practice changes which occurred 67 or 172 years ago substantially reshaped the intra-aggregate structure (&lt;2 mm), and the accrual of SOC is positively correlated with diffusion coefficient of the aggregates to transport oxygen. However, the diffusion coefficient increases with SOC asymptotically, plateauing when SOC exceeds a threshold value. We also found the diffusion coefficient of the aggregates in chemically fertilized soils trended with their porosity approximately in the same way, deviating from those for other non-cropped treatments or fertilized with farmyard manure.","container-title":"Geoderma","DOI":"10.1016/j.geoderma.2021.115370","ISSN":"0016-7061","journalAbbreviation":"Geoderma","language":"en","page":"115370","source":"ScienceDirect","title":"Relationship between soil carbon sequestration and the ability of soil aggregates to transport dissolved oxygen","volume":"403","author":[{"family":"Zhang","given":"Xiaoxian"},{"family":"Gregory","given":"Andrew S."},{"family":"Whalley","given":"W. Richard"},{"family":"Coleman","given":"Kevin"},{"family":"Neal","given":"Andrew L."},{"family":"Bacq-Labreuil","given":"Aurelie"},{"family":"Mooney","given":"Sacha J."},{"family":"Crawford","given":"John W."},{"family":"Soga","given":"Kenichi"},{"family":"Illangasekare","given":"Tissa H."}],"issued":{"date-parts":[["2021",12,1]]}}}],"schema":"https://github.com/citation-style-language/schema/raw/master/csl-citation.json"} </w:instrText>
      </w:r>
      <w:r w:rsidR="00D207C6">
        <w:fldChar w:fldCharType="separate"/>
      </w:r>
      <w:r w:rsidR="00EF2312" w:rsidRPr="00EF2312">
        <w:rPr>
          <w:vertAlign w:val="superscript"/>
        </w:rPr>
        <w:t>9</w:t>
      </w:r>
      <w:r w:rsidR="00D207C6">
        <w:fldChar w:fldCharType="end"/>
      </w:r>
      <w:r w:rsidR="009D0FF6">
        <w:rPr>
          <w:vertAlign w:val="superscript"/>
        </w:rPr>
        <w:t>,</w:t>
      </w:r>
      <w:r w:rsidR="00B8271A">
        <w:fldChar w:fldCharType="begin"/>
      </w:r>
      <w:r w:rsidR="00EF2312">
        <w:instrText xml:space="preserve"> ADDIN ZOTERO_ITEM CSL_CITATION {"citationID":"PDYtbaEk","properties":{"formattedCitation":"\\super 4\\nosupersub{}","plainCitation":"4","noteIndex":0},"citationItems":[{"id":222,"uris":["http://zotero.org/users/10291311/items/6NAJS6HF"],"itemData":{"id":222,"type":"article-journal","abstract":"We use a unique set of terrestrial experiments to demonstrate how soil management practises result in emergence of distinct associations between physical structure and biological functions. These associations have a significant effect on the flux, resilience and efficiency of nutrient delivery to plants (including water). Physical structure, determining the air-water balance in soil as well as transport rates, is influenced by nutrient and physical interventions. Contrasting emergent soil structures exert selective pressures upon the microbiome metagenome. These selective pressures are associated with the quality of organic carbon inputs, the prevalence of anaerobic microsites and delivery of nutrients to microorganisms attached to soil surfaces. This variety results in distinctive gene assemblages characterising each state. The nature of the interactions provide evidence that soil behaves as an extended composite phenotype of the resident microbiome, responsive to the input and turnover of plant-derived organic carbon. We provide new evidence supporting the theory that soil-microbe systems are self-organising states with organic carbon acting as a critical determining parameter. This perspective leads us to propose carbon flux, rather than soil organic carbon content as the critical factor in soil systems, and we present evidence to support this view.","container-title":"Scientific Reports","DOI":"10.1038/s41598-020-67631-0","ISSN":"2045-2322","issue":"1","journalAbbreviation":"Sci Rep","language":"English","note":"publisher-place: Berlin\npublisher: Nature Portfolio\nWOS:000548353500049","page":"10649","source":"Web of Science Nextgen","title":"Soil as an extended composite phenotype of the microbial metagenome","volume":"10","author":[{"family":"Neal","given":"Andrew L."},{"family":"Bacq-Labreuil","given":"Aurelie"},{"family":"Zhang","given":"Xiaoxian"},{"family":"Clark","given":"Ian M."},{"family":"Coleman","given":"Kevin"},{"family":"Mooney","given":"Sacha J."},{"family":"Ritz","given":"Karl"},{"family":"Crawford","given":"John W."}],"issued":{"date-parts":[["2020",6,30]]}}}],"schema":"https://github.com/citation-style-language/schema/raw/master/csl-citation.json"} </w:instrText>
      </w:r>
      <w:r w:rsidR="00B8271A">
        <w:fldChar w:fldCharType="separate"/>
      </w:r>
      <w:r w:rsidR="00EF2312" w:rsidRPr="00EF2312">
        <w:rPr>
          <w:vertAlign w:val="superscript"/>
        </w:rPr>
        <w:t>4</w:t>
      </w:r>
      <w:r w:rsidR="00B8271A">
        <w:fldChar w:fldCharType="end"/>
      </w:r>
      <w:r>
        <w:t>,</w:t>
      </w:r>
    </w:p>
    <w:p w14:paraId="5D52273F" w14:textId="77777777" w:rsidR="00D716EA" w:rsidRPr="00D5710C" w:rsidRDefault="00D716EA" w:rsidP="00D716EA">
      <w:pPr>
        <w:spacing w:line="360" w:lineRule="auto"/>
      </w:pPr>
      <m:oMathPara>
        <m:oMath>
          <m:r>
            <w:rPr>
              <w:rFonts w:ascii="Cambria Math" w:hAnsi="Cambria Math"/>
            </w:rPr>
            <m:t>D=</m:t>
          </m:r>
          <m:sSub>
            <m:sSubPr>
              <m:ctrlPr>
                <w:rPr>
                  <w:rFonts w:ascii="Cambria Math" w:hAnsi="Cambria Math"/>
                  <w:i/>
                </w:rPr>
              </m:ctrlPr>
            </m:sSubPr>
            <m:e>
              <m:r>
                <w:rPr>
                  <w:rFonts w:ascii="Cambria Math" w:hAnsi="Cambria Math"/>
                </w:rPr>
                <m:t>D</m:t>
              </m:r>
            </m:e>
            <m:sub>
              <m:r>
                <w:rPr>
                  <w:rFonts w:ascii="Cambria Math" w:hAnsi="Cambria Math"/>
                </w:rPr>
                <m:t>0</m:t>
              </m:r>
            </m:sub>
          </m:sSub>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ρ</m:t>
                      </m:r>
                    </m:num>
                    <m:den>
                      <m:sSub>
                        <m:sSubPr>
                          <m:ctrlPr>
                            <w:rPr>
                              <w:rFonts w:ascii="Cambria Math" w:hAnsi="Cambria Math"/>
                              <w:i/>
                            </w:rPr>
                          </m:ctrlPr>
                        </m:sSubPr>
                        <m:e>
                          <m:r>
                            <w:rPr>
                              <w:rFonts w:ascii="Cambria Math" w:hAnsi="Cambria Math"/>
                            </w:rPr>
                            <m:t>ρ</m:t>
                          </m:r>
                        </m:e>
                        <m:sub>
                          <m:r>
                            <w:rPr>
                              <w:rFonts w:ascii="Cambria Math" w:hAnsi="Cambria Math"/>
                            </w:rPr>
                            <m:t>0</m:t>
                          </m:r>
                        </m:sub>
                      </m:sSub>
                    </m:den>
                  </m:f>
                </m:e>
              </m:d>
            </m:e>
            <m:sup>
              <m:r>
                <w:rPr>
                  <w:rFonts w:ascii="Cambria Math" w:hAnsi="Cambria Math"/>
                </w:rPr>
                <m:t>α</m:t>
              </m:r>
            </m:sup>
          </m:sSup>
          <m:r>
            <w:rPr>
              <w:rFonts w:ascii="Cambria Math" w:hAnsi="Cambria Math"/>
            </w:rPr>
            <m:t>,                                  (7)</m:t>
          </m:r>
        </m:oMath>
      </m:oMathPara>
    </w:p>
    <w:p w14:paraId="33B895F2" w14:textId="77777777" w:rsidR="00D716EA" w:rsidRDefault="00D716EA" w:rsidP="00D716EA">
      <w:pPr>
        <w:spacing w:line="360" w:lineRule="auto"/>
      </w:pPr>
      <w:r>
        <w:t>where</w:t>
      </w:r>
      <w:r w:rsidRPr="00BB70F4">
        <w:rPr>
          <w:rFonts w:ascii="Cambria Math" w:hAnsi="Cambria Math"/>
          <w:i/>
        </w:rPr>
        <w:t xml:space="preserve"> </w:t>
      </w:r>
      <m:oMath>
        <m:r>
          <w:rPr>
            <w:rFonts w:ascii="Cambria Math" w:hAnsi="Cambria Math"/>
          </w:rPr>
          <m:t>ρ</m:t>
        </m:r>
      </m:oMath>
      <w:r>
        <w:t xml:space="preserve"> is the porosity, </w:t>
      </w:r>
      <m:oMath>
        <m:sSub>
          <m:sSubPr>
            <m:ctrlPr>
              <w:rPr>
                <w:rFonts w:ascii="Cambria Math" w:hAnsi="Cambria Math"/>
                <w:i/>
              </w:rPr>
            </m:ctrlPr>
          </m:sSubPr>
          <m:e>
            <m:r>
              <w:rPr>
                <w:rFonts w:ascii="Cambria Math" w:hAnsi="Cambria Math"/>
              </w:rPr>
              <m:t>ρ</m:t>
            </m:r>
          </m:e>
          <m:sub>
            <m:r>
              <w:rPr>
                <w:rFonts w:ascii="Cambria Math" w:hAnsi="Cambria Math"/>
              </w:rPr>
              <m:t>0</m:t>
            </m:r>
          </m:sub>
        </m:sSub>
      </m:oMath>
      <w:r>
        <w:t xml:space="preserve"> is a constant, and </w:t>
      </w:r>
      <m:oMath>
        <m:r>
          <w:rPr>
            <w:rFonts w:ascii="Cambria Math" w:hAnsi="Cambria Math"/>
          </w:rPr>
          <m:t>α</m:t>
        </m:r>
      </m:oMath>
      <w:r>
        <w:t xml:space="preserve"> is the power-law exponent. If we then </w:t>
      </w:r>
      <w:proofErr w:type="gramStart"/>
      <w:r>
        <w:t>make the assumption</w:t>
      </w:r>
      <w:proofErr w:type="gramEnd"/>
      <w:r>
        <w:t xml:space="preserve"> that the porosity is a power-law function of potential respiration rate, </w:t>
      </w:r>
      <m:oMath>
        <m:r>
          <w:rPr>
            <w:rFonts w:ascii="Cambria Math" w:hAnsi="Cambria Math"/>
          </w:rPr>
          <m:t>ρ∝</m:t>
        </m:r>
        <m:sSup>
          <m:sSupPr>
            <m:ctrlPr>
              <w:rPr>
                <w:rFonts w:ascii="Cambria Math" w:hAnsi="Cambria Math"/>
                <w:i/>
              </w:rPr>
            </m:ctrlPr>
          </m:sSupPr>
          <m:e>
            <m:r>
              <w:rPr>
                <w:rFonts w:ascii="Cambria Math" w:hAnsi="Cambria Math"/>
              </w:rPr>
              <m:t>Q</m:t>
            </m:r>
          </m:e>
          <m:sup>
            <m:r>
              <w:rPr>
                <w:rFonts w:ascii="Cambria Math" w:hAnsi="Cambria Math"/>
              </w:rPr>
              <m:t>β</m:t>
            </m:r>
          </m:sup>
        </m:sSup>
      </m:oMath>
      <w:r>
        <w:t>, we can rewrite equation 7 in the form,</w:t>
      </w:r>
    </w:p>
    <w:p w14:paraId="4B5D3AA2" w14:textId="77777777" w:rsidR="00D716EA" w:rsidRDefault="00D716EA" w:rsidP="00D716EA">
      <w:pPr>
        <w:spacing w:line="360" w:lineRule="auto"/>
      </w:pPr>
      <m:oMathPara>
        <m:oMath>
          <m:r>
            <w:rPr>
              <w:rFonts w:ascii="Cambria Math" w:hAnsi="Cambria Math"/>
            </w:rPr>
            <m:t>D=</m:t>
          </m:r>
          <m:sSub>
            <m:sSubPr>
              <m:ctrlPr>
                <w:rPr>
                  <w:rFonts w:ascii="Cambria Math" w:hAnsi="Cambria Math"/>
                  <w:i/>
                </w:rPr>
              </m:ctrlPr>
            </m:sSubPr>
            <m:e>
              <m:r>
                <w:rPr>
                  <w:rFonts w:ascii="Cambria Math" w:hAnsi="Cambria Math"/>
                </w:rPr>
                <m:t>D</m:t>
              </m:r>
            </m:e>
            <m:sub>
              <m:r>
                <w:rPr>
                  <w:rFonts w:ascii="Cambria Math" w:hAnsi="Cambria Math"/>
                </w:rPr>
                <m:t>0</m:t>
              </m:r>
            </m:sub>
          </m:sSub>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Q</m:t>
                      </m:r>
                    </m:num>
                    <m:den>
                      <m:sSub>
                        <m:sSubPr>
                          <m:ctrlPr>
                            <w:rPr>
                              <w:rFonts w:ascii="Cambria Math" w:hAnsi="Cambria Math"/>
                              <w:i/>
                            </w:rPr>
                          </m:ctrlPr>
                        </m:sSubPr>
                        <m:e>
                          <m:r>
                            <w:rPr>
                              <w:rFonts w:ascii="Cambria Math" w:hAnsi="Cambria Math"/>
                            </w:rPr>
                            <m:t>Q</m:t>
                          </m:r>
                        </m:e>
                        <m:sub>
                          <m:r>
                            <w:rPr>
                              <w:rFonts w:ascii="Cambria Math" w:hAnsi="Cambria Math"/>
                            </w:rPr>
                            <m:t>0</m:t>
                          </m:r>
                        </m:sub>
                      </m:sSub>
                    </m:den>
                  </m:f>
                </m:e>
              </m:d>
            </m:e>
            <m:sup>
              <m:r>
                <w:rPr>
                  <w:rFonts w:ascii="Cambria Math" w:hAnsi="Cambria Math"/>
                </w:rPr>
                <m:t>k</m:t>
              </m:r>
            </m:sup>
          </m:sSup>
          <m:r>
            <w:rPr>
              <w:rFonts w:ascii="Cambria Math" w:hAnsi="Cambria Math"/>
            </w:rPr>
            <m:t>,                            (8)</m:t>
          </m:r>
        </m:oMath>
      </m:oMathPara>
    </w:p>
    <w:p w14:paraId="529F2AE6" w14:textId="77777777" w:rsidR="00D716EA" w:rsidRDefault="00D716EA" w:rsidP="00D716EA">
      <w:pPr>
        <w:spacing w:line="360" w:lineRule="auto"/>
      </w:pPr>
      <w:r>
        <w:t>where</w:t>
      </w:r>
      <w:r w:rsidRPr="004A0EFC">
        <w:rPr>
          <w:rFonts w:ascii="Cambria Math" w:hAnsi="Cambria Math"/>
          <w:i/>
        </w:rPr>
        <w:t xml:space="preserve"> </w:t>
      </w:r>
      <m:oMath>
        <m:r>
          <w:rPr>
            <w:rFonts w:ascii="Cambria Math" w:hAnsi="Cambria Math"/>
          </w:rPr>
          <m:t>k</m:t>
        </m:r>
      </m:oMath>
      <w:r>
        <w:t xml:space="preserve"> </w:t>
      </w:r>
      <w:r w:rsidRPr="004A0EFC">
        <w:rPr>
          <w:rFonts w:ascii="Cambria Math" w:hAnsi="Cambria Math"/>
          <w:iCs/>
        </w:rPr>
        <w:t>is a constant</w:t>
      </w:r>
      <w:r>
        <w:rPr>
          <w:rFonts w:ascii="Cambria Math" w:hAnsi="Cambria Math"/>
          <w:iCs/>
        </w:rPr>
        <w:t xml:space="preserve"> that measures the strength of the positive feedback between carbon metabolism and oxygen transport rate.</w:t>
      </w:r>
      <w:r>
        <w:t xml:space="preserve"> Using this equation to substitute for </w:t>
      </w:r>
      <m:oMath>
        <m:r>
          <w:rPr>
            <w:rFonts w:ascii="Cambria Math" w:hAnsi="Cambria Math"/>
          </w:rPr>
          <m:t>D</m:t>
        </m:r>
      </m:oMath>
      <w:r>
        <w:t xml:space="preserve"> in equation 6 yields an expression for respiration as a function of </w:t>
      </w:r>
      <m:oMath>
        <m:r>
          <w:rPr>
            <w:rFonts w:ascii="Cambria Math" w:hAnsi="Cambria Math"/>
          </w:rPr>
          <m:t>Q</m:t>
        </m:r>
      </m:oMath>
      <w:r>
        <w:t xml:space="preserve">, which we denote as </w:t>
      </w:r>
      <m:oMath>
        <m:sSub>
          <m:sSubPr>
            <m:ctrlPr>
              <w:rPr>
                <w:rFonts w:ascii="Cambria Math" w:hAnsi="Cambria Math"/>
                <w:i/>
              </w:rPr>
            </m:ctrlPr>
          </m:sSubPr>
          <m:e>
            <m:r>
              <w:rPr>
                <w:rFonts w:ascii="Cambria Math" w:hAnsi="Cambria Math"/>
              </w:rPr>
              <m:t>r</m:t>
            </m:r>
          </m:e>
          <m:sub>
            <m:r>
              <w:rPr>
                <w:rFonts w:ascii="Cambria Math" w:hAnsi="Cambria Math"/>
              </w:rPr>
              <m:t>k</m:t>
            </m:r>
          </m:sub>
        </m:sSub>
      </m:oMath>
      <w:r>
        <w:t>, of the form,</w:t>
      </w:r>
    </w:p>
    <w:p w14:paraId="3F3D8F6C" w14:textId="77777777" w:rsidR="00D716EA" w:rsidRDefault="00D716EA" w:rsidP="00D716EA">
      <w:pPr>
        <w:spacing w:line="360" w:lineRule="auto"/>
        <w:ind w:left="2160"/>
      </w:pPr>
      <w:r>
        <w:t xml:space="preserve"> </w:t>
      </w:r>
      <m:oMath>
        <m:sSub>
          <m:sSubPr>
            <m:ctrlPr>
              <w:rPr>
                <w:rFonts w:ascii="Cambria Math" w:hAnsi="Cambria Math"/>
                <w:i/>
              </w:rPr>
            </m:ctrlPr>
          </m:sSubPr>
          <m:e>
            <m:r>
              <w:rPr>
                <w:rFonts w:ascii="Cambria Math" w:hAnsi="Cambria Math"/>
              </w:rPr>
              <m:t>r</m:t>
            </m:r>
          </m:e>
          <m:sub>
            <m:r>
              <w:rPr>
                <w:rFonts w:ascii="Cambria Math" w:hAnsi="Cambria Math"/>
              </w:rPr>
              <m:t>k</m:t>
            </m:r>
          </m:sub>
        </m:sSub>
        <m:r>
          <w:rPr>
            <w:rFonts w:ascii="Cambria Math" w:hAnsi="Cambria Math"/>
          </w:rPr>
          <m:t>=</m:t>
        </m:r>
        <m:rad>
          <m:radPr>
            <m:degHide m:val="1"/>
            <m:ctrlPr>
              <w:rPr>
                <w:rFonts w:ascii="Cambria Math" w:hAnsi="Cambria Math"/>
                <w:i/>
              </w:rPr>
            </m:ctrlPr>
          </m:radPr>
          <m:deg/>
          <m:e>
            <m:f>
              <m:fPr>
                <m:ctrlPr>
                  <w:rPr>
                    <w:rFonts w:ascii="Cambria Math" w:hAnsi="Cambria Math"/>
                    <w:i/>
                  </w:rPr>
                </m:ctrlPr>
              </m:fPr>
              <m:num>
                <m:r>
                  <w:rPr>
                    <w:rFonts w:ascii="Cambria Math" w:hAnsi="Cambria Math"/>
                  </w:rPr>
                  <m:t>2D</m:t>
                </m:r>
                <m:sSub>
                  <m:sSubPr>
                    <m:ctrlPr>
                      <w:rPr>
                        <w:rFonts w:ascii="Cambria Math" w:hAnsi="Cambria Math"/>
                        <w:i/>
                      </w:rPr>
                    </m:ctrlPr>
                  </m:sSubPr>
                  <m:e>
                    <m:r>
                      <w:rPr>
                        <w:rFonts w:ascii="Cambria Math" w:hAnsi="Cambria Math"/>
                      </w:rPr>
                      <m:t>C</m:t>
                    </m:r>
                  </m:e>
                  <m:sub>
                    <m:r>
                      <w:rPr>
                        <w:rFonts w:ascii="Cambria Math" w:hAnsi="Cambria Math"/>
                      </w:rPr>
                      <m:t>a</m:t>
                    </m:r>
                  </m:sub>
                </m:sSub>
              </m:num>
              <m:den>
                <m:sSup>
                  <m:sSupPr>
                    <m:ctrlPr>
                      <w:rPr>
                        <w:rFonts w:ascii="Cambria Math" w:hAnsi="Cambria Math"/>
                        <w:i/>
                      </w:rPr>
                    </m:ctrlPr>
                  </m:sSupPr>
                  <m:e>
                    <m:sSub>
                      <m:sSubPr>
                        <m:ctrlPr>
                          <w:rPr>
                            <w:rFonts w:ascii="Cambria Math" w:hAnsi="Cambria Math"/>
                            <w:i/>
                          </w:rPr>
                        </m:ctrlPr>
                      </m:sSubPr>
                      <m:e>
                        <m:r>
                          <w:rPr>
                            <w:rFonts w:ascii="Cambria Math" w:hAnsi="Cambria Math"/>
                          </w:rPr>
                          <m:t>Q</m:t>
                        </m:r>
                      </m:e>
                      <m:sub>
                        <m:r>
                          <w:rPr>
                            <w:rFonts w:ascii="Cambria Math" w:hAnsi="Cambria Math"/>
                          </w:rPr>
                          <m:t>0</m:t>
                        </m:r>
                      </m:sub>
                    </m:sSub>
                  </m:e>
                  <m:sup>
                    <m:r>
                      <w:rPr>
                        <w:rFonts w:ascii="Cambria Math" w:hAnsi="Cambria Math"/>
                      </w:rPr>
                      <m:t>k</m:t>
                    </m:r>
                  </m:sup>
                </m:sSup>
              </m:den>
            </m:f>
          </m:e>
        </m:rad>
        <m:sSup>
          <m:sSupPr>
            <m:ctrlPr>
              <w:rPr>
                <w:rFonts w:ascii="Cambria Math" w:hAnsi="Cambria Math"/>
                <w:i/>
              </w:rPr>
            </m:ctrlPr>
          </m:sSupPr>
          <m:e>
            <m:r>
              <w:rPr>
                <w:rFonts w:ascii="Cambria Math" w:hAnsi="Cambria Math"/>
              </w:rPr>
              <m:t>Q</m:t>
            </m:r>
          </m:e>
          <m:sup>
            <m:f>
              <m:fPr>
                <m:type m:val="lin"/>
                <m:ctrlPr>
                  <w:rPr>
                    <w:rFonts w:ascii="Cambria Math" w:hAnsi="Cambria Math"/>
                    <w:i/>
                  </w:rPr>
                </m:ctrlPr>
              </m:fPr>
              <m:num>
                <m:d>
                  <m:dPr>
                    <m:ctrlPr>
                      <w:rPr>
                        <w:rFonts w:ascii="Cambria Math" w:hAnsi="Cambria Math"/>
                        <w:i/>
                      </w:rPr>
                    </m:ctrlPr>
                  </m:dPr>
                  <m:e>
                    <m:r>
                      <w:rPr>
                        <w:rFonts w:ascii="Cambria Math" w:hAnsi="Cambria Math"/>
                      </w:rPr>
                      <m:t>1+k</m:t>
                    </m:r>
                  </m:e>
                </m:d>
              </m:num>
              <m:den>
                <m:r>
                  <w:rPr>
                    <w:rFonts w:ascii="Cambria Math" w:hAnsi="Cambria Math"/>
                  </w:rPr>
                  <m:t>2</m:t>
                </m:r>
              </m:den>
            </m:f>
          </m:sup>
        </m:sSup>
      </m:oMath>
      <w:r>
        <w:t xml:space="preserve">                     (9)</w:t>
      </w:r>
    </w:p>
    <w:p w14:paraId="37B40238" w14:textId="77777777" w:rsidR="00D716EA" w:rsidRDefault="00D716EA" w:rsidP="00D716EA">
      <w:pPr>
        <w:spacing w:line="360" w:lineRule="auto"/>
      </w:pPr>
      <w:r>
        <w:t>I</w:t>
      </w:r>
      <w:r w:rsidRPr="00B65B90">
        <w:t>n the steady state</w:t>
      </w:r>
      <w:r>
        <w:t>,</w:t>
      </w:r>
      <w:r w:rsidRPr="00B65B90">
        <w:t xml:space="preserve"> </w:t>
      </w:r>
      <w:r>
        <w:t>t</w:t>
      </w:r>
      <w:r w:rsidRPr="00B65B90">
        <w:t xml:space="preserve">he value </w:t>
      </w:r>
      <w:r>
        <w:t xml:space="preserve">of </w:t>
      </w:r>
      <m:oMath>
        <m:r>
          <w:rPr>
            <w:rFonts w:ascii="Cambria Math" w:hAnsi="Cambria Math"/>
          </w:rPr>
          <m:t>Q</m:t>
        </m:r>
      </m:oMath>
      <w:r w:rsidRPr="00B65B90">
        <w:t xml:space="preserve"> will correspond to the equilibrium soil carbon content</w:t>
      </w:r>
      <w:r>
        <w:t>, and equation 9 can be rearranged to express Q in terms of the respiration rate,</w:t>
      </w:r>
    </w:p>
    <w:p w14:paraId="0FC5EBF9" w14:textId="77777777" w:rsidR="00D716EA" w:rsidRDefault="00000000" w:rsidP="00D716EA">
      <w:pPr>
        <w:spacing w:line="360" w:lineRule="auto"/>
        <w:ind w:left="2880"/>
      </w:pPr>
      <m:oMath>
        <m:f>
          <m:fPr>
            <m:ctrlPr>
              <w:rPr>
                <w:rFonts w:ascii="Cambria Math" w:hAnsi="Cambria Math"/>
                <w:i/>
              </w:rPr>
            </m:ctrlPr>
          </m:fPr>
          <m:num>
            <m:r>
              <w:rPr>
                <w:rFonts w:ascii="Cambria Math" w:hAnsi="Cambria Math"/>
              </w:rPr>
              <m:t>Q</m:t>
            </m:r>
          </m:num>
          <m:den>
            <m:sSub>
              <m:sSubPr>
                <m:ctrlPr>
                  <w:rPr>
                    <w:rFonts w:ascii="Cambria Math" w:hAnsi="Cambria Math"/>
                    <w:i/>
                  </w:rPr>
                </m:ctrlPr>
              </m:sSubPr>
              <m:e>
                <m:r>
                  <w:rPr>
                    <w:rFonts w:ascii="Cambria Math" w:hAnsi="Cambria Math"/>
                  </w:rPr>
                  <m:t>Q</m:t>
                </m:r>
              </m:e>
              <m:sub>
                <m:r>
                  <w:rPr>
                    <w:rFonts w:ascii="Cambria Math" w:hAnsi="Cambria Math"/>
                  </w:rPr>
                  <m:t>0</m:t>
                </m:r>
              </m:sub>
            </m:sSub>
          </m:den>
        </m:f>
        <m:r>
          <w:rPr>
            <w:rFonts w:ascii="Cambria Math" w:hAnsi="Cambria Math"/>
          </w:rPr>
          <m:t xml:space="preserve">= </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r</m:t>
                    </m:r>
                  </m:num>
                  <m:den>
                    <m:sSub>
                      <m:sSubPr>
                        <m:ctrlPr>
                          <w:rPr>
                            <w:rFonts w:ascii="Cambria Math" w:hAnsi="Cambria Math"/>
                            <w:i/>
                          </w:rPr>
                        </m:ctrlPr>
                      </m:sSubPr>
                      <m:e>
                        <m:r>
                          <w:rPr>
                            <w:rFonts w:ascii="Cambria Math" w:hAnsi="Cambria Math"/>
                          </w:rPr>
                          <m:t>r</m:t>
                        </m:r>
                      </m:e>
                      <m:sub>
                        <m:r>
                          <w:rPr>
                            <w:rFonts w:ascii="Cambria Math" w:hAnsi="Cambria Math"/>
                          </w:rPr>
                          <m:t>o</m:t>
                        </m:r>
                      </m:sub>
                    </m:sSub>
                  </m:den>
                </m:f>
              </m:e>
            </m:d>
          </m:e>
          <m:sup>
            <m:f>
              <m:fPr>
                <m:ctrlPr>
                  <w:rPr>
                    <w:rFonts w:ascii="Cambria Math" w:hAnsi="Cambria Math"/>
                    <w:i/>
                  </w:rPr>
                </m:ctrlPr>
              </m:fPr>
              <m:num>
                <m:r>
                  <w:rPr>
                    <w:rFonts w:ascii="Cambria Math" w:hAnsi="Cambria Math"/>
                  </w:rPr>
                  <m:t>2</m:t>
                </m:r>
              </m:num>
              <m:den>
                <m:r>
                  <w:rPr>
                    <w:rFonts w:ascii="Cambria Math" w:hAnsi="Cambria Math"/>
                  </w:rPr>
                  <m:t>1+k</m:t>
                </m:r>
              </m:den>
            </m:f>
          </m:sup>
        </m:sSup>
      </m:oMath>
      <w:r w:rsidR="00D716EA">
        <w:t xml:space="preserve">                      (10)</w:t>
      </w:r>
    </w:p>
    <w:p w14:paraId="36FA69D4" w14:textId="77777777" w:rsidR="00D716EA" w:rsidRDefault="00D716EA" w:rsidP="00D716EA">
      <w:pPr>
        <w:spacing w:line="360" w:lineRule="auto"/>
      </w:pPr>
      <w:proofErr w:type="gramStart"/>
      <w:r>
        <w:t>where</w:t>
      </w:r>
      <w:proofErr w:type="gramEnd"/>
      <w:r>
        <w:t xml:space="preserve">, </w:t>
      </w:r>
    </w:p>
    <w:p w14:paraId="3FBAB099" w14:textId="77777777" w:rsidR="00D716EA" w:rsidRDefault="00000000" w:rsidP="00D716EA">
      <w:pPr>
        <w:spacing w:line="360" w:lineRule="auto"/>
        <w:ind w:left="2880"/>
      </w:pPr>
      <m:oMath>
        <m:sSub>
          <m:sSubPr>
            <m:ctrlPr>
              <w:rPr>
                <w:rFonts w:ascii="Cambria Math" w:hAnsi="Cambria Math"/>
                <w:i/>
              </w:rPr>
            </m:ctrlPr>
          </m:sSubPr>
          <m:e>
            <m:r>
              <w:rPr>
                <w:rFonts w:ascii="Cambria Math" w:hAnsi="Cambria Math"/>
              </w:rPr>
              <m:t>r</m:t>
            </m:r>
          </m:e>
          <m:sub>
            <m:r>
              <w:rPr>
                <w:rFonts w:ascii="Cambria Math" w:hAnsi="Cambria Math"/>
              </w:rPr>
              <m:t>0</m:t>
            </m:r>
          </m:sub>
        </m:sSub>
        <m:r>
          <w:rPr>
            <w:rFonts w:ascii="Cambria Math" w:hAnsi="Cambria Math"/>
          </w:rPr>
          <m:t>=</m:t>
        </m:r>
        <m:f>
          <m:fPr>
            <m:ctrlPr>
              <w:rPr>
                <w:rFonts w:ascii="Cambria Math" w:hAnsi="Cambria Math"/>
                <w:i/>
              </w:rPr>
            </m:ctrlPr>
          </m:fPr>
          <m:num>
            <m:r>
              <w:rPr>
                <w:rFonts w:ascii="Cambria Math" w:hAnsi="Cambria Math"/>
              </w:rPr>
              <m:t>2D</m:t>
            </m:r>
            <m:sSub>
              <m:sSubPr>
                <m:ctrlPr>
                  <w:rPr>
                    <w:rFonts w:ascii="Cambria Math" w:hAnsi="Cambria Math"/>
                    <w:i/>
                  </w:rPr>
                </m:ctrlPr>
              </m:sSubPr>
              <m:e>
                <m:r>
                  <w:rPr>
                    <w:rFonts w:ascii="Cambria Math" w:hAnsi="Cambria Math"/>
                  </w:rPr>
                  <m:t>C</m:t>
                </m:r>
              </m:e>
              <m:sub>
                <m:r>
                  <w:rPr>
                    <w:rFonts w:ascii="Cambria Math" w:hAnsi="Cambria Math"/>
                  </w:rPr>
                  <m:t>a</m:t>
                </m:r>
              </m:sub>
            </m:sSub>
          </m:num>
          <m:den>
            <m:sSup>
              <m:sSupPr>
                <m:ctrlPr>
                  <w:rPr>
                    <w:rFonts w:ascii="Cambria Math" w:hAnsi="Cambria Math"/>
                    <w:i/>
                  </w:rPr>
                </m:ctrlPr>
              </m:sSupPr>
              <m:e>
                <m:sSub>
                  <m:sSubPr>
                    <m:ctrlPr>
                      <w:rPr>
                        <w:rFonts w:ascii="Cambria Math" w:hAnsi="Cambria Math"/>
                        <w:i/>
                      </w:rPr>
                    </m:ctrlPr>
                  </m:sSubPr>
                  <m:e>
                    <m:r>
                      <w:rPr>
                        <w:rFonts w:ascii="Cambria Math" w:hAnsi="Cambria Math"/>
                      </w:rPr>
                      <m:t>Q</m:t>
                    </m:r>
                  </m:e>
                  <m:sub>
                    <m:r>
                      <w:rPr>
                        <w:rFonts w:ascii="Cambria Math" w:hAnsi="Cambria Math"/>
                      </w:rPr>
                      <m:t>0</m:t>
                    </m:r>
                  </m:sub>
                </m:sSub>
              </m:e>
              <m:sup>
                <m:f>
                  <m:fPr>
                    <m:type m:val="skw"/>
                    <m:ctrlPr>
                      <w:rPr>
                        <w:rFonts w:ascii="Cambria Math" w:hAnsi="Cambria Math"/>
                        <w:i/>
                      </w:rPr>
                    </m:ctrlPr>
                  </m:fPr>
                  <m:num>
                    <m:d>
                      <m:dPr>
                        <m:ctrlPr>
                          <w:rPr>
                            <w:rFonts w:ascii="Cambria Math" w:hAnsi="Cambria Math"/>
                            <w:i/>
                          </w:rPr>
                        </m:ctrlPr>
                      </m:dPr>
                      <m:e>
                        <m:r>
                          <w:rPr>
                            <w:rFonts w:ascii="Cambria Math" w:hAnsi="Cambria Math"/>
                          </w:rPr>
                          <m:t>k-1</m:t>
                        </m:r>
                      </m:e>
                    </m:d>
                  </m:num>
                  <m:den>
                    <m:r>
                      <w:rPr>
                        <w:rFonts w:ascii="Cambria Math" w:hAnsi="Cambria Math"/>
                      </w:rPr>
                      <m:t>2</m:t>
                    </m:r>
                  </m:den>
                </m:f>
              </m:sup>
            </m:sSup>
          </m:den>
        </m:f>
      </m:oMath>
      <w:r w:rsidR="00D716EA">
        <w:t xml:space="preserve">    </w:t>
      </w:r>
    </w:p>
    <w:p w14:paraId="7815BB77" w14:textId="77777777" w:rsidR="00D716EA" w:rsidRDefault="00D716EA" w:rsidP="00D716EA">
      <w:pPr>
        <w:spacing w:line="360" w:lineRule="auto"/>
      </w:pPr>
      <w:r>
        <w:t xml:space="preserve">In the steady state, the rate of loss of carbon from the system will equal the rate of input. Therefore, if we denote the carbon flux into the soil as  </w:t>
      </w:r>
      <m:oMath>
        <m:sSub>
          <m:sSubPr>
            <m:ctrlPr>
              <w:rPr>
                <w:rFonts w:ascii="Cambria Math" w:hAnsi="Cambria Math"/>
                <w:i/>
              </w:rPr>
            </m:ctrlPr>
          </m:sSubPr>
          <m:e>
            <m:r>
              <w:rPr>
                <w:rFonts w:ascii="Cambria Math" w:hAnsi="Cambria Math"/>
              </w:rPr>
              <m:t>f</m:t>
            </m:r>
          </m:e>
          <m:sub>
            <m:r>
              <w:rPr>
                <w:rFonts w:ascii="Cambria Math" w:hAnsi="Cambria Math"/>
              </w:rPr>
              <m:t>c</m:t>
            </m:r>
          </m:sub>
        </m:sSub>
      </m:oMath>
      <w:r>
        <w:t>, then we can write,</w:t>
      </w:r>
    </w:p>
    <w:p w14:paraId="74C5B4EB" w14:textId="77777777" w:rsidR="00D716EA" w:rsidRDefault="00000000" w:rsidP="00D716EA">
      <w:pPr>
        <w:spacing w:line="360" w:lineRule="auto"/>
      </w:pPr>
      <m:oMathPara>
        <m:oMath>
          <m:sSub>
            <m:sSubPr>
              <m:ctrlPr>
                <w:rPr>
                  <w:rFonts w:ascii="Cambria Math" w:hAnsi="Cambria Math"/>
                  <w:i/>
                </w:rPr>
              </m:ctrlPr>
            </m:sSubPr>
            <m:e>
              <m:r>
                <w:rPr>
                  <w:rFonts w:ascii="Cambria Math" w:hAnsi="Cambria Math"/>
                </w:rPr>
                <m:t>f</m:t>
              </m:r>
            </m:e>
            <m:sub>
              <m:r>
                <w:rPr>
                  <w:rFonts w:ascii="Cambria Math" w:hAnsi="Cambria Math"/>
                </w:rPr>
                <m:t>c</m:t>
              </m:r>
            </m:sub>
          </m:sSub>
          <m:r>
            <w:rPr>
              <w:rFonts w:ascii="Cambria Math" w:hAnsi="Cambria Math"/>
            </w:rPr>
            <m:t>=αr</m:t>
          </m:r>
        </m:oMath>
      </m:oMathPara>
    </w:p>
    <w:p w14:paraId="5FBAA2C4" w14:textId="77777777" w:rsidR="00D716EA" w:rsidRDefault="00D716EA" w:rsidP="00D716EA">
      <w:pPr>
        <w:spacing w:line="360" w:lineRule="auto"/>
      </w:pPr>
      <w:r>
        <w:lastRenderedPageBreak/>
        <w:t xml:space="preserve">where </w:t>
      </w:r>
      <m:oMath>
        <m:r>
          <w:rPr>
            <w:rFonts w:ascii="Cambria Math" w:hAnsi="Cambria Math"/>
          </w:rPr>
          <m:t>α</m:t>
        </m:r>
      </m:oMath>
      <w:r>
        <w:t xml:space="preserve"> is a constant of proportionality. Then, using equation 10, the relation between the </w:t>
      </w:r>
      <w:r w:rsidRPr="00B65B90">
        <w:t>equilibrium soil carbon content</w:t>
      </w:r>
      <w:r>
        <w:t xml:space="preserve"> and the carbon input flux can be expressed as,</w:t>
      </w:r>
    </w:p>
    <w:p w14:paraId="16031BBD" w14:textId="77777777" w:rsidR="00D716EA" w:rsidRDefault="00000000" w:rsidP="00D716EA">
      <w:pPr>
        <w:spacing w:line="360" w:lineRule="auto"/>
        <w:ind w:left="3600"/>
      </w:pPr>
      <m:oMath>
        <m:f>
          <m:fPr>
            <m:ctrlPr>
              <w:rPr>
                <w:rFonts w:ascii="Cambria Math" w:hAnsi="Cambria Math"/>
                <w:i/>
              </w:rPr>
            </m:ctrlPr>
          </m:fPr>
          <m:num>
            <m:r>
              <w:rPr>
                <w:rFonts w:ascii="Cambria Math" w:hAnsi="Cambria Math"/>
              </w:rPr>
              <m:t>Q</m:t>
            </m:r>
          </m:num>
          <m:den>
            <m:sSub>
              <m:sSubPr>
                <m:ctrlPr>
                  <w:rPr>
                    <w:rFonts w:ascii="Cambria Math" w:hAnsi="Cambria Math"/>
                    <w:i/>
                  </w:rPr>
                </m:ctrlPr>
              </m:sSubPr>
              <m:e>
                <m:r>
                  <w:rPr>
                    <w:rFonts w:ascii="Cambria Math" w:hAnsi="Cambria Math"/>
                  </w:rPr>
                  <m:t>Q</m:t>
                </m:r>
              </m:e>
              <m:sub>
                <m:r>
                  <w:rPr>
                    <w:rFonts w:ascii="Cambria Math" w:hAnsi="Cambria Math"/>
                  </w:rPr>
                  <m:t>0</m:t>
                </m:r>
              </m:sub>
            </m:sSub>
          </m:den>
        </m:f>
        <m:r>
          <w:rPr>
            <w:rFonts w:ascii="Cambria Math" w:hAnsi="Cambria Math"/>
          </w:rPr>
          <m:t xml:space="preserve">= </m:t>
        </m:r>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r>
                      <w:rPr>
                        <w:rFonts w:ascii="Cambria Math" w:hAnsi="Cambria Math"/>
                      </w:rPr>
                      <m:t>f</m:t>
                    </m:r>
                  </m:num>
                  <m:den>
                    <m:sSub>
                      <m:sSubPr>
                        <m:ctrlPr>
                          <w:rPr>
                            <w:rFonts w:ascii="Cambria Math" w:hAnsi="Cambria Math"/>
                            <w:i/>
                          </w:rPr>
                        </m:ctrlPr>
                      </m:sSubPr>
                      <m:e>
                        <m:r>
                          <w:rPr>
                            <w:rFonts w:ascii="Cambria Math" w:hAnsi="Cambria Math"/>
                          </w:rPr>
                          <m:t>f</m:t>
                        </m:r>
                      </m:e>
                      <m:sub>
                        <m:r>
                          <w:rPr>
                            <w:rFonts w:ascii="Cambria Math" w:hAnsi="Cambria Math"/>
                          </w:rPr>
                          <m:t>o</m:t>
                        </m:r>
                      </m:sub>
                    </m:sSub>
                  </m:den>
                </m:f>
              </m:e>
            </m:d>
          </m:e>
          <m:sup>
            <m:f>
              <m:fPr>
                <m:ctrlPr>
                  <w:rPr>
                    <w:rFonts w:ascii="Cambria Math" w:hAnsi="Cambria Math"/>
                    <w:i/>
                  </w:rPr>
                </m:ctrlPr>
              </m:fPr>
              <m:num>
                <m:r>
                  <w:rPr>
                    <w:rFonts w:ascii="Cambria Math" w:hAnsi="Cambria Math"/>
                  </w:rPr>
                  <m:t>2</m:t>
                </m:r>
              </m:num>
              <m:den>
                <m:r>
                  <w:rPr>
                    <w:rFonts w:ascii="Cambria Math" w:hAnsi="Cambria Math"/>
                  </w:rPr>
                  <m:t>1+k</m:t>
                </m:r>
              </m:den>
            </m:f>
          </m:sup>
        </m:sSup>
      </m:oMath>
      <w:r w:rsidR="00D716EA">
        <w:t xml:space="preserve">               (11)</w:t>
      </w:r>
    </w:p>
    <w:p w14:paraId="104BCFAB" w14:textId="77777777" w:rsidR="00D716EA" w:rsidRDefault="00D716EA" w:rsidP="00D716EA">
      <w:pPr>
        <w:spacing w:line="360" w:lineRule="auto"/>
      </w:pPr>
      <w:r>
        <w:t>where</w:t>
      </w:r>
      <w:r>
        <w:rPr>
          <w:rFonts w:ascii="Cambria Math" w:hAnsi="Cambria Math"/>
          <w:i/>
        </w:rPr>
        <w:t xml:space="preserve"> </w:t>
      </w:r>
      <m:oMath>
        <m:sSub>
          <m:sSubPr>
            <m:ctrlPr>
              <w:rPr>
                <w:rFonts w:ascii="Cambria Math" w:hAnsi="Cambria Math"/>
                <w:i/>
              </w:rPr>
            </m:ctrlPr>
          </m:sSubPr>
          <m:e>
            <m:r>
              <w:rPr>
                <w:rFonts w:ascii="Cambria Math" w:hAnsi="Cambria Math"/>
              </w:rPr>
              <m:t>f</m:t>
            </m:r>
          </m:e>
          <m:sub>
            <m:r>
              <w:rPr>
                <w:rFonts w:ascii="Cambria Math" w:hAnsi="Cambria Math"/>
              </w:rPr>
              <m:t>0</m:t>
            </m:r>
          </m:sub>
        </m:sSub>
        <m:r>
          <w:rPr>
            <w:rFonts w:ascii="Cambria Math" w:hAnsi="Cambria Math"/>
          </w:rPr>
          <m:t>=α</m:t>
        </m:r>
        <m:sSub>
          <m:sSubPr>
            <m:ctrlPr>
              <w:rPr>
                <w:rFonts w:ascii="Cambria Math" w:hAnsi="Cambria Math"/>
                <w:i/>
              </w:rPr>
            </m:ctrlPr>
          </m:sSubPr>
          <m:e>
            <m:r>
              <w:rPr>
                <w:rFonts w:ascii="Cambria Math" w:hAnsi="Cambria Math"/>
              </w:rPr>
              <m:t>r</m:t>
            </m:r>
          </m:e>
          <m:sub>
            <m:r>
              <w:rPr>
                <w:rFonts w:ascii="Cambria Math" w:hAnsi="Cambria Math"/>
              </w:rPr>
              <m:t>0</m:t>
            </m:r>
          </m:sub>
        </m:sSub>
      </m:oMath>
      <w:r>
        <w:t xml:space="preserve">. </w:t>
      </w:r>
      <w:r w:rsidRPr="00653310">
        <w:rPr>
          <w:rFonts w:ascii="Cambria Math" w:hAnsi="Cambria Math"/>
          <w:i/>
        </w:rPr>
        <w:br/>
      </w:r>
    </w:p>
    <w:p w14:paraId="476A9AD4" w14:textId="77777777" w:rsidR="00D716EA" w:rsidRDefault="00D716EA" w:rsidP="00D716EA">
      <w:pPr>
        <w:spacing w:line="360" w:lineRule="auto"/>
      </w:pPr>
    </w:p>
    <w:p w14:paraId="5FC28A56" w14:textId="77777777" w:rsidR="00D716EA" w:rsidRDefault="00D716EA" w:rsidP="00D716EA">
      <w:pPr>
        <w:spacing w:line="360" w:lineRule="auto"/>
      </w:pPr>
      <w:r>
        <w:t xml:space="preserve">In the absence of coupling between structure and microbial activity, </w:t>
      </w:r>
      <m:oMath>
        <m:r>
          <w:rPr>
            <w:rFonts w:ascii="Cambria Math" w:hAnsi="Cambria Math"/>
          </w:rPr>
          <m:t xml:space="preserve">k=0 </m:t>
        </m:r>
      </m:oMath>
      <w:r>
        <w:t xml:space="preserve">, and the power-law exponent in equation 11 is equal to 2. As we increase the strength of the coupling, </w:t>
      </w:r>
      <m:oMath>
        <m:r>
          <w:rPr>
            <w:rFonts w:ascii="Cambria Math" w:hAnsi="Cambria Math"/>
          </w:rPr>
          <m:t>k</m:t>
        </m:r>
      </m:oMath>
      <w:r>
        <w:t xml:space="preserve"> progressively increases, and this has contrasting consequences for the equilibrium soil carbon content when the input flux is low (</w:t>
      </w:r>
      <m:oMath>
        <m:r>
          <w:rPr>
            <w:rFonts w:ascii="Cambria Math" w:hAnsi="Cambria Math"/>
          </w:rPr>
          <m:t>f≪</m:t>
        </m:r>
        <m:sSub>
          <m:sSubPr>
            <m:ctrlPr>
              <w:rPr>
                <w:rFonts w:ascii="Cambria Math" w:hAnsi="Cambria Math"/>
                <w:i/>
              </w:rPr>
            </m:ctrlPr>
          </m:sSubPr>
          <m:e>
            <m:r>
              <w:rPr>
                <w:rFonts w:ascii="Cambria Math" w:hAnsi="Cambria Math"/>
              </w:rPr>
              <m:t>f</m:t>
            </m:r>
          </m:e>
          <m:sub>
            <m:r>
              <w:rPr>
                <w:rFonts w:ascii="Cambria Math" w:hAnsi="Cambria Math"/>
              </w:rPr>
              <m:t>0</m:t>
            </m:r>
          </m:sub>
        </m:sSub>
      </m:oMath>
      <w:r>
        <w:t>) compared to high input flux (</w:t>
      </w:r>
      <m:oMath>
        <m:r>
          <w:rPr>
            <w:rFonts w:ascii="Cambria Math" w:hAnsi="Cambria Math"/>
          </w:rPr>
          <m:t>f≫</m:t>
        </m:r>
        <m:sSub>
          <m:sSubPr>
            <m:ctrlPr>
              <w:rPr>
                <w:rFonts w:ascii="Cambria Math" w:hAnsi="Cambria Math"/>
                <w:i/>
              </w:rPr>
            </m:ctrlPr>
          </m:sSubPr>
          <m:e>
            <m:r>
              <w:rPr>
                <w:rFonts w:ascii="Cambria Math" w:hAnsi="Cambria Math"/>
              </w:rPr>
              <m:t>f</m:t>
            </m:r>
          </m:e>
          <m:sub>
            <m:r>
              <w:rPr>
                <w:rFonts w:ascii="Cambria Math" w:hAnsi="Cambria Math"/>
              </w:rPr>
              <m:t>0</m:t>
            </m:r>
          </m:sub>
        </m:sSub>
      </m:oMath>
      <w:r>
        <w:t xml:space="preserve">). In the former case, the equilibrium soil carbon content is higher in the presence of coupling between structure and microbial activity and increases monotonically with </w:t>
      </w:r>
      <m:oMath>
        <m:r>
          <w:rPr>
            <w:rFonts w:ascii="Cambria Math" w:hAnsi="Cambria Math"/>
          </w:rPr>
          <m:t>k</m:t>
        </m:r>
      </m:oMath>
      <w:r>
        <w:t xml:space="preserve"> for all </w:t>
      </w:r>
      <m:oMath>
        <m:r>
          <w:rPr>
            <w:rFonts w:ascii="Cambria Math" w:hAnsi="Cambria Math"/>
          </w:rPr>
          <m:t>k&gt;0</m:t>
        </m:r>
      </m:oMath>
      <w:r>
        <w:t xml:space="preserve">. In the latter case, the equilibrium carbon content is lower and decreases monotonically with </w:t>
      </w:r>
      <m:oMath>
        <m:r>
          <w:rPr>
            <w:rFonts w:ascii="Cambria Math" w:hAnsi="Cambria Math"/>
          </w:rPr>
          <m:t>k</m:t>
        </m:r>
      </m:oMath>
      <w:r>
        <w:t xml:space="preserve"> for all </w:t>
      </w:r>
      <m:oMath>
        <m:r>
          <w:rPr>
            <w:rFonts w:ascii="Cambria Math" w:hAnsi="Cambria Math"/>
          </w:rPr>
          <m:t>k&gt;0</m:t>
        </m:r>
      </m:oMath>
      <w:r>
        <w:t>. If we associate the coupling of microbial activity and structure with the emergence of S-OC, then we see that the S-OC modelled in this way maintains soil carbon levels within a narrower range of values in an environment where carbon inputs fluctuate. This effect is enhanced when the feedback between structure and microbial metabolism is stronger i.e. for higher values of k.</w:t>
      </w:r>
    </w:p>
    <w:p w14:paraId="7C691A72" w14:textId="77777777" w:rsidR="00DC6CBA" w:rsidRDefault="00DC6CBA"/>
    <w:p w14:paraId="796CFF17" w14:textId="57B3AE2A" w:rsidR="00C25AD5" w:rsidRPr="00EF2312" w:rsidRDefault="00EF2312">
      <w:pPr>
        <w:rPr>
          <w:b/>
          <w:bCs/>
        </w:rPr>
      </w:pPr>
      <w:r w:rsidRPr="00EF2312">
        <w:rPr>
          <w:b/>
          <w:bCs/>
        </w:rPr>
        <w:t>References</w:t>
      </w:r>
    </w:p>
    <w:p w14:paraId="6E581DB8" w14:textId="77777777" w:rsidR="00C25AD5" w:rsidRDefault="00C25AD5"/>
    <w:p w14:paraId="018F0943" w14:textId="77777777" w:rsidR="00EF2312" w:rsidRPr="00EF2312" w:rsidRDefault="00C25AD5" w:rsidP="00EF2312">
      <w:pPr>
        <w:pStyle w:val="Bibliography"/>
      </w:pPr>
      <w:r>
        <w:fldChar w:fldCharType="begin"/>
      </w:r>
      <w:r w:rsidR="00EF2312">
        <w:instrText xml:space="preserve"> ADDIN ZOTERO_BIBL {"uncited":[],"omitted":[],"custom":[]} CSL_BIBLIOGRAPHY </w:instrText>
      </w:r>
      <w:r>
        <w:fldChar w:fldCharType="separate"/>
      </w:r>
      <w:r w:rsidR="00EF2312" w:rsidRPr="00EF2312">
        <w:t>1.</w:t>
      </w:r>
      <w:r w:rsidR="00EF2312" w:rsidRPr="00EF2312">
        <w:tab/>
        <w:t xml:space="preserve">Schneider, C. A., </w:t>
      </w:r>
      <w:proofErr w:type="spellStart"/>
      <w:r w:rsidR="00EF2312" w:rsidRPr="00EF2312">
        <w:t>Rasband</w:t>
      </w:r>
      <w:proofErr w:type="spellEnd"/>
      <w:r w:rsidR="00EF2312" w:rsidRPr="00EF2312">
        <w:t xml:space="preserve">, W. S. &amp; </w:t>
      </w:r>
      <w:proofErr w:type="spellStart"/>
      <w:r w:rsidR="00EF2312" w:rsidRPr="00EF2312">
        <w:t>Eliceiri</w:t>
      </w:r>
      <w:proofErr w:type="spellEnd"/>
      <w:r w:rsidR="00EF2312" w:rsidRPr="00EF2312">
        <w:t xml:space="preserve">, K. W. NIH Image to ImageJ: 25 years of image analysis. </w:t>
      </w:r>
      <w:r w:rsidR="00EF2312" w:rsidRPr="00EF2312">
        <w:rPr>
          <w:i/>
          <w:iCs/>
        </w:rPr>
        <w:t>Nat Methods</w:t>
      </w:r>
      <w:r w:rsidR="00EF2312" w:rsidRPr="00EF2312">
        <w:t xml:space="preserve"> </w:t>
      </w:r>
      <w:r w:rsidR="00EF2312" w:rsidRPr="00EF2312">
        <w:rPr>
          <w:b/>
          <w:bCs/>
        </w:rPr>
        <w:t>9</w:t>
      </w:r>
      <w:r w:rsidR="00EF2312" w:rsidRPr="00EF2312">
        <w:t>, 671–675 (2012).</w:t>
      </w:r>
    </w:p>
    <w:p w14:paraId="6762FA32" w14:textId="77777777" w:rsidR="00EF2312" w:rsidRPr="00EF2312" w:rsidRDefault="00EF2312" w:rsidP="00EF2312">
      <w:pPr>
        <w:pStyle w:val="Bibliography"/>
      </w:pPr>
      <w:r w:rsidRPr="00EF2312">
        <w:t>2.</w:t>
      </w:r>
      <w:r w:rsidRPr="00EF2312">
        <w:tab/>
        <w:t xml:space="preserve">Vogel, H. J. &amp; Kretzschmar, A. Topological characterization of pore space in soil — sample preparation and digital image-processing. </w:t>
      </w:r>
      <w:proofErr w:type="spellStart"/>
      <w:r w:rsidRPr="00EF2312">
        <w:rPr>
          <w:i/>
          <w:iCs/>
        </w:rPr>
        <w:t>Geoderma</w:t>
      </w:r>
      <w:proofErr w:type="spellEnd"/>
      <w:r w:rsidRPr="00EF2312">
        <w:t xml:space="preserve"> </w:t>
      </w:r>
      <w:r w:rsidRPr="00EF2312">
        <w:rPr>
          <w:b/>
          <w:bCs/>
        </w:rPr>
        <w:t>73</w:t>
      </w:r>
      <w:r w:rsidRPr="00EF2312">
        <w:t>, 23–38 (1996).</w:t>
      </w:r>
    </w:p>
    <w:p w14:paraId="5B254C78" w14:textId="77777777" w:rsidR="00EF2312" w:rsidRPr="00EF2312" w:rsidRDefault="00EF2312" w:rsidP="00EF2312">
      <w:pPr>
        <w:pStyle w:val="Bibliography"/>
      </w:pPr>
      <w:r w:rsidRPr="00EF2312">
        <w:t>3.</w:t>
      </w:r>
      <w:r w:rsidRPr="00EF2312">
        <w:tab/>
        <w:t xml:space="preserve">Vogel, H.-J., Weller, U. &amp; Schlüter, S. Quantification of soil structure based on </w:t>
      </w:r>
      <w:proofErr w:type="spellStart"/>
      <w:r w:rsidRPr="00EF2312">
        <w:t>Minkowski</w:t>
      </w:r>
      <w:proofErr w:type="spellEnd"/>
      <w:r w:rsidRPr="00EF2312">
        <w:t xml:space="preserve"> functions. </w:t>
      </w:r>
      <w:r w:rsidRPr="00EF2312">
        <w:rPr>
          <w:i/>
          <w:iCs/>
        </w:rPr>
        <w:t>Computers &amp; Geosciences</w:t>
      </w:r>
      <w:r w:rsidRPr="00EF2312">
        <w:t xml:space="preserve"> </w:t>
      </w:r>
      <w:r w:rsidRPr="00EF2312">
        <w:rPr>
          <w:b/>
          <w:bCs/>
        </w:rPr>
        <w:t>36</w:t>
      </w:r>
      <w:r w:rsidRPr="00EF2312">
        <w:t>, 1236–1245 (2010).</w:t>
      </w:r>
    </w:p>
    <w:p w14:paraId="40F38A02" w14:textId="77777777" w:rsidR="00EF2312" w:rsidRPr="00EF2312" w:rsidRDefault="00EF2312" w:rsidP="00EF2312">
      <w:pPr>
        <w:pStyle w:val="Bibliography"/>
      </w:pPr>
      <w:r w:rsidRPr="00EF2312">
        <w:t>4.</w:t>
      </w:r>
      <w:r w:rsidRPr="00EF2312">
        <w:tab/>
        <w:t xml:space="preserve">Neal, A. L. </w:t>
      </w:r>
      <w:r w:rsidRPr="00EF2312">
        <w:rPr>
          <w:i/>
          <w:iCs/>
        </w:rPr>
        <w:t>et al.</w:t>
      </w:r>
      <w:r w:rsidRPr="00EF2312">
        <w:t xml:space="preserve"> Soil as an extended composite phenotype of the microbial metagenome. </w:t>
      </w:r>
      <w:r w:rsidRPr="00EF2312">
        <w:rPr>
          <w:i/>
          <w:iCs/>
        </w:rPr>
        <w:t>Sci Rep</w:t>
      </w:r>
      <w:r w:rsidRPr="00EF2312">
        <w:t xml:space="preserve"> </w:t>
      </w:r>
      <w:r w:rsidRPr="00EF2312">
        <w:rPr>
          <w:b/>
          <w:bCs/>
        </w:rPr>
        <w:t>10</w:t>
      </w:r>
      <w:r w:rsidRPr="00EF2312">
        <w:t>, 10649 (2020).</w:t>
      </w:r>
    </w:p>
    <w:p w14:paraId="5A025693" w14:textId="77777777" w:rsidR="00EF2312" w:rsidRPr="00EF2312" w:rsidRDefault="00EF2312" w:rsidP="00EF2312">
      <w:pPr>
        <w:pStyle w:val="Bibliography"/>
      </w:pPr>
      <w:r w:rsidRPr="00EF2312">
        <w:t>5.</w:t>
      </w:r>
      <w:r w:rsidRPr="00EF2312">
        <w:tab/>
        <w:t xml:space="preserve">Neal, A. L. </w:t>
      </w:r>
      <w:r w:rsidRPr="00EF2312">
        <w:rPr>
          <w:i/>
          <w:iCs/>
        </w:rPr>
        <w:t>et al.</w:t>
      </w:r>
      <w:r w:rsidRPr="00EF2312">
        <w:t xml:space="preserve"> Arable soil nitrogen dynamics reflect organic inputs via the extended composite phenotype. </w:t>
      </w:r>
      <w:r w:rsidRPr="00EF2312">
        <w:rPr>
          <w:i/>
          <w:iCs/>
        </w:rPr>
        <w:t>Nat Food</w:t>
      </w:r>
      <w:r w:rsidRPr="00EF2312">
        <w:t xml:space="preserve"> </w:t>
      </w:r>
      <w:r w:rsidRPr="00EF2312">
        <w:rPr>
          <w:b/>
          <w:bCs/>
        </w:rPr>
        <w:t>4</w:t>
      </w:r>
      <w:r w:rsidRPr="00EF2312">
        <w:t>, 51–60 (2023).</w:t>
      </w:r>
    </w:p>
    <w:p w14:paraId="26C03C2A" w14:textId="77777777" w:rsidR="00EF2312" w:rsidRPr="00EF2312" w:rsidRDefault="00EF2312" w:rsidP="00EF2312">
      <w:pPr>
        <w:pStyle w:val="Bibliography"/>
      </w:pPr>
      <w:r w:rsidRPr="00EF2312">
        <w:lastRenderedPageBreak/>
        <w:t>6.</w:t>
      </w:r>
      <w:r w:rsidRPr="00EF2312">
        <w:tab/>
        <w:t xml:space="preserve">Wang, M. </w:t>
      </w:r>
      <w:r w:rsidRPr="00EF2312">
        <w:rPr>
          <w:i/>
          <w:iCs/>
        </w:rPr>
        <w:t>et al.</w:t>
      </w:r>
      <w:r w:rsidRPr="00EF2312">
        <w:t xml:space="preserve"> Global soil profiles indicate depth-dependent soil carbon losses under a warmer climate. </w:t>
      </w:r>
      <w:r w:rsidRPr="00EF2312">
        <w:rPr>
          <w:i/>
          <w:iCs/>
        </w:rPr>
        <w:t xml:space="preserve">Nat </w:t>
      </w:r>
      <w:proofErr w:type="spellStart"/>
      <w:r w:rsidRPr="00EF2312">
        <w:rPr>
          <w:i/>
          <w:iCs/>
        </w:rPr>
        <w:t>Commun</w:t>
      </w:r>
      <w:proofErr w:type="spellEnd"/>
      <w:r w:rsidRPr="00EF2312">
        <w:t xml:space="preserve"> </w:t>
      </w:r>
      <w:r w:rsidRPr="00EF2312">
        <w:rPr>
          <w:b/>
          <w:bCs/>
        </w:rPr>
        <w:t>13</w:t>
      </w:r>
      <w:r w:rsidRPr="00EF2312">
        <w:t>, 5514 (2022).</w:t>
      </w:r>
    </w:p>
    <w:p w14:paraId="37D0ED47" w14:textId="77777777" w:rsidR="00EF2312" w:rsidRPr="00EF2312" w:rsidRDefault="00EF2312" w:rsidP="00EF2312">
      <w:pPr>
        <w:pStyle w:val="Bibliography"/>
      </w:pPr>
      <w:r w:rsidRPr="00EF2312">
        <w:t>7.</w:t>
      </w:r>
      <w:r w:rsidRPr="00EF2312">
        <w:tab/>
      </w:r>
      <w:proofErr w:type="spellStart"/>
      <w:r w:rsidRPr="00EF2312">
        <w:t>Bacq-Labreuil</w:t>
      </w:r>
      <w:proofErr w:type="spellEnd"/>
      <w:r w:rsidRPr="00EF2312">
        <w:t xml:space="preserve">, A. </w:t>
      </w:r>
      <w:r w:rsidRPr="00EF2312">
        <w:rPr>
          <w:i/>
          <w:iCs/>
        </w:rPr>
        <w:t>et al.</w:t>
      </w:r>
      <w:r w:rsidRPr="00EF2312">
        <w:t xml:space="preserve"> Effects of cropping systems upon the three-dimensional architecture of soil systems are modulated by texture. </w:t>
      </w:r>
      <w:proofErr w:type="spellStart"/>
      <w:r w:rsidRPr="00EF2312">
        <w:rPr>
          <w:i/>
          <w:iCs/>
        </w:rPr>
        <w:t>Geoderma</w:t>
      </w:r>
      <w:proofErr w:type="spellEnd"/>
      <w:r w:rsidRPr="00EF2312">
        <w:t xml:space="preserve"> </w:t>
      </w:r>
      <w:r w:rsidRPr="00EF2312">
        <w:rPr>
          <w:b/>
          <w:bCs/>
        </w:rPr>
        <w:t>332</w:t>
      </w:r>
      <w:r w:rsidRPr="00EF2312">
        <w:t>, 73–83 (2018).</w:t>
      </w:r>
    </w:p>
    <w:p w14:paraId="652B8459" w14:textId="77777777" w:rsidR="00EF2312" w:rsidRPr="00EF2312" w:rsidRDefault="00EF2312" w:rsidP="00EF2312">
      <w:pPr>
        <w:pStyle w:val="Bibliography"/>
      </w:pPr>
      <w:r w:rsidRPr="00EF2312">
        <w:t>8.</w:t>
      </w:r>
      <w:r w:rsidRPr="00EF2312">
        <w:tab/>
        <w:t>Rothamsted Research. Broadbalk soil organic carbon content 1843-2015. 73 KB, 35 KB (2021) doi:10.23637/KEYREFOABKSOC-02.</w:t>
      </w:r>
    </w:p>
    <w:p w14:paraId="51813614" w14:textId="77777777" w:rsidR="00EF2312" w:rsidRPr="00EF2312" w:rsidRDefault="00EF2312" w:rsidP="00EF2312">
      <w:pPr>
        <w:pStyle w:val="Bibliography"/>
      </w:pPr>
      <w:r w:rsidRPr="00EF2312">
        <w:t>9.</w:t>
      </w:r>
      <w:r w:rsidRPr="00EF2312">
        <w:tab/>
        <w:t xml:space="preserve">Zhang, X. </w:t>
      </w:r>
      <w:r w:rsidRPr="00EF2312">
        <w:rPr>
          <w:i/>
          <w:iCs/>
        </w:rPr>
        <w:t>et al.</w:t>
      </w:r>
      <w:r w:rsidRPr="00EF2312">
        <w:t xml:space="preserve"> Relationship between soil carbon sequestration and the ability of soil aggregates to transport dissolved oxygen. </w:t>
      </w:r>
      <w:proofErr w:type="spellStart"/>
      <w:r w:rsidRPr="00EF2312">
        <w:rPr>
          <w:i/>
          <w:iCs/>
        </w:rPr>
        <w:t>Geoderma</w:t>
      </w:r>
      <w:proofErr w:type="spellEnd"/>
      <w:r w:rsidRPr="00EF2312">
        <w:t xml:space="preserve"> </w:t>
      </w:r>
      <w:r w:rsidRPr="00EF2312">
        <w:rPr>
          <w:b/>
          <w:bCs/>
        </w:rPr>
        <w:t>403</w:t>
      </w:r>
      <w:r w:rsidRPr="00EF2312">
        <w:t>, 115370 (2021).</w:t>
      </w:r>
    </w:p>
    <w:p w14:paraId="4D5EE1C5" w14:textId="601AEE5D" w:rsidR="00C25AD5" w:rsidRDefault="00C25AD5">
      <w:r>
        <w:fldChar w:fldCharType="end"/>
      </w:r>
    </w:p>
    <w:sectPr w:rsidR="00C25AD5" w:rsidSect="00E315E3">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6EA"/>
    <w:rsid w:val="00076D77"/>
    <w:rsid w:val="000E4FF6"/>
    <w:rsid w:val="001D1599"/>
    <w:rsid w:val="002615B1"/>
    <w:rsid w:val="00273BAD"/>
    <w:rsid w:val="002748F5"/>
    <w:rsid w:val="003B67F1"/>
    <w:rsid w:val="003D041A"/>
    <w:rsid w:val="003E4D66"/>
    <w:rsid w:val="003F6BA4"/>
    <w:rsid w:val="004B34A9"/>
    <w:rsid w:val="004E16E0"/>
    <w:rsid w:val="00626325"/>
    <w:rsid w:val="006D7184"/>
    <w:rsid w:val="00704A62"/>
    <w:rsid w:val="00761717"/>
    <w:rsid w:val="007961FE"/>
    <w:rsid w:val="00810D99"/>
    <w:rsid w:val="00881C0B"/>
    <w:rsid w:val="00890710"/>
    <w:rsid w:val="008B1EE9"/>
    <w:rsid w:val="008D7992"/>
    <w:rsid w:val="009049BF"/>
    <w:rsid w:val="009D0FF6"/>
    <w:rsid w:val="00A1115F"/>
    <w:rsid w:val="00A32F9C"/>
    <w:rsid w:val="00A356A4"/>
    <w:rsid w:val="00A8255C"/>
    <w:rsid w:val="00AA6D0A"/>
    <w:rsid w:val="00B0511D"/>
    <w:rsid w:val="00B3406A"/>
    <w:rsid w:val="00B806E8"/>
    <w:rsid w:val="00B8271A"/>
    <w:rsid w:val="00C02AA1"/>
    <w:rsid w:val="00C25AD5"/>
    <w:rsid w:val="00CF6780"/>
    <w:rsid w:val="00D06189"/>
    <w:rsid w:val="00D207C6"/>
    <w:rsid w:val="00D41CFC"/>
    <w:rsid w:val="00D60BDE"/>
    <w:rsid w:val="00D716EA"/>
    <w:rsid w:val="00D90055"/>
    <w:rsid w:val="00DC286D"/>
    <w:rsid w:val="00DC6CBA"/>
    <w:rsid w:val="00EF2312"/>
    <w:rsid w:val="00F860DA"/>
    <w:rsid w:val="00FD78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5557346"/>
  <w15:chartTrackingRefBased/>
  <w15:docId w15:val="{364F7993-1C35-0E42-81D3-25E0AEC31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16EA"/>
    <w:rPr>
      <w:rFonts w:ascii="Times New Roman" w:eastAsia="Times New Roman" w:hAnsi="Times New Roman" w:cs="Times New Roman"/>
      <w:kern w:val="0"/>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716EA"/>
    <w:rPr>
      <w:sz w:val="16"/>
      <w:szCs w:val="16"/>
    </w:rPr>
  </w:style>
  <w:style w:type="paragraph" w:styleId="CommentText">
    <w:name w:val="annotation text"/>
    <w:basedOn w:val="Normal"/>
    <w:link w:val="CommentTextChar"/>
    <w:uiPriority w:val="99"/>
    <w:unhideWhenUsed/>
    <w:rsid w:val="00D716EA"/>
    <w:rPr>
      <w:sz w:val="20"/>
      <w:szCs w:val="20"/>
    </w:rPr>
  </w:style>
  <w:style w:type="character" w:customStyle="1" w:styleId="CommentTextChar">
    <w:name w:val="Comment Text Char"/>
    <w:basedOn w:val="DefaultParagraphFont"/>
    <w:link w:val="CommentText"/>
    <w:uiPriority w:val="99"/>
    <w:rsid w:val="00D716EA"/>
    <w:rPr>
      <w:rFonts w:ascii="Times New Roman" w:eastAsia="Times New Roman" w:hAnsi="Times New Roman" w:cs="Times New Roman"/>
      <w:kern w:val="0"/>
      <w:sz w:val="20"/>
      <w:szCs w:val="20"/>
      <w:lang w:eastAsia="en-GB"/>
      <w14:ligatures w14:val="none"/>
    </w:rPr>
  </w:style>
  <w:style w:type="character" w:styleId="Hyperlink">
    <w:name w:val="Hyperlink"/>
    <w:basedOn w:val="DefaultParagraphFont"/>
    <w:uiPriority w:val="99"/>
    <w:unhideWhenUsed/>
    <w:rsid w:val="00D716EA"/>
    <w:rPr>
      <w:color w:val="0563C1" w:themeColor="hyperlink"/>
      <w:u w:val="single"/>
    </w:rPr>
  </w:style>
  <w:style w:type="character" w:customStyle="1" w:styleId="anchor-text">
    <w:name w:val="anchor-text"/>
    <w:basedOn w:val="DefaultParagraphFont"/>
    <w:rsid w:val="00D716EA"/>
  </w:style>
  <w:style w:type="paragraph" w:styleId="Bibliography">
    <w:name w:val="Bibliography"/>
    <w:basedOn w:val="Normal"/>
    <w:next w:val="Normal"/>
    <w:uiPriority w:val="37"/>
    <w:unhideWhenUsed/>
    <w:rsid w:val="00626325"/>
    <w:pPr>
      <w:tabs>
        <w:tab w:val="left" w:pos="260"/>
      </w:tabs>
      <w:spacing w:line="480" w:lineRule="auto"/>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iencedirect.com/topics/agricultural-and-biological-sciences/sandy-loam-soils" TargetMode="External"/><Relationship Id="rId3" Type="http://schemas.openxmlformats.org/officeDocument/2006/relationships/webSettings" Target="webSettings.xml"/><Relationship Id="rId7" Type="http://schemas.openxmlformats.org/officeDocument/2006/relationships/hyperlink" Target="https://doi.org/10.23637/wrn3-cropping1938-2020-0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ra.rothamsted.ac.uk/experiment/rbk1" TargetMode="External"/><Relationship Id="rId11" Type="http://schemas.openxmlformats.org/officeDocument/2006/relationships/theme" Target="theme/theme1.xml"/><Relationship Id="rId5" Type="http://schemas.openxmlformats.org/officeDocument/2006/relationships/hyperlink" Target="https://www.sciencedirect.com/topics/earth-and-planetary-sciences/london-clay" TargetMode="External"/><Relationship Id="rId10" Type="http://schemas.openxmlformats.org/officeDocument/2006/relationships/fontTable" Target="fontTable.xml"/><Relationship Id="rId4" Type="http://schemas.openxmlformats.org/officeDocument/2006/relationships/hyperlink" Target="https://www.sciencedirect.com/topics/earth-and-planetary-sciences/eocene" TargetMode="External"/><Relationship Id="rId9" Type="http://schemas.openxmlformats.org/officeDocument/2006/relationships/hyperlink" Target="http://www.quantim.ufz.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8</Pages>
  <Words>6070</Words>
  <Characters>34600</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Crawford</dc:creator>
  <cp:keywords/>
  <dc:description/>
  <cp:lastModifiedBy>John Crawford</cp:lastModifiedBy>
  <cp:revision>43</cp:revision>
  <dcterms:created xsi:type="dcterms:W3CDTF">2023-11-17T14:28:00Z</dcterms:created>
  <dcterms:modified xsi:type="dcterms:W3CDTF">2023-11-17T17:02:00Z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id="A6ucxHYV"/&gt;&lt;style id="http://www.zotero.org/styles/nature" hasBibliography="1" bibliographyStyleHasBeenSet="1"/&gt;&lt;prefs&gt;&lt;pref name="fieldType" value="Field"/&gt;&lt;/prefs&gt;&lt;/data&gt;</vt:lpwstr>
  </property>
</Properties>
</file>