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D0193" w14:textId="77777777" w:rsidR="00DB756B" w:rsidRPr="00D76BD1" w:rsidRDefault="00DB756B" w:rsidP="00DB756B">
      <w:pPr>
        <w:spacing w:line="360" w:lineRule="auto"/>
        <w:jc w:val="center"/>
        <w:rPr>
          <w:rFonts w:ascii="Times New Roman" w:hAnsi="Times New Roman" w:cs="Times New Roman"/>
          <w:b/>
          <w:bCs/>
          <w:lang w:val="en-US"/>
        </w:rPr>
      </w:pPr>
      <w:r w:rsidRPr="00D76BD1">
        <w:rPr>
          <w:rFonts w:ascii="Times New Roman" w:hAnsi="Times New Roman" w:cs="Times New Roman"/>
          <w:b/>
          <w:bCs/>
          <w:lang w:val="en-US"/>
        </w:rPr>
        <w:t>A comparative study on the chronic responses of titanium dioxide nanoparticles on aerobic granular sludge and algal-bacterial granular sludge processes</w:t>
      </w:r>
    </w:p>
    <w:p w14:paraId="0CB23840" w14:textId="77777777" w:rsidR="00DB756B" w:rsidRPr="00D76BD1" w:rsidRDefault="00DB756B" w:rsidP="00DB756B">
      <w:pPr>
        <w:spacing w:line="360" w:lineRule="auto"/>
        <w:jc w:val="both"/>
        <w:rPr>
          <w:rFonts w:ascii="Times New Roman" w:hAnsi="Times New Roman" w:cs="Times New Roman"/>
          <w:lang w:val="en-US"/>
        </w:rPr>
      </w:pPr>
    </w:p>
    <w:p w14:paraId="2C24AC8B" w14:textId="6CE49C01" w:rsidR="00DB756B" w:rsidRPr="00D76BD1" w:rsidRDefault="00D76BD1" w:rsidP="00D76BD1">
      <w:pPr>
        <w:spacing w:line="360" w:lineRule="auto"/>
        <w:jc w:val="center"/>
        <w:rPr>
          <w:rFonts w:ascii="Times New Roman" w:hAnsi="Times New Roman" w:cs="Times New Roman"/>
          <w:b/>
          <w:bCs/>
          <w:lang w:val="en-US"/>
        </w:rPr>
      </w:pPr>
      <w:r w:rsidRPr="00D76BD1">
        <w:rPr>
          <w:rFonts w:ascii="Times New Roman" w:hAnsi="Times New Roman" w:cs="Times New Roman"/>
          <w:b/>
          <w:bCs/>
          <w:lang w:val="en-US"/>
        </w:rPr>
        <w:t>Environmental Science and Pollution Research</w:t>
      </w:r>
    </w:p>
    <w:p w14:paraId="383E0972" w14:textId="77777777" w:rsidR="00D76BD1" w:rsidRPr="00D76BD1" w:rsidRDefault="00D76BD1" w:rsidP="00DB756B">
      <w:pPr>
        <w:spacing w:line="360" w:lineRule="auto"/>
        <w:jc w:val="both"/>
        <w:rPr>
          <w:rFonts w:ascii="Times New Roman" w:hAnsi="Times New Roman" w:cs="Times New Roman"/>
          <w:lang w:val="en-US"/>
        </w:rPr>
      </w:pPr>
    </w:p>
    <w:p w14:paraId="44C12BC3" w14:textId="77777777" w:rsidR="00D76BD1" w:rsidRDefault="00D76BD1" w:rsidP="00CC525B">
      <w:pPr>
        <w:spacing w:line="360" w:lineRule="auto"/>
        <w:jc w:val="both"/>
        <w:rPr>
          <w:rFonts w:ascii="Times New Roman" w:hAnsi="Times New Roman" w:cs="Times New Roman"/>
          <w:lang w:val="en-US"/>
        </w:rPr>
      </w:pPr>
    </w:p>
    <w:p w14:paraId="111AC1B6" w14:textId="4A128D3D" w:rsidR="00CC525B" w:rsidRPr="00D76BD1" w:rsidRDefault="00CC525B" w:rsidP="00CC525B">
      <w:pPr>
        <w:spacing w:line="360" w:lineRule="auto"/>
        <w:jc w:val="both"/>
        <w:rPr>
          <w:rFonts w:ascii="Times New Roman" w:hAnsi="Times New Roman" w:cs="Times New Roman"/>
          <w:lang w:val="en-US"/>
        </w:rPr>
      </w:pPr>
      <w:proofErr w:type="spellStart"/>
      <w:r w:rsidRPr="00D76BD1">
        <w:rPr>
          <w:rFonts w:ascii="Times New Roman" w:hAnsi="Times New Roman" w:cs="Times New Roman"/>
          <w:lang w:val="en-US"/>
        </w:rPr>
        <w:t>Alfonz</w:t>
      </w:r>
      <w:proofErr w:type="spellEnd"/>
      <w:r w:rsidRPr="00D76BD1">
        <w:rPr>
          <w:rFonts w:ascii="Times New Roman" w:hAnsi="Times New Roman" w:cs="Times New Roman"/>
          <w:lang w:val="en-US"/>
        </w:rPr>
        <w:t xml:space="preserve"> Kedves</w:t>
      </w:r>
      <w:r w:rsidRPr="00D76BD1">
        <w:rPr>
          <w:rFonts w:ascii="Times New Roman" w:hAnsi="Times New Roman" w:cs="Times New Roman"/>
          <w:vertAlign w:val="superscript"/>
          <w:lang w:val="en-US"/>
        </w:rPr>
        <w:t>1</w:t>
      </w:r>
      <w:r w:rsidRPr="00D76BD1">
        <w:rPr>
          <w:rFonts w:ascii="Times New Roman" w:hAnsi="Times New Roman" w:cs="Times New Roman"/>
          <w:lang w:val="en-US"/>
        </w:rPr>
        <w:t xml:space="preserve">, </w:t>
      </w:r>
      <w:bookmarkStart w:id="0" w:name="_Hlk162353018"/>
      <w:r w:rsidRPr="00D76BD1">
        <w:rPr>
          <w:rFonts w:ascii="Times New Roman" w:hAnsi="Times New Roman" w:cs="Times New Roman"/>
          <w:lang w:val="en-US"/>
        </w:rPr>
        <w:t>Henrik Haspel</w:t>
      </w:r>
      <w:r w:rsidRPr="00D76BD1">
        <w:rPr>
          <w:rFonts w:ascii="Times New Roman" w:hAnsi="Times New Roman" w:cs="Times New Roman"/>
          <w:vertAlign w:val="superscript"/>
          <w:lang w:val="en-US"/>
        </w:rPr>
        <w:t>1,2</w:t>
      </w:r>
      <w:r w:rsidRPr="00D76BD1">
        <w:rPr>
          <w:rFonts w:ascii="Times New Roman" w:hAnsi="Times New Roman" w:cs="Times New Roman"/>
          <w:lang w:val="en-US"/>
        </w:rPr>
        <w:t xml:space="preserve">, </w:t>
      </w:r>
      <w:proofErr w:type="spellStart"/>
      <w:r w:rsidRPr="00D76BD1">
        <w:rPr>
          <w:rFonts w:ascii="Times New Roman" w:hAnsi="Times New Roman" w:cs="Times New Roman"/>
          <w:lang w:val="en-US"/>
        </w:rPr>
        <w:t>Çağdaş</w:t>
      </w:r>
      <w:bookmarkEnd w:id="0"/>
      <w:proofErr w:type="spellEnd"/>
      <w:r w:rsidRPr="00D76BD1">
        <w:rPr>
          <w:rFonts w:ascii="Times New Roman" w:hAnsi="Times New Roman" w:cs="Times New Roman"/>
          <w:lang w:val="en-US"/>
        </w:rPr>
        <w:t xml:space="preserve"> Yavuz</w:t>
      </w:r>
      <w:r w:rsidRPr="00D76BD1">
        <w:rPr>
          <w:rFonts w:ascii="Times New Roman" w:hAnsi="Times New Roman" w:cs="Times New Roman"/>
          <w:vertAlign w:val="superscript"/>
          <w:lang w:val="en-US"/>
        </w:rPr>
        <w:t>1</w:t>
      </w:r>
      <w:r w:rsidRPr="00D76BD1">
        <w:rPr>
          <w:rFonts w:ascii="Times New Roman" w:hAnsi="Times New Roman" w:cs="Times New Roman"/>
          <w:lang w:val="en-US"/>
        </w:rPr>
        <w:t>, Bence Kutus</w:t>
      </w:r>
      <w:r w:rsidRPr="00D76BD1">
        <w:rPr>
          <w:rFonts w:ascii="Times New Roman" w:hAnsi="Times New Roman" w:cs="Times New Roman"/>
          <w:vertAlign w:val="superscript"/>
          <w:lang w:val="en-US"/>
        </w:rPr>
        <w:t>3</w:t>
      </w:r>
      <w:r w:rsidRPr="00D76BD1">
        <w:rPr>
          <w:rFonts w:ascii="Times New Roman" w:hAnsi="Times New Roman" w:cs="Times New Roman"/>
          <w:lang w:val="en-US"/>
        </w:rPr>
        <w:t>, Zoltán Kónya</w:t>
      </w:r>
      <w:r w:rsidRPr="00D76BD1">
        <w:rPr>
          <w:rFonts w:ascii="Times New Roman" w:hAnsi="Times New Roman" w:cs="Times New Roman"/>
          <w:vertAlign w:val="superscript"/>
          <w:lang w:val="en-US"/>
        </w:rPr>
        <w:t>1,2</w:t>
      </w:r>
    </w:p>
    <w:p w14:paraId="62E1B046" w14:textId="77777777" w:rsidR="00D76BD1" w:rsidRDefault="00D76BD1" w:rsidP="00CC525B">
      <w:pPr>
        <w:pStyle w:val="NormlWeb"/>
        <w:spacing w:before="0" w:beforeAutospacing="0" w:after="0" w:afterAutospacing="0" w:line="360" w:lineRule="auto"/>
        <w:jc w:val="both"/>
        <w:rPr>
          <w:i/>
          <w:sz w:val="22"/>
          <w:szCs w:val="22"/>
          <w:vertAlign w:val="superscript"/>
          <w:lang w:val="en-US"/>
        </w:rPr>
      </w:pPr>
    </w:p>
    <w:p w14:paraId="4EE3E8A6" w14:textId="41B8A012" w:rsidR="00CC525B" w:rsidRPr="00D76BD1" w:rsidRDefault="00CC525B" w:rsidP="00CC525B">
      <w:pPr>
        <w:pStyle w:val="NormlWeb"/>
        <w:spacing w:before="0" w:beforeAutospacing="0" w:after="0" w:afterAutospacing="0" w:line="360" w:lineRule="auto"/>
        <w:jc w:val="both"/>
        <w:rPr>
          <w:i/>
          <w:sz w:val="22"/>
          <w:szCs w:val="22"/>
          <w:lang w:val="en-US"/>
        </w:rPr>
      </w:pPr>
      <w:r w:rsidRPr="00D76BD1">
        <w:rPr>
          <w:i/>
          <w:sz w:val="22"/>
          <w:szCs w:val="22"/>
          <w:vertAlign w:val="superscript"/>
          <w:lang w:val="en-US"/>
        </w:rPr>
        <w:t>1</w:t>
      </w:r>
      <w:r w:rsidRPr="00D76BD1">
        <w:rPr>
          <w:i/>
          <w:sz w:val="22"/>
          <w:szCs w:val="22"/>
          <w:lang w:val="en-US"/>
        </w:rPr>
        <w:t>Department of Applied and Environmental Chemistry, University of Szeged, Szeged, Hungary.</w:t>
      </w:r>
    </w:p>
    <w:p w14:paraId="186111CE" w14:textId="77777777" w:rsidR="00CC525B" w:rsidRPr="00D76BD1" w:rsidRDefault="00CC525B" w:rsidP="00CC525B">
      <w:pPr>
        <w:pStyle w:val="NormlWeb"/>
        <w:spacing w:before="0" w:beforeAutospacing="0" w:after="0" w:afterAutospacing="0" w:line="360" w:lineRule="auto"/>
        <w:jc w:val="both"/>
        <w:rPr>
          <w:i/>
          <w:sz w:val="22"/>
          <w:szCs w:val="22"/>
          <w:lang w:val="en-US"/>
        </w:rPr>
      </w:pPr>
      <w:r w:rsidRPr="00D76BD1">
        <w:rPr>
          <w:i/>
          <w:sz w:val="22"/>
          <w:szCs w:val="22"/>
          <w:vertAlign w:val="superscript"/>
          <w:lang w:val="en-US"/>
        </w:rPr>
        <w:t>2</w:t>
      </w:r>
      <w:r w:rsidRPr="00D76BD1">
        <w:rPr>
          <w:i/>
          <w:sz w:val="22"/>
          <w:szCs w:val="22"/>
          <w:lang w:val="en-US"/>
        </w:rPr>
        <w:t>HUN-REN Reaction Kinetics and Surface Chemistry Research Group, Szeged, Hungary.</w:t>
      </w:r>
    </w:p>
    <w:p w14:paraId="5EF4DC15" w14:textId="77777777" w:rsidR="00CC525B" w:rsidRPr="00D76BD1" w:rsidRDefault="00CC525B" w:rsidP="00CC525B">
      <w:pPr>
        <w:pStyle w:val="NormlWeb"/>
        <w:spacing w:before="0" w:beforeAutospacing="0" w:after="0" w:afterAutospacing="0" w:line="360" w:lineRule="auto"/>
        <w:jc w:val="both"/>
        <w:rPr>
          <w:i/>
          <w:sz w:val="22"/>
          <w:szCs w:val="22"/>
          <w:lang w:val="en-US"/>
        </w:rPr>
      </w:pPr>
      <w:r w:rsidRPr="00D76BD1">
        <w:rPr>
          <w:i/>
          <w:sz w:val="22"/>
          <w:szCs w:val="22"/>
          <w:vertAlign w:val="superscript"/>
          <w:lang w:val="en-US"/>
        </w:rPr>
        <w:t>3</w:t>
      </w:r>
      <w:r w:rsidRPr="00D76BD1">
        <w:rPr>
          <w:i/>
          <w:sz w:val="22"/>
          <w:szCs w:val="22"/>
          <w:lang w:val="en-US"/>
        </w:rPr>
        <w:t>Department of Molecular and Analytical Chemistry, University of Szeged, Szeged, Hungary.</w:t>
      </w:r>
    </w:p>
    <w:p w14:paraId="72AC0012" w14:textId="77777777" w:rsidR="00CC525B" w:rsidRPr="00D76BD1" w:rsidRDefault="00CC525B" w:rsidP="00CC525B">
      <w:pPr>
        <w:spacing w:line="360" w:lineRule="auto"/>
        <w:jc w:val="both"/>
        <w:rPr>
          <w:rFonts w:ascii="Times New Roman" w:hAnsi="Times New Roman" w:cs="Times New Roman"/>
          <w:lang w:val="en-US"/>
        </w:rPr>
      </w:pPr>
    </w:p>
    <w:p w14:paraId="4B8BA8B3" w14:textId="77777777" w:rsidR="00CC525B" w:rsidRPr="00D76BD1" w:rsidRDefault="00CC525B" w:rsidP="00CC525B">
      <w:pPr>
        <w:spacing w:line="360" w:lineRule="auto"/>
        <w:jc w:val="both"/>
        <w:rPr>
          <w:rFonts w:ascii="Times New Roman" w:hAnsi="Times New Roman" w:cs="Times New Roman"/>
          <w:lang w:val="en-US"/>
        </w:rPr>
      </w:pPr>
    </w:p>
    <w:p w14:paraId="47D3C61A" w14:textId="49777721" w:rsidR="00CC525B" w:rsidRPr="00D76BD1" w:rsidRDefault="00694C56" w:rsidP="00CC525B">
      <w:pPr>
        <w:spacing w:line="360" w:lineRule="auto"/>
        <w:jc w:val="both"/>
        <w:rPr>
          <w:rStyle w:val="Hiperhivatkozs"/>
          <w:rFonts w:ascii="Times New Roman" w:hAnsi="Times New Roman" w:cs="Times New Roman"/>
          <w:lang w:val="en-US"/>
        </w:rPr>
      </w:pPr>
      <w:r w:rsidRPr="00D76BD1">
        <w:rPr>
          <w:rFonts w:ascii="Times New Roman" w:hAnsi="Times New Roman" w:cs="Times New Roman"/>
        </w:rPr>
        <w:t xml:space="preserve">Corresponding author: </w:t>
      </w:r>
      <w:proofErr w:type="spellStart"/>
      <w:r w:rsidRPr="00D76BD1">
        <w:rPr>
          <w:rFonts w:ascii="Times New Roman" w:hAnsi="Times New Roman" w:cs="Times New Roman"/>
        </w:rPr>
        <w:t>Alfonz</w:t>
      </w:r>
      <w:proofErr w:type="spellEnd"/>
      <w:r w:rsidRPr="00D76BD1">
        <w:rPr>
          <w:rFonts w:ascii="Times New Roman" w:hAnsi="Times New Roman" w:cs="Times New Roman"/>
        </w:rPr>
        <w:t xml:space="preserve"> </w:t>
      </w:r>
      <w:proofErr w:type="spellStart"/>
      <w:r w:rsidRPr="00D76BD1">
        <w:rPr>
          <w:rFonts w:ascii="Times New Roman" w:hAnsi="Times New Roman" w:cs="Times New Roman"/>
        </w:rPr>
        <w:t>Kedves</w:t>
      </w:r>
      <w:proofErr w:type="spellEnd"/>
      <w:r w:rsidRPr="00D76BD1">
        <w:rPr>
          <w:rFonts w:ascii="Times New Roman" w:hAnsi="Times New Roman" w:cs="Times New Roman"/>
        </w:rPr>
        <w:t xml:space="preserve">, PhD, Department of Applied and Environmental Chemistry, University of Szeged, H-6720 Szeged, </w:t>
      </w:r>
      <w:proofErr w:type="spellStart"/>
      <w:r w:rsidRPr="00D76BD1">
        <w:rPr>
          <w:rFonts w:ascii="Times New Roman" w:hAnsi="Times New Roman" w:cs="Times New Roman"/>
        </w:rPr>
        <w:t>Rerrich</w:t>
      </w:r>
      <w:proofErr w:type="spellEnd"/>
      <w:r w:rsidRPr="00D76BD1">
        <w:rPr>
          <w:rFonts w:ascii="Times New Roman" w:hAnsi="Times New Roman" w:cs="Times New Roman"/>
        </w:rPr>
        <w:t xml:space="preserve"> Béla </w:t>
      </w:r>
      <w:proofErr w:type="spellStart"/>
      <w:r w:rsidRPr="00D76BD1">
        <w:rPr>
          <w:rFonts w:ascii="Times New Roman" w:hAnsi="Times New Roman" w:cs="Times New Roman"/>
        </w:rPr>
        <w:t>tér</w:t>
      </w:r>
      <w:proofErr w:type="spellEnd"/>
      <w:r w:rsidRPr="00D76BD1">
        <w:rPr>
          <w:rFonts w:ascii="Times New Roman" w:hAnsi="Times New Roman" w:cs="Times New Roman"/>
        </w:rPr>
        <w:t xml:space="preserve"> 1, Hungary. E-mail address: </w:t>
      </w:r>
      <w:hyperlink r:id="rId5" w:history="1">
        <w:r w:rsidRPr="00D76BD1">
          <w:rPr>
            <w:rStyle w:val="Hiperhivatkozs"/>
            <w:rFonts w:ascii="Times New Roman" w:hAnsi="Times New Roman" w:cs="Times New Roman"/>
          </w:rPr>
          <w:t>kedvesalfonz@chem.u-szeged.hu</w:t>
        </w:r>
      </w:hyperlink>
    </w:p>
    <w:p w14:paraId="06F7FA00" w14:textId="3CBF8E84" w:rsidR="00432331" w:rsidRPr="00D76BD1" w:rsidRDefault="00432331" w:rsidP="00953F9D">
      <w:pPr>
        <w:spacing w:line="360" w:lineRule="auto"/>
        <w:jc w:val="both"/>
        <w:rPr>
          <w:rFonts w:ascii="Times New Roman" w:hAnsi="Times New Roman" w:cs="Times New Roman"/>
        </w:rPr>
      </w:pPr>
    </w:p>
    <w:p w14:paraId="1BCB359F" w14:textId="77777777" w:rsidR="00432331" w:rsidRPr="00D76BD1" w:rsidRDefault="00432331">
      <w:pPr>
        <w:rPr>
          <w:rFonts w:ascii="Times New Roman" w:hAnsi="Times New Roman" w:cs="Times New Roman"/>
        </w:rPr>
      </w:pPr>
      <w:r w:rsidRPr="00D76BD1">
        <w:rPr>
          <w:rFonts w:ascii="Times New Roman" w:hAnsi="Times New Roman" w:cs="Times New Roman"/>
        </w:rPr>
        <w:br w:type="page"/>
      </w:r>
    </w:p>
    <w:p w14:paraId="75A9C8EB" w14:textId="77777777" w:rsidR="00432331" w:rsidRPr="00D76BD1" w:rsidRDefault="00432331" w:rsidP="00432331">
      <w:pPr>
        <w:spacing w:line="360" w:lineRule="auto"/>
        <w:jc w:val="both"/>
        <w:rPr>
          <w:rFonts w:ascii="Times New Roman" w:hAnsi="Times New Roman" w:cs="Times New Roman"/>
          <w:b/>
          <w:bCs/>
          <w:lang w:val="en-US"/>
        </w:rPr>
      </w:pPr>
      <w:r w:rsidRPr="00D76BD1">
        <w:rPr>
          <w:rFonts w:ascii="Times New Roman" w:hAnsi="Times New Roman" w:cs="Times New Roman"/>
          <w:b/>
          <w:bCs/>
          <w:lang w:val="en-US"/>
        </w:rPr>
        <w:lastRenderedPageBreak/>
        <w:t>2. Material and methods</w:t>
      </w:r>
    </w:p>
    <w:p w14:paraId="4358E5B6" w14:textId="401D8DB1" w:rsidR="00CD76F2" w:rsidRPr="00D76BD1" w:rsidRDefault="00CD76F2" w:rsidP="00432331">
      <w:pPr>
        <w:spacing w:line="360" w:lineRule="auto"/>
        <w:jc w:val="both"/>
        <w:rPr>
          <w:rFonts w:ascii="Times New Roman" w:hAnsi="Times New Roman" w:cs="Times New Roman"/>
          <w:b/>
          <w:bCs/>
          <w:lang w:val="en-US"/>
        </w:rPr>
      </w:pPr>
      <w:r w:rsidRPr="00D76BD1">
        <w:rPr>
          <w:rFonts w:ascii="Times New Roman" w:hAnsi="Times New Roman" w:cs="Times New Roman"/>
          <w:b/>
          <w:bCs/>
          <w:lang w:val="en-US"/>
        </w:rPr>
        <w:t>2.1. Configuration of AGS and ABGS bioreactors</w:t>
      </w:r>
    </w:p>
    <w:p w14:paraId="19D78391" w14:textId="106BB966" w:rsidR="00CD76F2" w:rsidRPr="00D76BD1" w:rsidRDefault="00CD76F2" w:rsidP="00432331">
      <w:pPr>
        <w:spacing w:line="360" w:lineRule="auto"/>
        <w:jc w:val="both"/>
        <w:rPr>
          <w:rFonts w:ascii="Times New Roman" w:hAnsi="Times New Roman" w:cs="Times New Roman"/>
          <w:lang w:val="en-US"/>
        </w:rPr>
      </w:pPr>
      <w:r w:rsidRPr="00D76BD1">
        <w:rPr>
          <w:rFonts w:ascii="Times New Roman" w:hAnsi="Times New Roman" w:cs="Times New Roman"/>
          <w:lang w:val="en-US"/>
        </w:rPr>
        <w:t>Urban wastewater treatment plant (Szeged, Hungary) provided the activated sludge (AS). Aerobic granul</w:t>
      </w:r>
      <w:r w:rsidR="00183E7A" w:rsidRPr="00D76BD1">
        <w:rPr>
          <w:rFonts w:ascii="Times New Roman" w:hAnsi="Times New Roman" w:cs="Times New Roman"/>
          <w:lang w:val="en-US"/>
        </w:rPr>
        <w:t>ar sludge (AGS)</w:t>
      </w:r>
      <w:r w:rsidRPr="00D76BD1">
        <w:rPr>
          <w:rFonts w:ascii="Times New Roman" w:hAnsi="Times New Roman" w:cs="Times New Roman"/>
          <w:lang w:val="en-US"/>
        </w:rPr>
        <w:t xml:space="preserve"> </w:t>
      </w:r>
      <w:r w:rsidR="00183E7A" w:rsidRPr="00D76BD1">
        <w:rPr>
          <w:rFonts w:ascii="Times New Roman" w:hAnsi="Times New Roman" w:cs="Times New Roman"/>
          <w:lang w:val="en-US"/>
        </w:rPr>
        <w:t>was</w:t>
      </w:r>
      <w:r w:rsidRPr="00D76BD1">
        <w:rPr>
          <w:rFonts w:ascii="Times New Roman" w:hAnsi="Times New Roman" w:cs="Times New Roman"/>
          <w:lang w:val="en-US"/>
        </w:rPr>
        <w:t xml:space="preserve"> cultivated in two identical sequencing batch reactors (SBRs) with a height-to-diameter ratio of 7 and an effective working volume of 1.4 L. An artificial light source delivered 12-hour daily illumination near the algal-bacterial </w:t>
      </w:r>
      <w:r w:rsidR="00183E7A" w:rsidRPr="00D76BD1">
        <w:rPr>
          <w:rFonts w:ascii="Times New Roman" w:hAnsi="Times New Roman" w:cs="Times New Roman"/>
          <w:lang w:val="en-US"/>
        </w:rPr>
        <w:t>granular sludge (ABGS)</w:t>
      </w:r>
      <w:r w:rsidRPr="00D76BD1">
        <w:rPr>
          <w:rFonts w:ascii="Times New Roman" w:hAnsi="Times New Roman" w:cs="Times New Roman"/>
          <w:lang w:val="en-US"/>
        </w:rPr>
        <w:t xml:space="preserve"> SBR at an intensity of approximately 6500 lux, while the AGS reactor remained covered by a hood to prevent light exposure.</w:t>
      </w:r>
      <w:r w:rsidR="00334948" w:rsidRPr="00D76BD1">
        <w:rPr>
          <w:rFonts w:ascii="Times New Roman" w:hAnsi="Times New Roman" w:cs="Times New Roman"/>
          <w:lang w:val="en-US"/>
        </w:rPr>
        <w:t xml:space="preserve"> </w:t>
      </w:r>
      <w:r w:rsidRPr="00D76BD1">
        <w:rPr>
          <w:rFonts w:ascii="Times New Roman" w:hAnsi="Times New Roman" w:cs="Times New Roman"/>
          <w:lang w:val="en-US"/>
        </w:rPr>
        <w:t>To ensure oxygenation and complete mixing, air bubbles (superficial air velocity of 2 cm</w:t>
      </w:r>
      <w:r w:rsidR="00183E7A" w:rsidRPr="00D76BD1">
        <w:rPr>
          <w:rFonts w:ascii="Times New Roman" w:hAnsi="Times New Roman" w:cs="Times New Roman"/>
          <w:lang w:val="en-US"/>
        </w:rPr>
        <w:t xml:space="preserve"> </w:t>
      </w:r>
      <w:r w:rsidRPr="00D76BD1">
        <w:rPr>
          <w:rFonts w:ascii="Times New Roman" w:hAnsi="Times New Roman" w:cs="Times New Roman"/>
          <w:lang w:val="en-US"/>
        </w:rPr>
        <w:t>s</w:t>
      </w:r>
      <w:r w:rsidR="00183E7A" w:rsidRPr="00D76BD1">
        <w:rPr>
          <w:rFonts w:ascii="Times New Roman" w:hAnsi="Times New Roman" w:cs="Times New Roman"/>
          <w:vertAlign w:val="superscript"/>
          <w:lang w:val="en-US"/>
        </w:rPr>
        <w:t>-1</w:t>
      </w:r>
      <w:r w:rsidRPr="00D76BD1">
        <w:rPr>
          <w:rFonts w:ascii="Times New Roman" w:hAnsi="Times New Roman" w:cs="Times New Roman"/>
          <w:lang w:val="en-US"/>
        </w:rPr>
        <w:t xml:space="preserve">) were supplied by diffusers located at the reactor's bottom. Each cycle involved a decant/feed volume of 50% of the total volume, with an 8 h hydraulic retention time. The bioreactor operated at 21 ± 3 °C in 4-hour cycles, encompassing filling (5 min), aeration (225 min), settling (5 min), and withdrawal (5 min) periods. Peristaltic pumps controlled the filling and withdrawal of wastewater at specified flow rates. Characteristics of the synthetic wastewater (SWW) are summarized in </w:t>
      </w:r>
      <w:r w:rsidRPr="00D76BD1">
        <w:rPr>
          <w:rFonts w:ascii="Times New Roman" w:hAnsi="Times New Roman" w:cs="Times New Roman"/>
          <w:i/>
          <w:iCs/>
          <w:lang w:val="en-US"/>
        </w:rPr>
        <w:t>Table S1</w:t>
      </w:r>
      <w:r w:rsidRPr="00D76BD1">
        <w:rPr>
          <w:rFonts w:ascii="Times New Roman" w:hAnsi="Times New Roman" w:cs="Times New Roman"/>
          <w:lang w:val="en-US"/>
        </w:rPr>
        <w:t xml:space="preserve">. </w:t>
      </w:r>
    </w:p>
    <w:p w14:paraId="0854C89B" w14:textId="77777777" w:rsidR="00CD76F2" w:rsidRPr="00D76BD1" w:rsidRDefault="00CD76F2" w:rsidP="00CD76F2">
      <w:pPr>
        <w:jc w:val="both"/>
        <w:rPr>
          <w:rFonts w:ascii="Times New Roman" w:hAnsi="Times New Roman"/>
        </w:rPr>
      </w:pPr>
      <w:r w:rsidRPr="00D76BD1">
        <w:rPr>
          <w:rFonts w:ascii="Times New Roman" w:hAnsi="Times New Roman"/>
          <w:b/>
        </w:rPr>
        <w:t>Table S1</w:t>
      </w:r>
      <w:r w:rsidRPr="00D76BD1">
        <w:rPr>
          <w:rFonts w:ascii="Times New Roman" w:hAnsi="Times New Roman"/>
        </w:rPr>
        <w:t xml:space="preserve"> - Characteristics of synthetic wastewater and Sims South Wastewater Treatment activated sludge mixture </w:t>
      </w:r>
    </w:p>
    <w:tbl>
      <w:tblPr>
        <w:tblW w:w="7730" w:type="dxa"/>
        <w:jc w:val="center"/>
        <w:tblBorders>
          <w:top w:val="single" w:sz="4" w:space="0" w:color="auto"/>
          <w:bottom w:val="single" w:sz="4" w:space="0" w:color="auto"/>
        </w:tblBorders>
        <w:tblLook w:val="04A0" w:firstRow="1" w:lastRow="0" w:firstColumn="1" w:lastColumn="0" w:noHBand="0" w:noVBand="1"/>
      </w:tblPr>
      <w:tblGrid>
        <w:gridCol w:w="4455"/>
        <w:gridCol w:w="3275"/>
      </w:tblGrid>
      <w:tr w:rsidR="00CD76F2" w:rsidRPr="00D76BD1" w14:paraId="3A27204E" w14:textId="77777777" w:rsidTr="00CD76F2">
        <w:trPr>
          <w:jc w:val="center"/>
        </w:trPr>
        <w:tc>
          <w:tcPr>
            <w:tcW w:w="4455" w:type="dxa"/>
            <w:tcBorders>
              <w:top w:val="single" w:sz="4" w:space="0" w:color="auto"/>
              <w:bottom w:val="single" w:sz="4" w:space="0" w:color="auto"/>
            </w:tcBorders>
            <w:shd w:val="clear" w:color="auto" w:fill="auto"/>
          </w:tcPr>
          <w:p w14:paraId="37A08FCA" w14:textId="77777777" w:rsidR="00CD76F2" w:rsidRPr="00D76BD1" w:rsidRDefault="00CD76F2" w:rsidP="00D17C01">
            <w:pPr>
              <w:spacing w:after="0" w:line="240" w:lineRule="auto"/>
              <w:jc w:val="center"/>
              <w:rPr>
                <w:rFonts w:ascii="Times New Roman" w:hAnsi="Times New Roman"/>
                <w:b/>
              </w:rPr>
            </w:pPr>
            <w:r w:rsidRPr="00D76BD1">
              <w:rPr>
                <w:rFonts w:ascii="Times New Roman" w:hAnsi="Times New Roman"/>
                <w:b/>
              </w:rPr>
              <w:t>Parameters</w:t>
            </w:r>
          </w:p>
        </w:tc>
        <w:tc>
          <w:tcPr>
            <w:tcW w:w="3275" w:type="dxa"/>
            <w:tcBorders>
              <w:top w:val="single" w:sz="4" w:space="0" w:color="auto"/>
              <w:bottom w:val="single" w:sz="4" w:space="0" w:color="auto"/>
            </w:tcBorders>
            <w:shd w:val="clear" w:color="auto" w:fill="auto"/>
          </w:tcPr>
          <w:p w14:paraId="25B91C0A" w14:textId="77777777" w:rsidR="00CD76F2" w:rsidRPr="00D76BD1" w:rsidRDefault="00CD76F2" w:rsidP="00D17C01">
            <w:pPr>
              <w:spacing w:after="0" w:line="240" w:lineRule="auto"/>
              <w:jc w:val="center"/>
              <w:rPr>
                <w:rFonts w:ascii="Times New Roman" w:hAnsi="Times New Roman"/>
                <w:b/>
              </w:rPr>
            </w:pPr>
            <w:r w:rsidRPr="00D76BD1">
              <w:rPr>
                <w:rFonts w:ascii="Times New Roman" w:hAnsi="Times New Roman"/>
                <w:b/>
              </w:rPr>
              <w:t>Synthetic wastewater</w:t>
            </w:r>
          </w:p>
        </w:tc>
      </w:tr>
      <w:tr w:rsidR="00CD76F2" w:rsidRPr="00D76BD1" w14:paraId="18EF740D" w14:textId="77777777" w:rsidTr="00CD76F2">
        <w:trPr>
          <w:jc w:val="center"/>
        </w:trPr>
        <w:tc>
          <w:tcPr>
            <w:tcW w:w="4455" w:type="dxa"/>
            <w:tcBorders>
              <w:top w:val="single" w:sz="4" w:space="0" w:color="auto"/>
            </w:tcBorders>
            <w:shd w:val="clear" w:color="auto" w:fill="auto"/>
          </w:tcPr>
          <w:p w14:paraId="0A0F2948" w14:textId="77777777" w:rsidR="00CD76F2" w:rsidRPr="00D76BD1" w:rsidRDefault="00CD76F2" w:rsidP="00D17C01">
            <w:pPr>
              <w:spacing w:after="0" w:line="240" w:lineRule="auto"/>
              <w:jc w:val="center"/>
              <w:rPr>
                <w:rFonts w:ascii="Times New Roman" w:eastAsia="Times New Roman" w:hAnsi="Times New Roman"/>
              </w:rPr>
            </w:pPr>
            <w:r w:rsidRPr="00D76BD1">
              <w:rPr>
                <w:rFonts w:ascii="Times New Roman" w:eastAsia="Times New Roman" w:hAnsi="Times New Roman"/>
              </w:rPr>
              <w:t>pH</w:t>
            </w:r>
          </w:p>
        </w:tc>
        <w:tc>
          <w:tcPr>
            <w:tcW w:w="3275" w:type="dxa"/>
            <w:tcBorders>
              <w:top w:val="single" w:sz="4" w:space="0" w:color="auto"/>
            </w:tcBorders>
            <w:shd w:val="clear" w:color="auto" w:fill="auto"/>
          </w:tcPr>
          <w:p w14:paraId="02AF5393" w14:textId="77777777" w:rsidR="00CD76F2" w:rsidRPr="00D76BD1" w:rsidRDefault="00CD76F2" w:rsidP="00D17C01">
            <w:pPr>
              <w:spacing w:after="0" w:line="240" w:lineRule="auto"/>
              <w:jc w:val="center"/>
              <w:rPr>
                <w:rFonts w:ascii="Times New Roman" w:eastAsia="Times New Roman" w:hAnsi="Times New Roman"/>
              </w:rPr>
            </w:pPr>
            <w:r w:rsidRPr="00D76BD1">
              <w:rPr>
                <w:rFonts w:ascii="Times New Roman" w:eastAsia="Times New Roman" w:hAnsi="Times New Roman"/>
              </w:rPr>
              <w:t>7.3 ± 0.7</w:t>
            </w:r>
          </w:p>
        </w:tc>
      </w:tr>
      <w:tr w:rsidR="00CD76F2" w:rsidRPr="00D76BD1" w14:paraId="167A9946" w14:textId="77777777" w:rsidTr="00CD76F2">
        <w:trPr>
          <w:jc w:val="center"/>
        </w:trPr>
        <w:tc>
          <w:tcPr>
            <w:tcW w:w="4455" w:type="dxa"/>
            <w:shd w:val="clear" w:color="auto" w:fill="auto"/>
          </w:tcPr>
          <w:p w14:paraId="3543D703" w14:textId="70F04853" w:rsidR="00CD76F2" w:rsidRPr="00D76BD1" w:rsidRDefault="00CD76F2" w:rsidP="00D17C01">
            <w:pPr>
              <w:spacing w:after="0" w:line="240" w:lineRule="auto"/>
              <w:jc w:val="center"/>
              <w:rPr>
                <w:rFonts w:ascii="Times New Roman" w:eastAsia="Times New Roman" w:hAnsi="Times New Roman"/>
              </w:rPr>
            </w:pPr>
            <w:r w:rsidRPr="00D76BD1">
              <w:rPr>
                <w:rFonts w:ascii="Times New Roman" w:eastAsia="Times New Roman" w:hAnsi="Times New Roman"/>
              </w:rPr>
              <w:t>Ammonia – nitrogen (NH</w:t>
            </w:r>
            <w:r w:rsidRPr="00D76BD1">
              <w:rPr>
                <w:rFonts w:ascii="Times New Roman" w:eastAsia="Times New Roman" w:hAnsi="Times New Roman"/>
                <w:vertAlign w:val="subscript"/>
              </w:rPr>
              <w:t>3</w:t>
            </w:r>
            <w:r w:rsidRPr="00D76BD1">
              <w:rPr>
                <w:rFonts w:ascii="Times New Roman" w:eastAsia="Times New Roman" w:hAnsi="Times New Roman"/>
              </w:rPr>
              <w:t xml:space="preserve"> – N) (mg</w:t>
            </w:r>
            <w:r w:rsidR="00183E7A" w:rsidRPr="00D76BD1">
              <w:rPr>
                <w:rFonts w:ascii="Times New Roman" w:eastAsia="Times New Roman" w:hAnsi="Times New Roman"/>
              </w:rPr>
              <w:t xml:space="preserve"> </w:t>
            </w:r>
            <w:r w:rsidRPr="00D76BD1">
              <w:rPr>
                <w:rFonts w:ascii="Times New Roman" w:eastAsia="Times New Roman" w:hAnsi="Times New Roman"/>
              </w:rPr>
              <w:t>L</w:t>
            </w:r>
            <w:r w:rsidR="00183E7A" w:rsidRPr="00D76BD1">
              <w:rPr>
                <w:rFonts w:ascii="Times New Roman" w:eastAsia="Times New Roman" w:hAnsi="Times New Roman"/>
                <w:vertAlign w:val="superscript"/>
              </w:rPr>
              <w:t>-1</w:t>
            </w:r>
            <w:r w:rsidRPr="00D76BD1">
              <w:rPr>
                <w:rFonts w:ascii="Times New Roman" w:eastAsia="Times New Roman" w:hAnsi="Times New Roman"/>
              </w:rPr>
              <w:t>)</w:t>
            </w:r>
          </w:p>
        </w:tc>
        <w:tc>
          <w:tcPr>
            <w:tcW w:w="3275" w:type="dxa"/>
            <w:shd w:val="clear" w:color="auto" w:fill="auto"/>
          </w:tcPr>
          <w:p w14:paraId="069C6217" w14:textId="0AD78964" w:rsidR="00CD76F2" w:rsidRPr="00D76BD1" w:rsidRDefault="00CD76F2" w:rsidP="00D17C01">
            <w:pPr>
              <w:spacing w:after="0" w:line="240" w:lineRule="auto"/>
              <w:jc w:val="center"/>
              <w:rPr>
                <w:rFonts w:ascii="Times New Roman" w:eastAsia="Times New Roman" w:hAnsi="Times New Roman"/>
              </w:rPr>
            </w:pPr>
            <w:r w:rsidRPr="00D76BD1">
              <w:rPr>
                <w:rFonts w:ascii="Times New Roman" w:eastAsia="Times New Roman" w:hAnsi="Times New Roman"/>
              </w:rPr>
              <w:t>110 ± 1</w:t>
            </w:r>
          </w:p>
        </w:tc>
      </w:tr>
      <w:tr w:rsidR="00CD76F2" w:rsidRPr="00D76BD1" w14:paraId="0BE0E250" w14:textId="77777777" w:rsidTr="00CD76F2">
        <w:trPr>
          <w:jc w:val="center"/>
        </w:trPr>
        <w:tc>
          <w:tcPr>
            <w:tcW w:w="4455" w:type="dxa"/>
            <w:shd w:val="clear" w:color="auto" w:fill="auto"/>
          </w:tcPr>
          <w:p w14:paraId="7856C36E" w14:textId="6988DBA4" w:rsidR="00CD76F2" w:rsidRPr="00D76BD1" w:rsidRDefault="00CD76F2" w:rsidP="00D17C01">
            <w:pPr>
              <w:spacing w:after="0" w:line="240" w:lineRule="auto"/>
              <w:jc w:val="center"/>
              <w:rPr>
                <w:rFonts w:ascii="Times New Roman" w:eastAsia="Times New Roman" w:hAnsi="Times New Roman"/>
              </w:rPr>
            </w:pPr>
            <w:r w:rsidRPr="00D76BD1">
              <w:rPr>
                <w:rFonts w:ascii="Times New Roman" w:hAnsi="Times New Roman" w:cs="Times New Roman"/>
                <w:color w:val="000000" w:themeColor="text1"/>
                <w:lang w:val="en-US"/>
              </w:rPr>
              <w:t>Phosphorus (PO</w:t>
            </w:r>
            <w:r w:rsidRPr="00D76BD1">
              <w:rPr>
                <w:rFonts w:ascii="Times New Roman" w:hAnsi="Times New Roman" w:cs="Times New Roman"/>
                <w:color w:val="000000" w:themeColor="text1"/>
                <w:vertAlign w:val="subscript"/>
                <w:lang w:val="en-US"/>
              </w:rPr>
              <w:t>4</w:t>
            </w:r>
            <w:r w:rsidRPr="00D76BD1">
              <w:rPr>
                <w:rFonts w:ascii="Times New Roman" w:hAnsi="Times New Roman" w:cs="Times New Roman"/>
                <w:color w:val="000000" w:themeColor="text1"/>
                <w:vertAlign w:val="superscript"/>
                <w:lang w:val="en-US"/>
              </w:rPr>
              <w:t>3-</w:t>
            </w:r>
            <w:r w:rsidRPr="00D76BD1">
              <w:rPr>
                <w:rFonts w:ascii="Times New Roman" w:hAnsi="Times New Roman" w:cs="Times New Roman"/>
                <w:color w:val="000000" w:themeColor="text1"/>
                <w:lang w:val="en-US"/>
              </w:rPr>
              <w:t>)</w:t>
            </w:r>
            <w:r w:rsidRPr="00D76BD1">
              <w:rPr>
                <w:rFonts w:ascii="Times New Roman" w:eastAsia="Times New Roman" w:hAnsi="Times New Roman"/>
              </w:rPr>
              <w:t xml:space="preserve"> (</w:t>
            </w:r>
            <w:r w:rsidR="00183E7A" w:rsidRPr="00D76BD1">
              <w:rPr>
                <w:rFonts w:ascii="Times New Roman" w:eastAsia="Times New Roman" w:hAnsi="Times New Roman"/>
              </w:rPr>
              <w:t>mg L</w:t>
            </w:r>
            <w:r w:rsidR="00183E7A" w:rsidRPr="00D76BD1">
              <w:rPr>
                <w:rFonts w:ascii="Times New Roman" w:eastAsia="Times New Roman" w:hAnsi="Times New Roman"/>
                <w:vertAlign w:val="superscript"/>
              </w:rPr>
              <w:t>-1</w:t>
            </w:r>
            <w:r w:rsidRPr="00D76BD1">
              <w:rPr>
                <w:rFonts w:ascii="Times New Roman" w:eastAsia="Times New Roman" w:hAnsi="Times New Roman"/>
              </w:rPr>
              <w:t>)</w:t>
            </w:r>
          </w:p>
        </w:tc>
        <w:tc>
          <w:tcPr>
            <w:tcW w:w="3275" w:type="dxa"/>
            <w:shd w:val="clear" w:color="auto" w:fill="auto"/>
          </w:tcPr>
          <w:p w14:paraId="33944B39" w14:textId="30259538" w:rsidR="00CD76F2" w:rsidRPr="00D76BD1" w:rsidRDefault="00CD76F2" w:rsidP="00D17C01">
            <w:pPr>
              <w:spacing w:after="0" w:line="240" w:lineRule="auto"/>
              <w:jc w:val="center"/>
              <w:rPr>
                <w:rFonts w:ascii="Times New Roman" w:eastAsia="Times New Roman" w:hAnsi="Times New Roman"/>
              </w:rPr>
            </w:pPr>
            <w:r w:rsidRPr="00D76BD1">
              <w:rPr>
                <w:rFonts w:ascii="Times New Roman" w:eastAsia="Times New Roman" w:hAnsi="Times New Roman"/>
              </w:rPr>
              <w:t>20 ± 1</w:t>
            </w:r>
          </w:p>
        </w:tc>
      </w:tr>
      <w:tr w:rsidR="00CD76F2" w:rsidRPr="00D76BD1" w14:paraId="3781F9E2" w14:textId="77777777" w:rsidTr="00CD76F2">
        <w:trPr>
          <w:jc w:val="center"/>
        </w:trPr>
        <w:tc>
          <w:tcPr>
            <w:tcW w:w="4455" w:type="dxa"/>
            <w:shd w:val="clear" w:color="auto" w:fill="auto"/>
          </w:tcPr>
          <w:p w14:paraId="4D56DFD1" w14:textId="53EC052D" w:rsidR="00CD76F2" w:rsidRPr="00D76BD1" w:rsidRDefault="00CD76F2" w:rsidP="00D17C01">
            <w:pPr>
              <w:spacing w:after="0" w:line="240" w:lineRule="auto"/>
              <w:jc w:val="center"/>
              <w:rPr>
                <w:rFonts w:ascii="Times New Roman" w:eastAsia="Times New Roman" w:hAnsi="Times New Roman"/>
              </w:rPr>
            </w:pPr>
            <w:r w:rsidRPr="00D76BD1">
              <w:rPr>
                <w:rFonts w:ascii="Times New Roman" w:eastAsia="Times New Roman" w:hAnsi="Times New Roman"/>
              </w:rPr>
              <w:t>Chemical oxygen demand (COD) (</w:t>
            </w:r>
            <w:r w:rsidR="00183E7A" w:rsidRPr="00D76BD1">
              <w:rPr>
                <w:rFonts w:ascii="Times New Roman" w:eastAsia="Times New Roman" w:hAnsi="Times New Roman"/>
              </w:rPr>
              <w:t>mg L</w:t>
            </w:r>
            <w:r w:rsidR="00183E7A" w:rsidRPr="00D76BD1">
              <w:rPr>
                <w:rFonts w:ascii="Times New Roman" w:eastAsia="Times New Roman" w:hAnsi="Times New Roman"/>
                <w:vertAlign w:val="superscript"/>
              </w:rPr>
              <w:t>-1</w:t>
            </w:r>
            <w:r w:rsidRPr="00D76BD1">
              <w:rPr>
                <w:rFonts w:ascii="Times New Roman" w:eastAsia="Times New Roman" w:hAnsi="Times New Roman"/>
              </w:rPr>
              <w:t>)</w:t>
            </w:r>
          </w:p>
        </w:tc>
        <w:tc>
          <w:tcPr>
            <w:tcW w:w="3275" w:type="dxa"/>
            <w:shd w:val="clear" w:color="auto" w:fill="auto"/>
          </w:tcPr>
          <w:p w14:paraId="18D53D14" w14:textId="3A32BB40" w:rsidR="00CD76F2" w:rsidRPr="00D76BD1" w:rsidRDefault="00CD76F2" w:rsidP="00D17C01">
            <w:pPr>
              <w:spacing w:after="0" w:line="240" w:lineRule="auto"/>
              <w:jc w:val="center"/>
              <w:rPr>
                <w:rFonts w:ascii="Times New Roman" w:eastAsia="Times New Roman" w:hAnsi="Times New Roman"/>
              </w:rPr>
            </w:pPr>
            <w:r w:rsidRPr="00D76BD1">
              <w:rPr>
                <w:rFonts w:ascii="Times New Roman" w:eastAsia="Times New Roman" w:hAnsi="Times New Roman"/>
              </w:rPr>
              <w:t>1200 ± 9.67</w:t>
            </w:r>
          </w:p>
        </w:tc>
      </w:tr>
      <w:tr w:rsidR="00CD76F2" w:rsidRPr="00D76BD1" w14:paraId="47864A0C" w14:textId="77777777" w:rsidTr="00CD76F2">
        <w:trPr>
          <w:jc w:val="center"/>
        </w:trPr>
        <w:tc>
          <w:tcPr>
            <w:tcW w:w="4455" w:type="dxa"/>
            <w:shd w:val="clear" w:color="auto" w:fill="auto"/>
          </w:tcPr>
          <w:p w14:paraId="072CAD25" w14:textId="3A559601" w:rsidR="00CD76F2" w:rsidRPr="00D76BD1" w:rsidRDefault="00CD76F2" w:rsidP="00D17C01">
            <w:pPr>
              <w:spacing w:after="0" w:line="240" w:lineRule="auto"/>
              <w:jc w:val="center"/>
              <w:rPr>
                <w:rFonts w:ascii="Times New Roman" w:eastAsia="Times New Roman" w:hAnsi="Times New Roman"/>
              </w:rPr>
            </w:pPr>
            <w:r w:rsidRPr="00D76BD1">
              <w:rPr>
                <w:rFonts w:ascii="Times New Roman" w:eastAsia="Times New Roman" w:hAnsi="Times New Roman"/>
              </w:rPr>
              <w:t>Sodium bicarbonate (</w:t>
            </w:r>
            <w:r w:rsidRPr="00D76BD1">
              <w:rPr>
                <w:rFonts w:ascii="Times New Roman" w:hAnsi="Times New Roman" w:cs="Times New Roman"/>
                <w:lang w:val="en-US"/>
              </w:rPr>
              <w:t>NaHCO</w:t>
            </w:r>
            <w:r w:rsidRPr="00D76BD1">
              <w:rPr>
                <w:rFonts w:ascii="Times New Roman" w:hAnsi="Times New Roman" w:cs="Times New Roman"/>
                <w:vertAlign w:val="subscript"/>
                <w:lang w:val="en-US"/>
              </w:rPr>
              <w:t>3</w:t>
            </w:r>
            <w:r w:rsidRPr="00D76BD1">
              <w:rPr>
                <w:rFonts w:ascii="Times New Roman" w:hAnsi="Times New Roman" w:cs="Times New Roman"/>
                <w:lang w:val="en-US"/>
              </w:rPr>
              <w:t xml:space="preserve">) </w:t>
            </w:r>
            <w:r w:rsidRPr="00D76BD1">
              <w:rPr>
                <w:rFonts w:ascii="Times New Roman" w:eastAsia="Times New Roman" w:hAnsi="Times New Roman"/>
              </w:rPr>
              <w:t>(</w:t>
            </w:r>
            <w:r w:rsidR="00183E7A" w:rsidRPr="00D76BD1">
              <w:rPr>
                <w:rFonts w:ascii="Times New Roman" w:eastAsia="Times New Roman" w:hAnsi="Times New Roman"/>
              </w:rPr>
              <w:t>mg L</w:t>
            </w:r>
            <w:r w:rsidR="00183E7A" w:rsidRPr="00D76BD1">
              <w:rPr>
                <w:rFonts w:ascii="Times New Roman" w:eastAsia="Times New Roman" w:hAnsi="Times New Roman"/>
                <w:vertAlign w:val="superscript"/>
              </w:rPr>
              <w:t>-1</w:t>
            </w:r>
            <w:r w:rsidRPr="00D76BD1">
              <w:rPr>
                <w:rFonts w:ascii="Times New Roman" w:eastAsia="Times New Roman" w:hAnsi="Times New Roman"/>
              </w:rPr>
              <w:t>)</w:t>
            </w:r>
          </w:p>
        </w:tc>
        <w:tc>
          <w:tcPr>
            <w:tcW w:w="3275" w:type="dxa"/>
            <w:shd w:val="clear" w:color="auto" w:fill="auto"/>
          </w:tcPr>
          <w:p w14:paraId="57FB210F" w14:textId="4E8B96C3" w:rsidR="00CD76F2" w:rsidRPr="00D76BD1" w:rsidRDefault="00B73467" w:rsidP="00D17C01">
            <w:pPr>
              <w:spacing w:after="0" w:line="240" w:lineRule="auto"/>
              <w:jc w:val="center"/>
              <w:rPr>
                <w:rFonts w:ascii="Times New Roman" w:eastAsia="Times New Roman" w:hAnsi="Times New Roman"/>
              </w:rPr>
            </w:pPr>
            <w:r w:rsidRPr="00D76BD1">
              <w:rPr>
                <w:rFonts w:ascii="Times New Roman" w:eastAsia="Times New Roman" w:hAnsi="Times New Roman"/>
              </w:rPr>
              <w:t>250 ± 2</w:t>
            </w:r>
          </w:p>
        </w:tc>
      </w:tr>
      <w:tr w:rsidR="00CD76F2" w:rsidRPr="00D76BD1" w14:paraId="1EF336E4" w14:textId="77777777" w:rsidTr="00CD76F2">
        <w:trPr>
          <w:jc w:val="center"/>
        </w:trPr>
        <w:tc>
          <w:tcPr>
            <w:tcW w:w="4455" w:type="dxa"/>
            <w:shd w:val="clear" w:color="auto" w:fill="auto"/>
          </w:tcPr>
          <w:p w14:paraId="105C1C29" w14:textId="4373A5ED" w:rsidR="00CD76F2" w:rsidRPr="00D76BD1" w:rsidRDefault="00B73467" w:rsidP="00D17C01">
            <w:pPr>
              <w:spacing w:after="0" w:line="240" w:lineRule="auto"/>
              <w:jc w:val="center"/>
              <w:rPr>
                <w:rFonts w:ascii="Times New Roman" w:eastAsia="Times New Roman" w:hAnsi="Times New Roman"/>
              </w:rPr>
            </w:pPr>
            <w:r w:rsidRPr="00D76BD1">
              <w:rPr>
                <w:rFonts w:ascii="Times New Roman" w:eastAsia="Times New Roman" w:hAnsi="Times New Roman"/>
              </w:rPr>
              <w:t>Calcium chloride (</w:t>
            </w:r>
            <w:r w:rsidRPr="00D76BD1">
              <w:rPr>
                <w:rFonts w:ascii="Times New Roman" w:hAnsi="Times New Roman" w:cs="Times New Roman"/>
                <w:lang w:val="en-US"/>
              </w:rPr>
              <w:t>CaCl</w:t>
            </w:r>
            <w:r w:rsidRPr="00D76BD1">
              <w:rPr>
                <w:rFonts w:ascii="Times New Roman" w:hAnsi="Times New Roman" w:cs="Times New Roman"/>
                <w:vertAlign w:val="subscript"/>
                <w:lang w:val="en-US"/>
              </w:rPr>
              <w:t>2</w:t>
            </w:r>
            <w:r w:rsidRPr="00D76BD1">
              <w:rPr>
                <w:rFonts w:ascii="Times New Roman" w:hAnsi="Times New Roman" w:cs="Times New Roman"/>
                <w:lang w:val="en-US"/>
              </w:rPr>
              <w:t xml:space="preserve">) </w:t>
            </w:r>
            <w:r w:rsidRPr="00D76BD1">
              <w:rPr>
                <w:rFonts w:ascii="Times New Roman" w:eastAsia="Times New Roman" w:hAnsi="Times New Roman"/>
              </w:rPr>
              <w:t>(</w:t>
            </w:r>
            <w:r w:rsidR="00183E7A" w:rsidRPr="00D76BD1">
              <w:rPr>
                <w:rFonts w:ascii="Times New Roman" w:eastAsia="Times New Roman" w:hAnsi="Times New Roman"/>
              </w:rPr>
              <w:t>mg L</w:t>
            </w:r>
            <w:r w:rsidR="00183E7A" w:rsidRPr="00D76BD1">
              <w:rPr>
                <w:rFonts w:ascii="Times New Roman" w:eastAsia="Times New Roman" w:hAnsi="Times New Roman"/>
                <w:vertAlign w:val="superscript"/>
              </w:rPr>
              <w:t>-1</w:t>
            </w:r>
            <w:r w:rsidRPr="00D76BD1">
              <w:rPr>
                <w:rFonts w:ascii="Times New Roman" w:eastAsia="Times New Roman" w:hAnsi="Times New Roman"/>
              </w:rPr>
              <w:t>)</w:t>
            </w:r>
          </w:p>
        </w:tc>
        <w:tc>
          <w:tcPr>
            <w:tcW w:w="3275" w:type="dxa"/>
            <w:shd w:val="clear" w:color="auto" w:fill="auto"/>
          </w:tcPr>
          <w:p w14:paraId="38B10831" w14:textId="721507F9" w:rsidR="00CD76F2" w:rsidRPr="00D76BD1" w:rsidRDefault="00B73467" w:rsidP="00D17C01">
            <w:pPr>
              <w:spacing w:after="0" w:line="240" w:lineRule="auto"/>
              <w:jc w:val="center"/>
              <w:rPr>
                <w:rFonts w:ascii="Times New Roman" w:eastAsia="Times New Roman" w:hAnsi="Times New Roman"/>
              </w:rPr>
            </w:pPr>
            <w:r w:rsidRPr="00D76BD1">
              <w:rPr>
                <w:rFonts w:ascii="Times New Roman" w:eastAsia="Times New Roman" w:hAnsi="Times New Roman"/>
              </w:rPr>
              <w:t>30 ± 0.5</w:t>
            </w:r>
          </w:p>
        </w:tc>
      </w:tr>
      <w:tr w:rsidR="00B73467" w:rsidRPr="00D76BD1" w14:paraId="2391C8C4" w14:textId="77777777" w:rsidTr="00CD76F2">
        <w:trPr>
          <w:jc w:val="center"/>
        </w:trPr>
        <w:tc>
          <w:tcPr>
            <w:tcW w:w="4455" w:type="dxa"/>
            <w:shd w:val="clear" w:color="auto" w:fill="auto"/>
          </w:tcPr>
          <w:p w14:paraId="57419B09" w14:textId="19EC3BBC" w:rsidR="00B73467" w:rsidRPr="00D76BD1" w:rsidRDefault="00B73467" w:rsidP="00D17C01">
            <w:pPr>
              <w:spacing w:after="0" w:line="240" w:lineRule="auto"/>
              <w:jc w:val="center"/>
              <w:rPr>
                <w:rFonts w:ascii="Times New Roman" w:eastAsia="Times New Roman" w:hAnsi="Times New Roman"/>
              </w:rPr>
            </w:pPr>
            <w:r w:rsidRPr="00D76BD1">
              <w:rPr>
                <w:rFonts w:ascii="Times New Roman" w:eastAsia="Times New Roman" w:hAnsi="Times New Roman"/>
              </w:rPr>
              <w:t>Magnesium sul</w:t>
            </w:r>
            <w:r w:rsidR="00840916" w:rsidRPr="00D76BD1">
              <w:rPr>
                <w:rFonts w:ascii="Times New Roman" w:eastAsia="Times New Roman" w:hAnsi="Times New Roman"/>
              </w:rPr>
              <w:t>ph</w:t>
            </w:r>
            <w:r w:rsidRPr="00D76BD1">
              <w:rPr>
                <w:rFonts w:ascii="Times New Roman" w:eastAsia="Times New Roman" w:hAnsi="Times New Roman"/>
              </w:rPr>
              <w:t>ate (</w:t>
            </w:r>
            <w:r w:rsidRPr="00D76BD1">
              <w:rPr>
                <w:rFonts w:ascii="Times New Roman" w:hAnsi="Times New Roman" w:cs="Times New Roman"/>
                <w:lang w:val="en-US"/>
              </w:rPr>
              <w:t>MgSO</w:t>
            </w:r>
            <w:r w:rsidRPr="00D76BD1">
              <w:rPr>
                <w:rFonts w:ascii="Times New Roman" w:hAnsi="Times New Roman" w:cs="Times New Roman"/>
                <w:vertAlign w:val="subscript"/>
                <w:lang w:val="en-US"/>
              </w:rPr>
              <w:t>4</w:t>
            </w:r>
            <w:r w:rsidRPr="00D76BD1">
              <w:rPr>
                <w:rFonts w:ascii="Times New Roman" w:eastAsia="Times New Roman" w:hAnsi="Times New Roman"/>
              </w:rPr>
              <w:t>) (</w:t>
            </w:r>
            <w:r w:rsidR="00183E7A" w:rsidRPr="00D76BD1">
              <w:rPr>
                <w:rFonts w:ascii="Times New Roman" w:eastAsia="Times New Roman" w:hAnsi="Times New Roman"/>
              </w:rPr>
              <w:t>mg L</w:t>
            </w:r>
            <w:r w:rsidR="00183E7A" w:rsidRPr="00D76BD1">
              <w:rPr>
                <w:rFonts w:ascii="Times New Roman" w:eastAsia="Times New Roman" w:hAnsi="Times New Roman"/>
                <w:vertAlign w:val="superscript"/>
              </w:rPr>
              <w:t>-1</w:t>
            </w:r>
            <w:r w:rsidRPr="00D76BD1">
              <w:rPr>
                <w:rFonts w:ascii="Times New Roman" w:eastAsia="Times New Roman" w:hAnsi="Times New Roman"/>
              </w:rPr>
              <w:t>)</w:t>
            </w:r>
          </w:p>
        </w:tc>
        <w:tc>
          <w:tcPr>
            <w:tcW w:w="3275" w:type="dxa"/>
            <w:shd w:val="clear" w:color="auto" w:fill="auto"/>
          </w:tcPr>
          <w:p w14:paraId="0AE58E53" w14:textId="7BB58D11" w:rsidR="00B73467" w:rsidRPr="00D76BD1" w:rsidRDefault="00B73467" w:rsidP="00D17C01">
            <w:pPr>
              <w:spacing w:after="0" w:line="240" w:lineRule="auto"/>
              <w:jc w:val="center"/>
              <w:rPr>
                <w:rFonts w:ascii="Times New Roman" w:eastAsia="Times New Roman" w:hAnsi="Times New Roman"/>
              </w:rPr>
            </w:pPr>
            <w:r w:rsidRPr="00D76BD1">
              <w:rPr>
                <w:rFonts w:ascii="Times New Roman" w:eastAsia="Times New Roman" w:hAnsi="Times New Roman"/>
              </w:rPr>
              <w:t>50 ± 0.7</w:t>
            </w:r>
          </w:p>
        </w:tc>
      </w:tr>
      <w:tr w:rsidR="00334948" w:rsidRPr="00D76BD1" w14:paraId="120E6D1C" w14:textId="77777777" w:rsidTr="00CD76F2">
        <w:trPr>
          <w:jc w:val="center"/>
        </w:trPr>
        <w:tc>
          <w:tcPr>
            <w:tcW w:w="4455" w:type="dxa"/>
            <w:shd w:val="clear" w:color="auto" w:fill="auto"/>
          </w:tcPr>
          <w:p w14:paraId="7FF3A37B" w14:textId="0E532976" w:rsidR="00334948" w:rsidRPr="00D76BD1" w:rsidRDefault="00334948" w:rsidP="00D17C01">
            <w:pPr>
              <w:spacing w:after="0" w:line="240" w:lineRule="auto"/>
              <w:jc w:val="center"/>
              <w:rPr>
                <w:rFonts w:ascii="Times New Roman" w:eastAsia="Times New Roman" w:hAnsi="Times New Roman"/>
              </w:rPr>
            </w:pPr>
            <w:r w:rsidRPr="00D76BD1">
              <w:rPr>
                <w:rFonts w:ascii="Times New Roman" w:eastAsia="Times New Roman" w:hAnsi="Times New Roman"/>
              </w:rPr>
              <w:t>Trace element solution</w:t>
            </w:r>
          </w:p>
        </w:tc>
        <w:tc>
          <w:tcPr>
            <w:tcW w:w="3275" w:type="dxa"/>
            <w:shd w:val="clear" w:color="auto" w:fill="auto"/>
          </w:tcPr>
          <w:p w14:paraId="40D3A284" w14:textId="2D4637FC" w:rsidR="00334948" w:rsidRPr="00D76BD1" w:rsidRDefault="00334948" w:rsidP="00D17C01">
            <w:pPr>
              <w:spacing w:after="0" w:line="240" w:lineRule="auto"/>
              <w:jc w:val="center"/>
              <w:rPr>
                <w:rFonts w:ascii="Times New Roman" w:eastAsia="Times New Roman" w:hAnsi="Times New Roman"/>
              </w:rPr>
            </w:pPr>
            <w:r w:rsidRPr="00D76BD1">
              <w:rPr>
                <w:rFonts w:ascii="Times New Roman" w:eastAsia="Times New Roman" w:hAnsi="Times New Roman"/>
              </w:rPr>
              <w:fldChar w:fldCharType="begin" w:fldLock="1"/>
            </w:r>
            <w:r w:rsidRPr="00D76BD1">
              <w:rPr>
                <w:rFonts w:ascii="Times New Roman" w:eastAsia="Times New Roman" w:hAnsi="Times New Roman"/>
              </w:rPr>
              <w:instrText>ADDIN CSL_CITATION {"citationItems":[{"id":"ITEM-1","itemData":{"DOI":"10.1016/j.jhazmat.2019.121905","ISSN":"18733336","PMID":"31874760","abstract":"The chronic responses of aerobic granular sludge (AGS) to the presence of graphene oxide nanoparticles (GO NPs) (5, 15, 25, 35, 45, 55, 65, 75, 85, and 95 mg/L of GO NPs for 7 days) during biological wastewater treatment processes were investigated. Bioreactor performance, extracellular polymeric substance (EPS) secretion, and microbial community characteristics were assessed. The results showed that the effects of GO NPs on bioreactor performances were dependent on the dose applied and the duration for which it was applied. At concentrations of 55, 75, and 95 mg/L, GO NPs considerably inhibited the efficiency of organic matter and ammonia removal; however, nitrite and nitrate removal rates were unchanged. Biological phosphorus removal decreased even when only low concentrations of GO NPs were used. The secretion of EPS, which could alleviate the toxicity of GO NPs, also changed. The increased amount of nanoparticles also resulted in significant changes to the bacterial community structure. Based on the amplicon sequencing of 16S rRNA genes, Paracoccus sp., Klebsiella sp., and Acidovorax species were identified as the most tolerant strains.","author":[{"dropping-particle":"","family":"Kedves","given":"Alfonz","non-dropping-particle":"","parse-names":false,"suffix":""},{"dropping-particle":"","family":"Sánta","given":"Levente","non-dropping-particle":"","parse-names":false,"suffix":""},{"dropping-particle":"","family":"Balázs","given":"Margit","non-dropping-particle":"","parse-names":false,"suffix":""},{"dropping-particle":"","family":"Kesserű","given":"Péter","non-dropping-particle":"","parse-names":false,"suffix":""},{"dropping-particle":"","family":"Kiss","given":"István","non-dropping-particle":"","parse-names":false,"suffix":""},{"dropping-particle":"","family":"Rónavári","given":"Andrea","non-dropping-particle":"","parse-names":false,"suffix":""},{"dropping-particle":"","family":"Kónya","given":"Zoltán","non-dropping-particle":"","parse-names":false,"suffix":""}],"container-title":"Journal of Hazardous Materials","id":"ITEM-1","issue":"December 2019","issued":{"date-parts":[["2020"]]},"title":"Chronic responses of aerobic granules to the presence of graphene oxide in sequencing batch reactors","type":"article-journal","volume":"389"},"uris":["http://www.mendeley.com/documents/?uuid=50cf5013-4c7d-411e-ae12-0282a64749e4"]}],"mendeley":{"formattedCitation":"(Kedves et al., 2020)","plainTextFormattedCitation":"(Kedves et al., 2020)","previouslyFormattedCitation":"(Kedves et al., 2020)"},"properties":{"noteIndex":0},"schema":"https://github.com/citation-style-language/schema/raw/master/csl-citation.json"}</w:instrText>
            </w:r>
            <w:r w:rsidRPr="00D76BD1">
              <w:rPr>
                <w:rFonts w:ascii="Times New Roman" w:eastAsia="Times New Roman" w:hAnsi="Times New Roman"/>
              </w:rPr>
              <w:fldChar w:fldCharType="separate"/>
            </w:r>
            <w:r w:rsidRPr="00D76BD1">
              <w:rPr>
                <w:rFonts w:ascii="Times New Roman" w:eastAsia="Times New Roman" w:hAnsi="Times New Roman"/>
                <w:noProof/>
              </w:rPr>
              <w:t>(Kedves et al., 2020)</w:t>
            </w:r>
            <w:r w:rsidRPr="00D76BD1">
              <w:rPr>
                <w:rFonts w:ascii="Times New Roman" w:eastAsia="Times New Roman" w:hAnsi="Times New Roman"/>
              </w:rPr>
              <w:fldChar w:fldCharType="end"/>
            </w:r>
          </w:p>
        </w:tc>
      </w:tr>
    </w:tbl>
    <w:p w14:paraId="3D1922B2" w14:textId="77777777" w:rsidR="00CD76F2" w:rsidRPr="00D76BD1" w:rsidRDefault="00CD76F2" w:rsidP="00432331">
      <w:pPr>
        <w:spacing w:line="360" w:lineRule="auto"/>
        <w:jc w:val="both"/>
        <w:rPr>
          <w:rFonts w:ascii="Times New Roman" w:hAnsi="Times New Roman" w:cs="Times New Roman"/>
          <w:lang w:val="en-US"/>
        </w:rPr>
      </w:pPr>
    </w:p>
    <w:p w14:paraId="68BB919A" w14:textId="1C957BD5" w:rsidR="00334948" w:rsidRPr="00D76BD1" w:rsidRDefault="00334948" w:rsidP="00334948">
      <w:pPr>
        <w:spacing w:line="360" w:lineRule="auto"/>
        <w:jc w:val="both"/>
        <w:rPr>
          <w:rFonts w:ascii="Times New Roman" w:hAnsi="Times New Roman" w:cs="Times New Roman"/>
          <w:b/>
          <w:bCs/>
          <w:lang w:val="en-US"/>
        </w:rPr>
      </w:pPr>
      <w:r w:rsidRPr="00D76BD1">
        <w:rPr>
          <w:rFonts w:ascii="Times New Roman" w:hAnsi="Times New Roman" w:cs="Times New Roman"/>
          <w:b/>
          <w:bCs/>
          <w:lang w:val="en-US"/>
        </w:rPr>
        <w:t>2.2. Preparation and characterization of TiO</w:t>
      </w:r>
      <w:r w:rsidRPr="00D76BD1">
        <w:rPr>
          <w:rFonts w:ascii="Times New Roman" w:hAnsi="Times New Roman" w:cs="Times New Roman"/>
          <w:b/>
          <w:bCs/>
          <w:vertAlign w:val="subscript"/>
          <w:lang w:val="en-US"/>
        </w:rPr>
        <w:t>2</w:t>
      </w:r>
      <w:r w:rsidRPr="00D76BD1">
        <w:rPr>
          <w:rFonts w:ascii="Times New Roman" w:hAnsi="Times New Roman" w:cs="Times New Roman"/>
          <w:b/>
          <w:bCs/>
          <w:lang w:val="en-US"/>
        </w:rPr>
        <w:t xml:space="preserve"> NPs</w:t>
      </w:r>
    </w:p>
    <w:p w14:paraId="20F14082" w14:textId="7C454DC0" w:rsidR="00B562E2" w:rsidRPr="00D76BD1" w:rsidRDefault="00B562E2" w:rsidP="00B562E2">
      <w:pPr>
        <w:spacing w:line="360" w:lineRule="auto"/>
        <w:jc w:val="both"/>
        <w:rPr>
          <w:rFonts w:ascii="Times New Roman" w:hAnsi="Times New Roman" w:cs="Times New Roman"/>
          <w:lang w:val="en-US"/>
        </w:rPr>
      </w:pPr>
      <w:r w:rsidRPr="00D76BD1">
        <w:rPr>
          <w:rFonts w:ascii="Times New Roman" w:hAnsi="Times New Roman" w:cs="Times New Roman"/>
          <w:lang w:val="en-US"/>
        </w:rPr>
        <w:t>All chemicals were used as received without any further purifications. Based on the previously published technique, TiO</w:t>
      </w:r>
      <w:r w:rsidRPr="00D76BD1">
        <w:rPr>
          <w:rFonts w:ascii="Times New Roman" w:hAnsi="Times New Roman" w:cs="Times New Roman"/>
          <w:vertAlign w:val="subscript"/>
          <w:lang w:val="en-US"/>
        </w:rPr>
        <w:t>2</w:t>
      </w:r>
      <w:r w:rsidRPr="00D76BD1">
        <w:rPr>
          <w:rFonts w:ascii="Times New Roman" w:hAnsi="Times New Roman" w:cs="Times New Roman"/>
          <w:lang w:val="en-US"/>
        </w:rPr>
        <w:t xml:space="preserve"> nanospheres were synthesized through a modified nonaqueous solvothermal process. Titanium </w:t>
      </w:r>
      <w:proofErr w:type="spellStart"/>
      <w:r w:rsidRPr="00D76BD1">
        <w:rPr>
          <w:rFonts w:ascii="Times New Roman" w:hAnsi="Times New Roman" w:cs="Times New Roman"/>
          <w:lang w:val="en-US"/>
        </w:rPr>
        <w:t>isopropoxide</w:t>
      </w:r>
      <w:proofErr w:type="spellEnd"/>
      <w:r w:rsidRPr="00D76BD1">
        <w:rPr>
          <w:rFonts w:ascii="Times New Roman" w:hAnsi="Times New Roman" w:cs="Times New Roman"/>
          <w:lang w:val="en-US"/>
        </w:rPr>
        <w:t xml:space="preserve"> (TIP, 5 mL) was  dissolved in 130 mL of anhydrous acetone, and after 20 minutes of stirring at room temperature, the solution was taken to a 250 mL Teflon-lined stainless steel autoclave and kep</w:t>
      </w:r>
      <w:r w:rsidRPr="00D76BD1">
        <w:rPr>
          <w:rFonts w:ascii="Times New Roman" w:hAnsi="Times New Roman" w:cs="Times New Roman"/>
          <w:color w:val="000000" w:themeColor="text1"/>
          <w:lang w:val="en-US"/>
        </w:rPr>
        <w:t xml:space="preserve">t at 180 °C for 10 hours </w:t>
      </w:r>
      <w:r w:rsidRPr="00D76BD1">
        <w:rPr>
          <w:rFonts w:ascii="Times New Roman" w:hAnsi="Times New Roman" w:cs="Times New Roman"/>
          <w:lang w:val="en-US"/>
        </w:rPr>
        <w:fldChar w:fldCharType="begin" w:fldLock="1"/>
      </w:r>
      <w:r w:rsidRPr="00D76BD1">
        <w:rPr>
          <w:rFonts w:ascii="Times New Roman" w:hAnsi="Times New Roman" w:cs="Times New Roman"/>
          <w:lang w:val="en-US"/>
        </w:rPr>
        <w:instrText>ADDIN CSL_CITATION {"citationItems":[{"id":"ITEM-1","itemData":{"DOI":"10.1021/acsami.5b02195","ISSN":"19448252","abstract":"TiO2 microspheres are of great interest for a great deal of applications, especially in the solar cell field. Because of their unique microstructure and light-scattering effect, TiO2 microsphere-based solar cells often exhibit superior photovoltaic performance. Hence, exploring new suitable TiO2 microspheres for high-efficiency solar cells is essential. In this work, we demonstrate a facile one-pot solvothermal approach for synthesis of TiO2 microspheres using acetone as solvent. The as-prepared TiO2 microspheres are composed of densely interconnected nanocrystals and possess a high specific surface area up to 138.47 m2 g-1. As the photoanode, the TiO2 microsphere-based DSSC gives higher dye loading and light adsorption ability as well as longer electron lifetime, resulting in higher short-circuit current value and superior power conversion efficiency (PCE) compared with Dyesol 18 nm TiO2 nanoparticle paste. Finally, the TiO2 microsphere-based DSSC were optimized by adding a TiO2 nanocrystal underlayer and TiCl4 post-treatment, giving a high PCE of 10.32%. (Figure Presented).","author":[{"dropping-particle":"","family":"Li","given":"Zhao Qian","non-dropping-particle":"","parse-names":false,"suffix":""},{"dropping-particle":"","family":"Que","given":"Ya Ping","non-dropping-particle":"","parse-names":false,"suffix":""},{"dropping-particle":"","family":"Mo","given":"Li E.","non-dropping-particle":"","parse-names":false,"suffix":""},{"dropping-particle":"","family":"Chen","given":"Wang Chao","non-dropping-particle":"","parse-names":false,"suffix":""},{"dropping-particle":"","family":"Ding","given":"Yong","non-dropping-particle":"","parse-names":false,"suffix":""},{"dropping-particle":"","family":"Ma","given":"Yan Mei","non-dropping-particle":"","parse-names":false,"suffix":""},{"dropping-particle":"","family":"Jiang","given":"Ling","non-dropping-particle":"","parse-names":false,"suffix":""},{"dropping-particle":"","family":"Hu","given":"Lin Hua","non-dropping-particle":"","parse-names":false,"suffix":""},{"dropping-particle":"","family":"Dai","given":"Song Yuan","non-dropping-particle":"","parse-names":false,"suffix":""}],"container-title":"ACS Applied Materials and Interfaces","id":"ITEM-1","issue":"20","issued":{"date-parts":[["2015"]]},"page":"10928-10934","title":"One-Pot Synthesis of Mesoporous TiO2 Micropheres and Its Application for High-Efficiency Dye-Sensitized Solar Cells","type":"article-journal","volume":"7"},"uris":["http://www.mendeley.com/documents/?uuid=9bba9aa4-54ea-411a-8f77-0f36324c96e0","http://www.mendeley.com/documents/?uuid=4e63e196-ada0-4efd-bae0-5a349d0d2152"]}],"mendeley":{"formattedCitation":"(Li et al., 2015)","plainTextFormattedCitation":"(Li et al., 2015)","previouslyFormattedCitation":"(Li et al., 2015)"},"properties":{"noteIndex":0},"schema":"https://github.com/citation-style-language/schema/raw/master/csl-citation.json"}</w:instrText>
      </w:r>
      <w:r w:rsidRPr="00D76BD1">
        <w:rPr>
          <w:rFonts w:ascii="Times New Roman" w:hAnsi="Times New Roman" w:cs="Times New Roman"/>
          <w:lang w:val="en-US"/>
        </w:rPr>
        <w:fldChar w:fldCharType="separate"/>
      </w:r>
      <w:r w:rsidRPr="00D76BD1">
        <w:rPr>
          <w:rFonts w:ascii="Times New Roman" w:hAnsi="Times New Roman" w:cs="Times New Roman"/>
          <w:noProof/>
          <w:lang w:val="en-US"/>
        </w:rPr>
        <w:t>(Li et al., 2015)</w:t>
      </w:r>
      <w:r w:rsidRPr="00D76BD1">
        <w:rPr>
          <w:rFonts w:ascii="Times New Roman" w:hAnsi="Times New Roman" w:cs="Times New Roman"/>
          <w:lang w:val="en-US"/>
        </w:rPr>
        <w:fldChar w:fldCharType="end"/>
      </w:r>
      <w:r w:rsidRPr="00D76BD1">
        <w:rPr>
          <w:rFonts w:ascii="Times New Roman" w:hAnsi="Times New Roman" w:cs="Times New Roman"/>
          <w:lang w:val="en-US"/>
        </w:rPr>
        <w:t>. The yellowish sediment was gather</w:t>
      </w:r>
      <w:r w:rsidRPr="00D76BD1">
        <w:rPr>
          <w:rFonts w:ascii="Times New Roman" w:hAnsi="Times New Roman" w:cs="Times New Roman"/>
          <w:color w:val="000000" w:themeColor="text1"/>
          <w:lang w:val="en-US"/>
        </w:rPr>
        <w:t xml:space="preserve">ed by centrifugation, </w:t>
      </w:r>
      <w:r w:rsidRPr="00D76BD1">
        <w:rPr>
          <w:rFonts w:ascii="Times New Roman" w:hAnsi="Times New Roman" w:cs="Times New Roman"/>
          <w:lang w:val="en-US"/>
        </w:rPr>
        <w:t>repeatedly washed with ethanol and dried at 60 °C. In the last step, the powder was calcined at 450 °C for 2 hours to obtain pure white TiO</w:t>
      </w:r>
      <w:r w:rsidRPr="00D76BD1">
        <w:rPr>
          <w:rFonts w:ascii="Times New Roman" w:hAnsi="Times New Roman" w:cs="Times New Roman"/>
          <w:vertAlign w:val="subscript"/>
          <w:lang w:val="en-US"/>
        </w:rPr>
        <w:t>2</w:t>
      </w:r>
      <w:r w:rsidRPr="00D76BD1">
        <w:rPr>
          <w:rFonts w:ascii="Times New Roman" w:hAnsi="Times New Roman" w:cs="Times New Roman"/>
          <w:lang w:val="en-US"/>
        </w:rPr>
        <w:t xml:space="preserve">. Structural and morphological characterization was done by using a Rigaku </w:t>
      </w:r>
      <w:proofErr w:type="spellStart"/>
      <w:r w:rsidRPr="00D76BD1">
        <w:rPr>
          <w:rFonts w:ascii="Times New Roman" w:hAnsi="Times New Roman" w:cs="Times New Roman"/>
          <w:lang w:val="en-US"/>
        </w:rPr>
        <w:t>Miniflex</w:t>
      </w:r>
      <w:proofErr w:type="spellEnd"/>
      <w:r w:rsidRPr="00D76BD1">
        <w:rPr>
          <w:rFonts w:ascii="Times New Roman" w:hAnsi="Times New Roman" w:cs="Times New Roman"/>
          <w:lang w:val="en-US"/>
        </w:rPr>
        <w:t>-II X-ray diffractometer (Cu Kα radiation, λ = 1.5406 Å, 40 kV, 30 mA), a Bruker Vertex 70 FT-IR instrument (16 scans at 4 cm</w:t>
      </w:r>
      <w:r w:rsidRPr="00D76BD1">
        <w:rPr>
          <w:rFonts w:ascii="Times New Roman" w:hAnsi="Times New Roman" w:cs="Times New Roman"/>
          <w:vertAlign w:val="superscript"/>
          <w:lang w:val="en-US"/>
        </w:rPr>
        <w:t>−1</w:t>
      </w:r>
      <w:r w:rsidRPr="00D76BD1">
        <w:rPr>
          <w:rFonts w:ascii="Times New Roman" w:hAnsi="Times New Roman" w:cs="Times New Roman"/>
          <w:lang w:val="en-US"/>
        </w:rPr>
        <w:t xml:space="preserve"> resolution), and a Hitachi S-4700 Type II scanning electron microscope (SEM) with 10 kV accelerating voltage equipped with a </w:t>
      </w:r>
      <w:proofErr w:type="spellStart"/>
      <w:r w:rsidRPr="00D76BD1">
        <w:rPr>
          <w:rFonts w:ascii="Times New Roman" w:hAnsi="Times New Roman" w:cs="Times New Roman"/>
          <w:lang w:val="en-US"/>
        </w:rPr>
        <w:t>Röntec</w:t>
      </w:r>
      <w:proofErr w:type="spellEnd"/>
      <w:r w:rsidRPr="00D76BD1">
        <w:rPr>
          <w:rFonts w:ascii="Times New Roman" w:hAnsi="Times New Roman" w:cs="Times New Roman"/>
          <w:lang w:val="en-US"/>
        </w:rPr>
        <w:t xml:space="preserve"> QX2 energy dispersive X-ray spectrometer (EDX).</w:t>
      </w:r>
    </w:p>
    <w:p w14:paraId="52A7E17C" w14:textId="111262D8" w:rsidR="00334948" w:rsidRPr="00D76BD1" w:rsidRDefault="00334948" w:rsidP="00334948">
      <w:pPr>
        <w:spacing w:line="360" w:lineRule="auto"/>
        <w:jc w:val="both"/>
        <w:rPr>
          <w:rFonts w:ascii="Times New Roman" w:hAnsi="Times New Roman" w:cs="Times New Roman"/>
          <w:b/>
          <w:bCs/>
          <w:lang w:val="en-US"/>
        </w:rPr>
      </w:pPr>
      <w:r w:rsidRPr="00D76BD1">
        <w:rPr>
          <w:rFonts w:ascii="Times New Roman" w:hAnsi="Times New Roman" w:cs="Times New Roman"/>
          <w:b/>
          <w:bCs/>
          <w:lang w:val="en-US"/>
        </w:rPr>
        <w:lastRenderedPageBreak/>
        <w:t>2.3. Analytical methods</w:t>
      </w:r>
    </w:p>
    <w:p w14:paraId="66C42D25" w14:textId="71B53BC8" w:rsidR="00334948" w:rsidRPr="00D76BD1" w:rsidRDefault="00334948" w:rsidP="00334948">
      <w:pPr>
        <w:spacing w:line="360" w:lineRule="auto"/>
        <w:jc w:val="both"/>
        <w:rPr>
          <w:rFonts w:ascii="Times New Roman" w:hAnsi="Times New Roman" w:cs="Times New Roman"/>
          <w:lang w:val="en-US"/>
        </w:rPr>
      </w:pPr>
      <w:r w:rsidRPr="00D76BD1">
        <w:rPr>
          <w:rFonts w:ascii="Times New Roman" w:hAnsi="Times New Roman" w:cs="Times New Roman"/>
          <w:lang w:val="en-US"/>
        </w:rPr>
        <w:t>Mixed liquor suspended solids (MLSS), concentration of mixed liquor volatile suspended solids (MLVSS), and settleability (sludge volume index after five minutes of sedimentation-SVI</w:t>
      </w:r>
      <w:r w:rsidRPr="00D76BD1">
        <w:rPr>
          <w:rFonts w:ascii="Times New Roman" w:hAnsi="Times New Roman" w:cs="Times New Roman"/>
          <w:vertAlign w:val="subscript"/>
          <w:lang w:val="en-US"/>
        </w:rPr>
        <w:t>5</w:t>
      </w:r>
      <w:r w:rsidRPr="00D76BD1">
        <w:rPr>
          <w:rFonts w:ascii="Times New Roman" w:hAnsi="Times New Roman" w:cs="Times New Roman"/>
          <w:lang w:val="en-US"/>
        </w:rPr>
        <w:t xml:space="preserve">). These parameters were analyzed following the standard methods </w:t>
      </w:r>
      <w:r w:rsidRPr="00D76BD1">
        <w:rPr>
          <w:rFonts w:ascii="Times New Roman" w:hAnsi="Times New Roman" w:cs="Times New Roman"/>
          <w:lang w:val="en-US"/>
        </w:rPr>
        <w:fldChar w:fldCharType="begin" w:fldLock="1"/>
      </w:r>
      <w:r w:rsidRPr="00D76BD1">
        <w:rPr>
          <w:rFonts w:ascii="Times New Roman" w:hAnsi="Times New Roman" w:cs="Times New Roman"/>
          <w:lang w:val="en-US"/>
        </w:rPr>
        <w:instrText>ADDIN CSL_CITATION {"citationItems":[{"id":"ITEM-1","itemData":{"DOI":"10.1021/acs.est.7b02768","ISSN":"15205851","PMID":"28832135","abstract":"The increasing use of cupric oxide nanoparticles (CuO NPs) has raised concerns about their potential environmental toxicity. Aerobic granular sludge (AGS) is a special form of microbial aggregates. In this study, the removal efficiencies of nitrogen and phosphorus, enzyme activities and microbial community of AGS under long-term exposure to CuO NPs (at concentrations of 5, 20, 50 mg/L) in aerobic/oxic/anoxic (A/O/A) sequencing batch reactors (SBRs) were investigated. The results showed the chronic toxicity caused by different concentrations of CuO NPs (5, 20, 50 mg/L) resulted in increases in the production of ROS of 110.37%, 178.64%, and 188.93% and in the release of lactate dehydrogenase (LDH) of 108.33%, 297.05%, 335.94%, respectively, compared to the control. Besides, CuO NPs decreased the activities of polyphosphate kinase (PPK) and exophosphatase (PPX), leading to lower phosphorus removal efficiency. However, the NH4+-N removal rates remained stable, and the removal efficiencies of TN increased due to the synthesis of nitrite and nitrous oxide (N2O) reductases. In addition, CuO NPs at concentrations of 0, 5, 20 mg/L increased the secretion of protein (PN) to 90, 91, 105 mg/gVSS, respectively, which could alleviate the toxicity of CuO NPs. High-throughput sequencing showed that CuO NPs increased the abundance of nitrogen-removal bacteria and reduced the abundance of phosphorus-removal bacteria, which is consistent with the results of pollutant removal upon long-term exposure to CuO NPs.","author":[{"dropping-particle":"","family":"Zheng","given":"Xiao Ying","non-dropping-particle":"","parse-names":false,"suffix":""},{"dropping-particle":"","family":"Lu","given":"Dan","non-dropping-particle":"","parse-names":false,"suffix":""},{"dropping-particle":"","family":"Chen","given":"Wei","non-dropping-particle":"","parse-names":false,"suffix":""},{"dropping-particle":"","family":"Gao","given":"Ya Jie","non-dropping-particle":"","parse-names":false,"suffix":""},{"dropping-particle":"","family":"Zhou","given":"Gan","non-dropping-particle":"","parse-names":false,"suffix":""},{"dropping-particle":"","family":"Zhang","given":"Yuan","non-dropping-particle":"","parse-names":false,"suffix":""},{"dropping-particle":"","family":"Zhou","given":"Xiang","non-dropping-particle":"","parse-names":false,"suffix":""},{"dropping-particle":"","family":"Jin","given":"Meng Qi","non-dropping-particle":"","parse-names":false,"suffix":""}],"container-title":"Environmental Science and Technology","id":"ITEM-1","issue":"18","issued":{"date-parts":[["2017"]]},"page":"10503-10510","title":"Response of Aerobic Granular Sludge to the Long-Term Presence of CuO NPs in A/O/A SBRs: Nitrogen and Phosphorus Removal, Enzymatic Activity, and the Microbial Community","type":"article-journal","volume":"51"},"uris":["http://www.mendeley.com/documents/?uuid=5ad9cba1-24b8-45eb-ac4d-4f8adffe7028"]}],"mendeley":{"formattedCitation":"(Zheng et al., 2017)","plainTextFormattedCitation":"(Zheng et al., 2017)","previouslyFormattedCitation":"(Zheng et al., 2017)"},"properties":{"noteIndex":0},"schema":"https://github.com/citation-style-language/schema/raw/master/csl-citation.json"}</w:instrText>
      </w:r>
      <w:r w:rsidRPr="00D76BD1">
        <w:rPr>
          <w:rFonts w:ascii="Times New Roman" w:hAnsi="Times New Roman" w:cs="Times New Roman"/>
          <w:lang w:val="en-US"/>
        </w:rPr>
        <w:fldChar w:fldCharType="separate"/>
      </w:r>
      <w:r w:rsidRPr="00D76BD1">
        <w:rPr>
          <w:rFonts w:ascii="Times New Roman" w:hAnsi="Times New Roman" w:cs="Times New Roman"/>
          <w:noProof/>
          <w:lang w:val="en-US"/>
        </w:rPr>
        <w:t>(Zheng et al., 2017)</w:t>
      </w:r>
      <w:r w:rsidRPr="00D76BD1">
        <w:rPr>
          <w:rFonts w:ascii="Times New Roman" w:hAnsi="Times New Roman" w:cs="Times New Roman"/>
          <w:lang w:val="en-US"/>
        </w:rPr>
        <w:fldChar w:fldCharType="end"/>
      </w:r>
      <w:r w:rsidRPr="00D76BD1">
        <w:rPr>
          <w:rFonts w:ascii="Times New Roman" w:hAnsi="Times New Roman" w:cs="Times New Roman"/>
          <w:lang w:val="en-US"/>
        </w:rPr>
        <w:t xml:space="preserve">. </w:t>
      </w:r>
    </w:p>
    <w:p w14:paraId="50C358CC" w14:textId="08BB11B9" w:rsidR="00334948" w:rsidRPr="00D76BD1" w:rsidRDefault="00334948" w:rsidP="00334948">
      <w:pPr>
        <w:spacing w:line="360" w:lineRule="auto"/>
        <w:jc w:val="both"/>
        <w:rPr>
          <w:rFonts w:ascii="Times New Roman" w:hAnsi="Times New Roman" w:cs="Times New Roman"/>
          <w:lang w:val="en-US"/>
        </w:rPr>
      </w:pPr>
      <w:r w:rsidRPr="00D76BD1">
        <w:rPr>
          <w:rFonts w:ascii="Times New Roman" w:hAnsi="Times New Roman" w:cs="Times New Roman"/>
          <w:lang w:val="en-US"/>
        </w:rPr>
        <w:t>During the extraction of EPS, 20 mL MLSS from the reactors was washed three times with deionized water. After centrifugation (5000 g, 4 °C, 10 min), the supernatant was discarded and the pellet resuspended. The sludge mixture was then heated at 80 °C for 30 min under continuous stirring (200 rpm), and the resulting mixture was centrifuged and its supernatant filtered (0.45 </w:t>
      </w:r>
      <w:proofErr w:type="spellStart"/>
      <w:r w:rsidRPr="00D76BD1">
        <w:rPr>
          <w:rFonts w:ascii="Times New Roman" w:hAnsi="Times New Roman" w:cs="Times New Roman"/>
          <w:lang w:val="en-US"/>
        </w:rPr>
        <w:t>μm</w:t>
      </w:r>
      <w:proofErr w:type="spellEnd"/>
      <w:r w:rsidRPr="00D76BD1">
        <w:rPr>
          <w:rFonts w:ascii="Times New Roman" w:hAnsi="Times New Roman" w:cs="Times New Roman"/>
          <w:lang w:val="en-US"/>
        </w:rPr>
        <w:t xml:space="preserve">) </w:t>
      </w:r>
      <w:r w:rsidRPr="00D76BD1">
        <w:rPr>
          <w:rFonts w:ascii="Times New Roman" w:hAnsi="Times New Roman" w:cs="Times New Roman"/>
          <w:lang w:val="en-US"/>
        </w:rPr>
        <w:fldChar w:fldCharType="begin" w:fldLock="1"/>
      </w:r>
      <w:r w:rsidRPr="00D76BD1">
        <w:rPr>
          <w:rFonts w:ascii="Times New Roman" w:hAnsi="Times New Roman" w:cs="Times New Roman"/>
          <w:lang w:val="en-US"/>
        </w:rPr>
        <w:instrText>ADDIN CSL_CITATION {"citationItems":[{"id":"ITEM-1","itemData":{"DOI":"https://doi.org/10.1016/j.watres.2006.06.037","ISSN":"0043-1354","abstract":"Laboratory experiments on the activated sludge (AS) process were carried out to investigate the influence of microbial extracellular polymeric substances (EPS), including loosely bound EPS (LB-EPS) and tightly bound EPS (TB-EPS), on biomass flocculation, sludge settlement and dewaterability. The heat EPS extraction method was modified to include a mild step and a harsh step for extracting the LB-EPS and TB-EPS, respectively, from the sludge suspension. Six lab-scale AS reactors were used to grow AS with different carbon sources of glucose and sodium acetate, and different sludge retention times (SRTs) of 5, 10 and 20 days. The variation in the bioreactor condition produced sludge with different abundances of EPS and different flocculation and separation characteristics. The sludge that was fed on glucose had more EPS than the sludge that was fed on acetate. For any of the feeding substrates, the sludge had a nearly consistent TB-EPS value regardless of the SRT, and an LB-EPS content that decreased with the SRT. The acetate-fed sludge performed better than the glucose-fed sludge in terms of bioflocculation, sludge sedimentation and compression, and sludge dewaterability. The sludge flocculation and separation improved considerably as the SRT lengthened. The results demonstrate that the LB-EPS had a negative effect on bioflocculation and sludge–water separation. The parameters for the performance of sludge–water separation were much more closely correlated with the amount of LB-EPS than with the amount of TB-EPS. It is argued that although EPS is essential to sludge floc formation, excessive EPS in the form of LB-EPS could weaken cell attachment and the floc structure, resulting in poor bioflocculation, greater cell erosion and retarded sludge–water separation.","author":[{"dropping-particle":"","family":"Li","given":"X Y","non-dropping-particle":"","parse-names":false,"suffix":""},{"dropping-particle":"","family":"Yang","given":"S F","non-dropping-particle":"","parse-names":false,"suffix":""}],"container-title":"Water Research","id":"ITEM-1","issue":"5","issued":{"date-parts":[["2007"]]},"page":"1022-1030","title":"Influence of loosely bound extracellular polymeric substances (EPS) on the flocculation, sedimentation and dewaterability of activated sludge","type":"article-journal","volume":"41"},"uris":["http://www.mendeley.com/documents/?uuid=bfdcbfea-e0e8-453b-ab53-4481366af66d"]}],"mendeley":{"formattedCitation":"(Li and Yang, 2007)","plainTextFormattedCitation":"(Li and Yang, 2007)","previouslyFormattedCitation":"(Li and Yang, 2007)"},"properties":{"noteIndex":0},"schema":"https://github.com/citation-style-language/schema/raw/master/csl-citation.json"}</w:instrText>
      </w:r>
      <w:r w:rsidRPr="00D76BD1">
        <w:rPr>
          <w:rFonts w:ascii="Times New Roman" w:hAnsi="Times New Roman" w:cs="Times New Roman"/>
          <w:lang w:val="en-US"/>
        </w:rPr>
        <w:fldChar w:fldCharType="separate"/>
      </w:r>
      <w:r w:rsidRPr="00D76BD1">
        <w:rPr>
          <w:rFonts w:ascii="Times New Roman" w:hAnsi="Times New Roman" w:cs="Times New Roman"/>
          <w:noProof/>
          <w:lang w:val="en-US"/>
        </w:rPr>
        <w:t>(Li and Yang, 2007)</w:t>
      </w:r>
      <w:r w:rsidRPr="00D76BD1">
        <w:rPr>
          <w:rFonts w:ascii="Times New Roman" w:hAnsi="Times New Roman" w:cs="Times New Roman"/>
          <w:lang w:val="en-US"/>
        </w:rPr>
        <w:fldChar w:fldCharType="end"/>
      </w:r>
      <w:r w:rsidRPr="00D76BD1">
        <w:rPr>
          <w:rFonts w:ascii="Times New Roman" w:hAnsi="Times New Roman" w:cs="Times New Roman"/>
          <w:lang w:val="en-US"/>
        </w:rPr>
        <w:t xml:space="preserve">. The polysaccharide (PS) and protein (PN) contents in the EPS were assessed using the </w:t>
      </w:r>
      <w:proofErr w:type="spellStart"/>
      <w:r w:rsidRPr="00D76BD1">
        <w:rPr>
          <w:rFonts w:ascii="Times New Roman" w:hAnsi="Times New Roman" w:cs="Times New Roman"/>
          <w:lang w:val="en-US"/>
        </w:rPr>
        <w:t>Anthrone</w:t>
      </w:r>
      <w:proofErr w:type="spellEnd"/>
      <w:r w:rsidRPr="00D76BD1">
        <w:rPr>
          <w:rFonts w:ascii="Times New Roman" w:hAnsi="Times New Roman" w:cs="Times New Roman"/>
          <w:lang w:val="en-US"/>
        </w:rPr>
        <w:t xml:space="preserve"> (glucose as the standard) and modified Lowry (bovine serum albumin as the standard) methods </w:t>
      </w:r>
      <w:r w:rsidRPr="00D76BD1">
        <w:rPr>
          <w:rFonts w:ascii="Times New Roman" w:hAnsi="Times New Roman" w:cs="Times New Roman"/>
          <w:lang w:val="en-US"/>
        </w:rPr>
        <w:fldChar w:fldCharType="begin" w:fldLock="1"/>
      </w:r>
      <w:r w:rsidR="00B562E2" w:rsidRPr="00D76BD1">
        <w:rPr>
          <w:rFonts w:ascii="Times New Roman" w:hAnsi="Times New Roman" w:cs="Times New Roman"/>
          <w:lang w:val="en-US"/>
        </w:rPr>
        <w:instrText>ADDIN CSL_CITATION {"citationItems":[{"id":"ITEM-1","itemData":{"DOI":"10.1039/c7ra01060e","ISSN":"20462069","abstract":"The effects of individual and combined full-scale Ca(OH)2 and ultrasonic pretreatment on high-solid sludge (total solids content = 8%) were examined in terms of soluble organics increase, damage of extracellular polymeric substance (EPS) and cell structures, and subsequent anaerobic digestion. The maximum solubilization difference was obtained when combined pretreatment of 0.04 g g-1-TS lime and 225 kJ kg-1-TS ultrasound was used. The individual 0.04 g g-1 TS lime and low power ultrasonic pretreatment could only disintegrate the EPS partly, while the combined pretreatment damage not only EPS but also cells. Compared with the individual pretreatment, the combined pretreatment could result in a better performance of anaerobic digestion. When 0.04 g g-1-TS lime and 225 kJ kg-1-TS ultrasonic pretreatment was applied, the cumulative methane yield increased by 36.7% compared with that of individual lime pretreatment. These results proved that the multiple-transducer ultrasonic process could disintegrate high-solid sludge effectively when combined with Ca(OH)2, as well as enhance the methane yield.","author":[{"dropping-particle":"","family":"Zhang","given":"Bo","non-dropping-particle":"","parse-names":false,"suffix":""},{"dropping-particle":"","family":"Ji","given":"Min","non-dropping-particle":"","parse-names":false,"suffix":""},{"dropping-particle":"","family":"Wang","given":"Fen","non-dropping-particle":"","parse-names":false,"suffix":""},{"dropping-particle":"","family":"Li","given":"Ruying","non-dropping-particle":"","parse-names":false,"suffix":""},{"dropping-particle":"","family":"Zhang","given":"Keqiang","non-dropping-particle":"","parse-names":false,"suffix":""},{"dropping-particle":"","family":"Yin","given":"Xiaobo","non-dropping-particle":"","parse-names":false,"suffix":""},{"dropping-particle":"","family":"Li","given":"Qiang","non-dropping-particle":"","parse-names":false,"suffix":""}],"container-title":"RSC Advances","id":"ITEM-1","issue":"37","issued":{"date-parts":[["2017"]]},"page":"22706-22714","publisher":"Royal Society of Chemistry","title":"Damage of EPS and cell structures and improvement of high-solid anaerobic digestion of sewage sludge by combined (Ca(OH)2 + multiple-transducer ultrasonic) pretreatment","type":"article-journal","volume":"7"},"uris":["http://www.mendeley.com/documents/?uuid=4823d6f9-6ab0-44fb-af6f-aad583ff0c09"]}],"mendeley":{"formattedCitation":"(Zhang et al., 2017)","plainTextFormattedCitation":"(Zhang et al., 2017)","previouslyFormattedCitation":"(Zhang et al., 2017)"},"properties":{"noteIndex":0},"schema":"https://github.com/citation-style-language/schema/raw/master/csl-citation.json"}</w:instrText>
      </w:r>
      <w:r w:rsidRPr="00D76BD1">
        <w:rPr>
          <w:rFonts w:ascii="Times New Roman" w:hAnsi="Times New Roman" w:cs="Times New Roman"/>
          <w:lang w:val="en-US"/>
        </w:rPr>
        <w:fldChar w:fldCharType="separate"/>
      </w:r>
      <w:r w:rsidRPr="00D76BD1">
        <w:rPr>
          <w:rFonts w:ascii="Times New Roman" w:hAnsi="Times New Roman" w:cs="Times New Roman"/>
          <w:noProof/>
          <w:lang w:val="en-US"/>
        </w:rPr>
        <w:t>(Zhang et al., 2017)</w:t>
      </w:r>
      <w:r w:rsidRPr="00D76BD1">
        <w:rPr>
          <w:rFonts w:ascii="Times New Roman" w:hAnsi="Times New Roman" w:cs="Times New Roman"/>
          <w:lang w:val="en-US"/>
        </w:rPr>
        <w:fldChar w:fldCharType="end"/>
      </w:r>
      <w:r w:rsidRPr="00D76BD1">
        <w:rPr>
          <w:rFonts w:ascii="Times New Roman" w:hAnsi="Times New Roman" w:cs="Times New Roman"/>
          <w:lang w:val="en-US"/>
        </w:rPr>
        <w:t>. The EPS was considered to be the sum of PN and PS. All analyses were performed in triplicate. Granular sludge samples were washed three times with 0.1 M phosphate buffer and then subjected to freeze-drying. The resulting dry granules were examined using scanning electron microscope (SEM) to investigate morphological and structural changes.</w:t>
      </w:r>
    </w:p>
    <w:p w14:paraId="19156D22" w14:textId="5FA55FDC" w:rsidR="00432331" w:rsidRPr="00D76BD1" w:rsidRDefault="00432331" w:rsidP="00432331">
      <w:pPr>
        <w:spacing w:line="360" w:lineRule="auto"/>
        <w:jc w:val="both"/>
        <w:rPr>
          <w:rFonts w:ascii="Times New Roman" w:hAnsi="Times New Roman" w:cs="Times New Roman"/>
          <w:b/>
        </w:rPr>
      </w:pPr>
      <w:r w:rsidRPr="00D76BD1">
        <w:rPr>
          <w:rFonts w:ascii="Times New Roman" w:hAnsi="Times New Roman" w:cs="Times New Roman"/>
          <w:b/>
          <w:bCs/>
          <w:lang w:val="en-US"/>
        </w:rPr>
        <w:t>2.</w:t>
      </w:r>
      <w:r w:rsidR="00334948" w:rsidRPr="00D76BD1">
        <w:rPr>
          <w:rFonts w:ascii="Times New Roman" w:hAnsi="Times New Roman" w:cs="Times New Roman"/>
          <w:b/>
          <w:bCs/>
          <w:lang w:val="en-US"/>
        </w:rPr>
        <w:t>4</w:t>
      </w:r>
      <w:r w:rsidRPr="00D76BD1">
        <w:rPr>
          <w:rFonts w:ascii="Times New Roman" w:hAnsi="Times New Roman" w:cs="Times New Roman"/>
          <w:b/>
          <w:bCs/>
          <w:lang w:val="en-US"/>
        </w:rPr>
        <w:t xml:space="preserve">. </w:t>
      </w:r>
      <w:r w:rsidRPr="00D76BD1">
        <w:rPr>
          <w:rFonts w:ascii="Times New Roman" w:hAnsi="Times New Roman" w:cs="Times New Roman"/>
          <w:b/>
        </w:rPr>
        <w:t>Determinations of SA</w:t>
      </w:r>
      <w:r w:rsidR="000E08A9" w:rsidRPr="00D76BD1">
        <w:rPr>
          <w:rFonts w:ascii="Times New Roman" w:hAnsi="Times New Roman" w:cs="Times New Roman"/>
          <w:b/>
        </w:rPr>
        <w:t>U</w:t>
      </w:r>
      <w:r w:rsidRPr="00D76BD1">
        <w:rPr>
          <w:rFonts w:ascii="Times New Roman" w:hAnsi="Times New Roman" w:cs="Times New Roman"/>
          <w:b/>
        </w:rPr>
        <w:t>R,</w:t>
      </w:r>
      <w:r w:rsidR="00CD7BE8" w:rsidRPr="00D76BD1">
        <w:rPr>
          <w:rFonts w:ascii="Times New Roman" w:hAnsi="Times New Roman" w:cs="Times New Roman"/>
          <w:b/>
        </w:rPr>
        <w:t xml:space="preserve"> SNIUR,</w:t>
      </w:r>
      <w:r w:rsidRPr="00D76BD1">
        <w:rPr>
          <w:rFonts w:ascii="Times New Roman" w:hAnsi="Times New Roman" w:cs="Times New Roman"/>
          <w:b/>
        </w:rPr>
        <w:t xml:space="preserve"> S</w:t>
      </w:r>
      <w:r w:rsidR="000E08A9" w:rsidRPr="00D76BD1">
        <w:rPr>
          <w:rFonts w:ascii="Times New Roman" w:hAnsi="Times New Roman" w:cs="Times New Roman"/>
          <w:b/>
        </w:rPr>
        <w:t>NU</w:t>
      </w:r>
      <w:r w:rsidRPr="00D76BD1">
        <w:rPr>
          <w:rFonts w:ascii="Times New Roman" w:hAnsi="Times New Roman" w:cs="Times New Roman"/>
          <w:b/>
        </w:rPr>
        <w:t>R, and SPUR</w:t>
      </w:r>
    </w:p>
    <w:p w14:paraId="6CCD89A6" w14:textId="7E857AC6" w:rsidR="00432331" w:rsidRPr="00D76BD1" w:rsidRDefault="00432331" w:rsidP="00432331">
      <w:pPr>
        <w:spacing w:line="360" w:lineRule="auto"/>
        <w:jc w:val="both"/>
        <w:rPr>
          <w:rFonts w:ascii="Times New Roman" w:hAnsi="Times New Roman"/>
          <w:color w:val="000000"/>
        </w:rPr>
      </w:pPr>
      <w:r w:rsidRPr="00D76BD1">
        <w:rPr>
          <w:rFonts w:ascii="Times New Roman" w:hAnsi="Times New Roman"/>
          <w:color w:val="000000"/>
        </w:rPr>
        <w:t>The assessment of SAUR</w:t>
      </w:r>
      <w:r w:rsidR="00CD3A9A" w:rsidRPr="00D76BD1">
        <w:rPr>
          <w:rFonts w:ascii="Times New Roman" w:hAnsi="Times New Roman"/>
          <w:color w:val="000000"/>
        </w:rPr>
        <w:t>, SNIUR</w:t>
      </w:r>
      <w:r w:rsidRPr="00D76BD1">
        <w:rPr>
          <w:rFonts w:ascii="Times New Roman" w:hAnsi="Times New Roman"/>
          <w:color w:val="000000"/>
        </w:rPr>
        <w:t xml:space="preserve"> and SNUR</w:t>
      </w:r>
      <w:r w:rsidR="00E65C70" w:rsidRPr="00D76BD1">
        <w:rPr>
          <w:rFonts w:ascii="Times New Roman" w:hAnsi="Times New Roman"/>
          <w:color w:val="000000"/>
        </w:rPr>
        <w:t xml:space="preserve"> </w:t>
      </w:r>
      <w:r w:rsidRPr="00D76BD1">
        <w:rPr>
          <w:rFonts w:ascii="Times New Roman" w:hAnsi="Times New Roman"/>
          <w:color w:val="000000"/>
        </w:rPr>
        <w:t>were performed in a 500 mL Erlenmeyer flask with 50 mL of aerobic granular sludge from the SBR and 350 mL of synthetic wastewater. The sludge and synthetic wastewater in the Erlenmeyer flask were mixed by a magnetic stirrer. The nitrogen sources for the determination of SA</w:t>
      </w:r>
      <w:r w:rsidR="00DB3129" w:rsidRPr="00D76BD1">
        <w:rPr>
          <w:rFonts w:ascii="Times New Roman" w:hAnsi="Times New Roman"/>
          <w:color w:val="000000"/>
        </w:rPr>
        <w:t>U</w:t>
      </w:r>
      <w:r w:rsidRPr="00D76BD1">
        <w:rPr>
          <w:rFonts w:ascii="Times New Roman" w:hAnsi="Times New Roman"/>
          <w:color w:val="000000"/>
        </w:rPr>
        <w:t>R</w:t>
      </w:r>
      <w:r w:rsidR="00DB3129" w:rsidRPr="00D76BD1">
        <w:rPr>
          <w:rFonts w:ascii="Times New Roman" w:hAnsi="Times New Roman"/>
          <w:color w:val="000000"/>
        </w:rPr>
        <w:t>, SNIUR</w:t>
      </w:r>
      <w:r w:rsidR="00E65C70" w:rsidRPr="00D76BD1">
        <w:rPr>
          <w:rFonts w:ascii="Times New Roman" w:hAnsi="Times New Roman"/>
          <w:color w:val="000000"/>
        </w:rPr>
        <w:t xml:space="preserve"> and</w:t>
      </w:r>
      <w:r w:rsidRPr="00D76BD1">
        <w:rPr>
          <w:rFonts w:ascii="Times New Roman" w:hAnsi="Times New Roman"/>
          <w:color w:val="000000"/>
        </w:rPr>
        <w:t xml:space="preserve"> SN</w:t>
      </w:r>
      <w:r w:rsidR="00E65C70" w:rsidRPr="00D76BD1">
        <w:rPr>
          <w:rFonts w:ascii="Times New Roman" w:hAnsi="Times New Roman"/>
          <w:color w:val="000000"/>
        </w:rPr>
        <w:t>U</w:t>
      </w:r>
      <w:r w:rsidRPr="00D76BD1">
        <w:rPr>
          <w:rFonts w:ascii="Times New Roman" w:hAnsi="Times New Roman"/>
          <w:color w:val="000000"/>
        </w:rPr>
        <w:t>R were NH</w:t>
      </w:r>
      <w:r w:rsidRPr="00D76BD1">
        <w:rPr>
          <w:rFonts w:ascii="Times New Roman" w:hAnsi="Times New Roman"/>
          <w:color w:val="000000"/>
          <w:vertAlign w:val="subscript"/>
        </w:rPr>
        <w:t>4</w:t>
      </w:r>
      <w:r w:rsidRPr="00D76BD1">
        <w:rPr>
          <w:rFonts w:ascii="Times New Roman" w:hAnsi="Times New Roman"/>
          <w:color w:val="000000"/>
        </w:rPr>
        <w:t>Cl</w:t>
      </w:r>
      <w:r w:rsidR="00DB3129" w:rsidRPr="00D76BD1">
        <w:rPr>
          <w:rFonts w:ascii="Times New Roman" w:hAnsi="Times New Roman"/>
          <w:color w:val="000000"/>
        </w:rPr>
        <w:t>,</w:t>
      </w:r>
      <w:r w:rsidR="00E65C70" w:rsidRPr="00D76BD1">
        <w:rPr>
          <w:rFonts w:ascii="Times New Roman" w:hAnsi="Times New Roman"/>
          <w:color w:val="000000"/>
        </w:rPr>
        <w:t xml:space="preserve"> </w:t>
      </w:r>
      <w:r w:rsidRPr="00D76BD1">
        <w:rPr>
          <w:rFonts w:ascii="Times New Roman" w:hAnsi="Times New Roman"/>
          <w:color w:val="000000"/>
        </w:rPr>
        <w:t>NaNO</w:t>
      </w:r>
      <w:r w:rsidRPr="00D76BD1">
        <w:rPr>
          <w:rFonts w:ascii="Times New Roman" w:hAnsi="Times New Roman"/>
          <w:color w:val="000000"/>
          <w:vertAlign w:val="subscript"/>
        </w:rPr>
        <w:t>2</w:t>
      </w:r>
      <w:r w:rsidR="00E65C70" w:rsidRPr="00D76BD1">
        <w:rPr>
          <w:rFonts w:ascii="Times New Roman" w:hAnsi="Times New Roman"/>
          <w:color w:val="000000"/>
        </w:rPr>
        <w:t>,</w:t>
      </w:r>
      <w:r w:rsidR="00DB3129" w:rsidRPr="00D76BD1">
        <w:rPr>
          <w:rFonts w:ascii="Times New Roman" w:hAnsi="Times New Roman"/>
          <w:color w:val="000000"/>
        </w:rPr>
        <w:t xml:space="preserve"> and NaNO</w:t>
      </w:r>
      <w:r w:rsidR="00DB3129" w:rsidRPr="00D76BD1">
        <w:rPr>
          <w:rFonts w:ascii="Times New Roman" w:hAnsi="Times New Roman"/>
          <w:color w:val="000000"/>
          <w:vertAlign w:val="subscript"/>
        </w:rPr>
        <w:t>3</w:t>
      </w:r>
      <w:r w:rsidRPr="00D76BD1">
        <w:rPr>
          <w:rFonts w:ascii="Times New Roman" w:hAnsi="Times New Roman"/>
          <w:color w:val="000000"/>
        </w:rPr>
        <w:t xml:space="preserve"> respectively, corresponding to the concentration of 60 </w:t>
      </w:r>
      <w:r w:rsidR="00B6687D" w:rsidRPr="00D76BD1">
        <w:rPr>
          <w:rFonts w:ascii="Times New Roman" w:eastAsia="Times New Roman" w:hAnsi="Times New Roman"/>
        </w:rPr>
        <w:t>mg L</w:t>
      </w:r>
      <w:r w:rsidR="00B6687D" w:rsidRPr="00D76BD1">
        <w:rPr>
          <w:rFonts w:ascii="Times New Roman" w:eastAsia="Times New Roman" w:hAnsi="Times New Roman"/>
          <w:vertAlign w:val="superscript"/>
        </w:rPr>
        <w:t xml:space="preserve">-1 </w:t>
      </w:r>
      <w:r w:rsidRPr="00D76BD1">
        <w:rPr>
          <w:rFonts w:ascii="Times New Roman" w:hAnsi="Times New Roman"/>
          <w:color w:val="000000"/>
        </w:rPr>
        <w:t>NH</w:t>
      </w:r>
      <w:r w:rsidRPr="00D76BD1">
        <w:rPr>
          <w:rFonts w:ascii="Times New Roman" w:hAnsi="Times New Roman"/>
          <w:color w:val="000000"/>
          <w:vertAlign w:val="subscript"/>
        </w:rPr>
        <w:t>4</w:t>
      </w:r>
      <w:r w:rsidRPr="00D76BD1">
        <w:rPr>
          <w:rFonts w:ascii="Times New Roman" w:hAnsi="Times New Roman"/>
          <w:color w:val="000000"/>
          <w:vertAlign w:val="superscript"/>
        </w:rPr>
        <w:t>+</w:t>
      </w:r>
      <w:r w:rsidRPr="00D76BD1">
        <w:rPr>
          <w:rFonts w:ascii="Times New Roman" w:hAnsi="Times New Roman"/>
          <w:color w:val="000000"/>
        </w:rPr>
        <w:t>-N</w:t>
      </w:r>
      <w:r w:rsidR="00DB3129" w:rsidRPr="00D76BD1">
        <w:rPr>
          <w:rFonts w:ascii="Times New Roman" w:hAnsi="Times New Roman"/>
          <w:color w:val="000000"/>
        </w:rPr>
        <w:t>,</w:t>
      </w:r>
      <w:r w:rsidR="00E65C70" w:rsidRPr="00D76BD1">
        <w:rPr>
          <w:rFonts w:ascii="Times New Roman" w:hAnsi="Times New Roman"/>
          <w:color w:val="000000"/>
        </w:rPr>
        <w:t xml:space="preserve"> </w:t>
      </w:r>
      <w:r w:rsidRPr="00D76BD1">
        <w:rPr>
          <w:rFonts w:ascii="Times New Roman" w:hAnsi="Times New Roman"/>
          <w:color w:val="000000"/>
        </w:rPr>
        <w:t xml:space="preserve">90 </w:t>
      </w:r>
      <w:r w:rsidR="00B6687D" w:rsidRPr="00D76BD1">
        <w:rPr>
          <w:rFonts w:ascii="Times New Roman" w:eastAsia="Times New Roman" w:hAnsi="Times New Roman"/>
        </w:rPr>
        <w:t>mg L</w:t>
      </w:r>
      <w:r w:rsidR="00B6687D" w:rsidRPr="00D76BD1">
        <w:rPr>
          <w:rFonts w:ascii="Times New Roman" w:eastAsia="Times New Roman" w:hAnsi="Times New Roman"/>
          <w:vertAlign w:val="superscript"/>
        </w:rPr>
        <w:t xml:space="preserve">-1 </w:t>
      </w:r>
      <w:r w:rsidRPr="00D76BD1">
        <w:rPr>
          <w:rFonts w:ascii="Times New Roman" w:hAnsi="Times New Roman"/>
          <w:color w:val="000000"/>
        </w:rPr>
        <w:t>NO</w:t>
      </w:r>
      <w:r w:rsidRPr="00D76BD1">
        <w:rPr>
          <w:rFonts w:ascii="Times New Roman" w:hAnsi="Times New Roman"/>
          <w:color w:val="000000"/>
          <w:vertAlign w:val="subscript"/>
        </w:rPr>
        <w:t>2</w:t>
      </w:r>
      <w:r w:rsidRPr="00D76BD1">
        <w:rPr>
          <w:rFonts w:ascii="Times New Roman" w:hAnsi="Times New Roman"/>
          <w:color w:val="000000"/>
          <w:vertAlign w:val="superscript"/>
        </w:rPr>
        <w:t>‒</w:t>
      </w:r>
      <w:r w:rsidRPr="00D76BD1">
        <w:rPr>
          <w:rFonts w:ascii="Times New Roman" w:hAnsi="Times New Roman"/>
          <w:color w:val="000000"/>
        </w:rPr>
        <w:t>-N</w:t>
      </w:r>
      <w:r w:rsidR="00DB3129" w:rsidRPr="00D76BD1">
        <w:rPr>
          <w:rFonts w:ascii="Times New Roman" w:hAnsi="Times New Roman"/>
          <w:color w:val="000000"/>
        </w:rPr>
        <w:t xml:space="preserve">, and 90 </w:t>
      </w:r>
      <w:r w:rsidR="00B6687D" w:rsidRPr="00D76BD1">
        <w:rPr>
          <w:rFonts w:ascii="Times New Roman" w:eastAsia="Times New Roman" w:hAnsi="Times New Roman"/>
        </w:rPr>
        <w:t>mg L</w:t>
      </w:r>
      <w:r w:rsidR="00B6687D" w:rsidRPr="00D76BD1">
        <w:rPr>
          <w:rFonts w:ascii="Times New Roman" w:eastAsia="Times New Roman" w:hAnsi="Times New Roman"/>
          <w:vertAlign w:val="superscript"/>
        </w:rPr>
        <w:t xml:space="preserve">-1 </w:t>
      </w:r>
      <w:r w:rsidR="00DB3129" w:rsidRPr="00D76BD1">
        <w:rPr>
          <w:rFonts w:ascii="Times New Roman" w:hAnsi="Times New Roman"/>
          <w:color w:val="000000"/>
        </w:rPr>
        <w:t>NO</w:t>
      </w:r>
      <w:r w:rsidR="00DB3129" w:rsidRPr="00D76BD1">
        <w:rPr>
          <w:rFonts w:ascii="Times New Roman" w:hAnsi="Times New Roman"/>
          <w:color w:val="000000"/>
          <w:vertAlign w:val="subscript"/>
        </w:rPr>
        <w:t>3</w:t>
      </w:r>
      <w:r w:rsidR="00DB3129" w:rsidRPr="00D76BD1">
        <w:rPr>
          <w:rFonts w:ascii="Times New Roman" w:hAnsi="Times New Roman"/>
          <w:color w:val="000000"/>
          <w:vertAlign w:val="superscript"/>
        </w:rPr>
        <w:t>‒</w:t>
      </w:r>
      <w:r w:rsidR="00DB3129" w:rsidRPr="00D76BD1">
        <w:rPr>
          <w:rFonts w:ascii="Times New Roman" w:hAnsi="Times New Roman"/>
          <w:color w:val="000000"/>
        </w:rPr>
        <w:t>-N</w:t>
      </w:r>
      <w:r w:rsidR="00E65C70" w:rsidRPr="00D76BD1">
        <w:rPr>
          <w:rFonts w:ascii="Times New Roman" w:hAnsi="Times New Roman"/>
          <w:color w:val="000000"/>
        </w:rPr>
        <w:t>.</w:t>
      </w:r>
      <w:r w:rsidRPr="00D76BD1">
        <w:rPr>
          <w:rFonts w:ascii="Times New Roman" w:hAnsi="Times New Roman"/>
          <w:color w:val="000000"/>
        </w:rPr>
        <w:t xml:space="preserve"> </w:t>
      </w:r>
      <w:r w:rsidR="008571CD" w:rsidRPr="00D76BD1">
        <w:rPr>
          <w:rFonts w:ascii="Times New Roman" w:hAnsi="Times New Roman"/>
          <w:color w:val="000000"/>
        </w:rPr>
        <w:t>The air was introduced into the Erlenmeyer flask by an air diffuser in the determination of SAUR or SNIUR, and the nitrogen gas was filled in the Erlenmeyer flask for anoxic conditions in the SNUR test.</w:t>
      </w:r>
      <w:r w:rsidRPr="00D76BD1">
        <w:rPr>
          <w:rFonts w:ascii="Times New Roman" w:hAnsi="Times New Roman"/>
          <w:color w:val="000000"/>
        </w:rPr>
        <w:t xml:space="preserve"> The mixed liquor suspended solids (MLSS) in the BOD bottle and Erlenmeyer flask were regarded as an invariant during the determinations of </w:t>
      </w:r>
      <w:r w:rsidR="008571CD" w:rsidRPr="00D76BD1">
        <w:rPr>
          <w:rFonts w:ascii="Times New Roman" w:hAnsi="Times New Roman"/>
          <w:color w:val="000000"/>
        </w:rPr>
        <w:t>SAUR, SNIUR and SNUR</w:t>
      </w:r>
      <w:r w:rsidRPr="00D76BD1">
        <w:rPr>
          <w:rFonts w:ascii="Times New Roman" w:hAnsi="Times New Roman"/>
          <w:color w:val="000000"/>
        </w:rPr>
        <w:t xml:space="preserve"> due to the shorter operational time. </w:t>
      </w:r>
      <w:r w:rsidR="008571CD" w:rsidRPr="00D76BD1">
        <w:rPr>
          <w:rFonts w:ascii="Times New Roman" w:hAnsi="Times New Roman"/>
          <w:color w:val="000000"/>
        </w:rPr>
        <w:t>The SAUR, SNIUR and SNUR were calculated by monitoring the decreased rate of NH</w:t>
      </w:r>
      <w:r w:rsidR="008571CD" w:rsidRPr="00D76BD1">
        <w:rPr>
          <w:rFonts w:ascii="Times New Roman" w:hAnsi="Times New Roman"/>
          <w:color w:val="000000"/>
          <w:vertAlign w:val="subscript"/>
        </w:rPr>
        <w:t>4</w:t>
      </w:r>
      <w:r w:rsidR="008571CD" w:rsidRPr="00D76BD1">
        <w:rPr>
          <w:rFonts w:ascii="Times New Roman" w:hAnsi="Times New Roman"/>
          <w:color w:val="000000"/>
        </w:rPr>
        <w:t>-N, NO</w:t>
      </w:r>
      <w:r w:rsidR="008571CD" w:rsidRPr="00D76BD1">
        <w:rPr>
          <w:rFonts w:ascii="Times New Roman" w:hAnsi="Times New Roman"/>
          <w:color w:val="000000"/>
          <w:vertAlign w:val="subscript"/>
        </w:rPr>
        <w:t>2</w:t>
      </w:r>
      <w:r w:rsidR="008571CD" w:rsidRPr="00D76BD1">
        <w:rPr>
          <w:rFonts w:ascii="Times New Roman" w:hAnsi="Times New Roman"/>
          <w:color w:val="000000"/>
        </w:rPr>
        <w:t>-N, and NO</w:t>
      </w:r>
      <w:r w:rsidR="008571CD" w:rsidRPr="00D76BD1">
        <w:rPr>
          <w:rFonts w:ascii="Times New Roman" w:hAnsi="Times New Roman"/>
          <w:color w:val="000000"/>
          <w:vertAlign w:val="subscript"/>
        </w:rPr>
        <w:t>3</w:t>
      </w:r>
      <w:r w:rsidR="008571CD" w:rsidRPr="00D76BD1">
        <w:rPr>
          <w:rFonts w:ascii="Times New Roman" w:hAnsi="Times New Roman"/>
          <w:color w:val="000000"/>
        </w:rPr>
        <w:t>-N versus time, respectively</w:t>
      </w:r>
      <w:r w:rsidRPr="00D76BD1">
        <w:rPr>
          <w:rFonts w:ascii="Times New Roman" w:hAnsi="Times New Roman"/>
          <w:color w:val="000000"/>
        </w:rPr>
        <w:t xml:space="preserve"> </w:t>
      </w:r>
      <w:r w:rsidRPr="00D76BD1">
        <w:rPr>
          <w:rFonts w:ascii="Times New Roman" w:hAnsi="Times New Roman"/>
          <w:color w:val="000000"/>
        </w:rPr>
        <w:fldChar w:fldCharType="begin" w:fldLock="1"/>
      </w:r>
      <w:r w:rsidR="00D27DEA" w:rsidRPr="00D76BD1">
        <w:rPr>
          <w:rFonts w:ascii="Times New Roman" w:hAnsi="Times New Roman"/>
          <w:color w:val="000000"/>
        </w:rPr>
        <w:instrText>ADDIN CSL_CITATION {"citationItems":[{"id":"ITEM-1","itemData":{"DOI":"10.1039/C5RA06302G","abstract":"The performance and microbial community of an anoxic–aerobic sequencing batch reactor (SBR) treating mariculture wastewater were evaluated at different oxytetracycline (OTC) concentrations. The COD and nitrogen removal efficiencies decreased with the increase in OTC concentration from 0 to 12 mg L−1. No apparent NO3−-N accumulation was found during the whole operational period, whereas NO2−-N accumulation occurred at 12 mg L−1 OTC. The specific oxygen uptake rate (SOUR), specific ammonium oxidation rate (SAOR), specific nitrite oxidation rate (SNOR) and specific nitrate reduction rate (SNRR) decreased with increasing influent OTC concentration. The protein (PN) and polysaccharide (PS) contents in the loosely-bound extracellular polymeric substances (LB-EPS) and tightly bound EPS (TB-EPS) increased with the increase in OTC concentration from 0 to 12 mg L−1, respectively. The appearance of OTC in the influent could obviously affect the functional groups of the PN and PS in the LB-EPS and TB-EPS. X-ray photoelectron spectroscopy (XPS) illustrated that amino, carboxyl and hydroxyl groups in the EPS might be involved in the interaction between the EPS and OTC. The denaturing gradient gel electrophoresis (DGGE) profile indicated that some variations were found in the microbial community of the activated sludge with increasing OTC concentration. Some microorganisms were depleted or weakened with the increase in OTC concentration, whereas others became the predominant microorganisms due to their ability to adapt to the OTC toxicity.","author":[{"dropping-particle":"","family":"Wang","given":"Sen","non-dropping-particle":"","parse-names":false,"suffix":""},{"dropping-particle":"","family":"Gao","given":"Mengchun","non-dropping-particle":"","parse-names":false,"suffix":""},{"dropping-particle":"","family":"Wang","given":"Zhe","non-dropping-particle":"","parse-names":false,"suffix":""},{"dropping-particle":"","family":"She","given":"Zonglian","non-dropping-particle":"","parse-names":false,"suffix":""},{"dropping-particle":"","family":"Jin","given":"Chunji","non-dropping-particle":"","parse-names":false,"suffix":""},{"dropping-particle":"","family":"Zhao","given":"Yangguo","non-dropping-particle":"","parse-names":false,"suffix":""},{"dropping-particle":"","family":"Guo","given":"Liang","non-dropping-particle":"","parse-names":false,"suffix":""},{"dropping-particle":"","family":"Chang","given":"Qingbo","non-dropping-particle":"","parse-names":false,"suffix":""}],"container-title":"RSC Advances","id":"ITEM-1","issue":"66","issued":{"date-parts":[["2015"]]},"page":"53893-53904","publisher":"The Royal Society of Chemistry","title":"Effect of oxytetracycline on performance and microbial community of an anoxic–aerobic sequencing batch reactor treating mariculture wastewater","type":"article-journal","volume":"5"},"uris":["http://www.mendeley.com/documents/?uuid=f7fbf836-bad1-4d80-9255-9aed6abc3e07"]}],"mendeley":{"formattedCitation":"(Wang et al., 2015)","plainTextFormattedCitation":"(Wang et al., 2015)","previouslyFormattedCitation":"(Wang et al., 2015)"},"properties":{"noteIndex":0},"schema":"https://github.com/citation-style-language/schema/raw/master/csl-citation.json"}</w:instrText>
      </w:r>
      <w:r w:rsidRPr="00D76BD1">
        <w:rPr>
          <w:rFonts w:ascii="Times New Roman" w:hAnsi="Times New Roman"/>
          <w:color w:val="000000"/>
        </w:rPr>
        <w:fldChar w:fldCharType="separate"/>
      </w:r>
      <w:r w:rsidR="00275CD3" w:rsidRPr="00D76BD1">
        <w:rPr>
          <w:rFonts w:ascii="Times New Roman" w:hAnsi="Times New Roman"/>
          <w:noProof/>
          <w:color w:val="000000"/>
        </w:rPr>
        <w:t>(Wang et al., 2015)</w:t>
      </w:r>
      <w:r w:rsidRPr="00D76BD1">
        <w:rPr>
          <w:rFonts w:ascii="Times New Roman" w:hAnsi="Times New Roman"/>
          <w:color w:val="000000"/>
        </w:rPr>
        <w:fldChar w:fldCharType="end"/>
      </w:r>
      <w:r w:rsidRPr="00D76BD1">
        <w:rPr>
          <w:rFonts w:ascii="Times New Roman" w:hAnsi="Times New Roman"/>
          <w:color w:val="000000"/>
        </w:rPr>
        <w:t>.</w:t>
      </w:r>
    </w:p>
    <w:p w14:paraId="2426897C" w14:textId="37666B2F" w:rsidR="00432331" w:rsidRPr="00D76BD1" w:rsidRDefault="00432331" w:rsidP="00B562E2">
      <w:pPr>
        <w:spacing w:line="360" w:lineRule="auto"/>
        <w:jc w:val="both"/>
        <w:rPr>
          <w:rFonts w:ascii="Times New Roman" w:hAnsi="Times New Roman"/>
          <w:color w:val="000000"/>
        </w:rPr>
      </w:pPr>
      <w:r w:rsidRPr="00D76BD1">
        <w:rPr>
          <w:rFonts w:ascii="Times New Roman" w:hAnsi="Times New Roman"/>
          <w:color w:val="000000" w:themeColor="text1"/>
        </w:rPr>
        <w:t>The specific phosphorus uptake rate (SPUR) w</w:t>
      </w:r>
      <w:r w:rsidR="00E65C70" w:rsidRPr="00D76BD1">
        <w:rPr>
          <w:rFonts w:ascii="Times New Roman" w:hAnsi="Times New Roman"/>
          <w:color w:val="000000" w:themeColor="text1"/>
        </w:rPr>
        <w:t>as</w:t>
      </w:r>
      <w:r w:rsidRPr="00D76BD1">
        <w:rPr>
          <w:rFonts w:ascii="Times New Roman" w:hAnsi="Times New Roman"/>
          <w:color w:val="000000" w:themeColor="text1"/>
        </w:rPr>
        <w:t xml:space="preserve"> </w:t>
      </w:r>
      <w:r w:rsidRPr="00D76BD1">
        <w:rPr>
          <w:rFonts w:ascii="Times New Roman" w:hAnsi="Times New Roman"/>
          <w:color w:val="000000"/>
        </w:rPr>
        <w:t xml:space="preserve">measured according to the methodology suggested by </w:t>
      </w:r>
      <w:r w:rsidRPr="00D76BD1">
        <w:rPr>
          <w:rFonts w:ascii="Times New Roman" w:hAnsi="Times New Roman"/>
          <w:color w:val="000000"/>
        </w:rPr>
        <w:fldChar w:fldCharType="begin" w:fldLock="1"/>
      </w:r>
      <w:r w:rsidR="00D27DEA" w:rsidRPr="00D76BD1">
        <w:rPr>
          <w:rFonts w:ascii="Times New Roman" w:hAnsi="Times New Roman"/>
          <w:color w:val="000000"/>
        </w:rPr>
        <w:instrText>ADDIN CSL_CITATION {"citationItems":[{"id":"ITEM-1","itemData":{"DOI":"https://doi.org/10.1016/S0043-1354(02)00286-5","ISSN":"0043-1354","abstract":"Microbial population dynamics to gradual temperature change in an enhanced biological phosphorus removal system was kinetically investigated. As the temperature rose from 20.0°C to 30.0°C, and to 35.5°C, the predominant microbial group changed from the phosphorus-accumulating organisms, PAOs (47–70% of total VSS) to the glycogen-accumulating organisms (64–75% of total VSS), and to the ordinary heterotrophs (90% of total VSS), respectively. Despite the species alteration, the phosphorus contents of the PAOs appeared to be steady within 0.182–0.308mg/mgVSSPAO regardless of the temperature level. The initial specific phosphorus release rates, which are solely due to the PAOs activities, increased with the temperature from 37.5–55.9 to 51.8–61.3, 52.0–76.9, 147.2–210.3, and 374.2–756.3mgP/gmVSSPAOh, at 20.0°C, 25.0°C, 30.0°C, 32.5°C, and 35.0°C, respectively. On the other hand, mean initial specific phosphorus uptake rates of the biomass decreased as the temperature increased; however, the data implied that the rate of the PAOs was higher than the other two microbial groups. These results indicate that the PAOs are lower-range mesophiles or possibly psychrophiles. As the temperature rises, the portion of energy required for maintenance increases substantially which reduces the energy availability for cell reproduction; hence, the PAOs are washed out from the system.","author":[{"dropping-particle":"","family":"Panswad","given":"Thongchai","non-dropping-particle":"","parse-names":false,"suffix":""},{"dropping-particle":"","family":"Doungchai","given":"Apiradee","non-dropping-particle":"","parse-names":false,"suffix":""},{"dropping-particle":"","family":"Anotai","given":"Jin","non-dropping-particle":"","parse-names":false,"suffix":""}],"container-title":"Water Research","id":"ITEM-1","issue":"2","issued":{"date-parts":[["2003"]]},"page":"409-415","title":"Temperature effect on microbial community of enhanced biological phosphorus removal system","type":"article-journal","volume":"37"},"uris":["http://www.mendeley.com/documents/?uuid=c294506e-2b4c-4cfb-8568-3688673a3fac","http://www.mendeley.com/documents/?uuid=3a892208-74b1-4439-972d-86c191409854"]}],"mendeley":{"formattedCitation":"(Panswad et al., 2003)","manualFormatting":"Panswad et al. (2003)","plainTextFormattedCitation":"(Panswad et al., 2003)","previouslyFormattedCitation":"(Panswad et al., 2003)"},"properties":{"noteIndex":0},"schema":"https://github.com/citation-style-language/schema/raw/master/csl-citation.json"}</w:instrText>
      </w:r>
      <w:r w:rsidRPr="00D76BD1">
        <w:rPr>
          <w:rFonts w:ascii="Times New Roman" w:hAnsi="Times New Roman"/>
          <w:color w:val="000000"/>
        </w:rPr>
        <w:fldChar w:fldCharType="separate"/>
      </w:r>
      <w:r w:rsidRPr="00D76BD1">
        <w:rPr>
          <w:rFonts w:ascii="Times New Roman" w:hAnsi="Times New Roman"/>
          <w:noProof/>
          <w:color w:val="000000"/>
        </w:rPr>
        <w:t>Panswad et al. (2003)</w:t>
      </w:r>
      <w:r w:rsidRPr="00D76BD1">
        <w:rPr>
          <w:rFonts w:ascii="Times New Roman" w:hAnsi="Times New Roman"/>
          <w:color w:val="000000"/>
        </w:rPr>
        <w:fldChar w:fldCharType="end"/>
      </w:r>
      <w:r w:rsidRPr="00D76BD1">
        <w:rPr>
          <w:rFonts w:ascii="Times New Roman" w:hAnsi="Times New Roman"/>
          <w:color w:val="000000"/>
        </w:rPr>
        <w:t>. The SP</w:t>
      </w:r>
      <w:r w:rsidR="00E65C70" w:rsidRPr="00D76BD1">
        <w:rPr>
          <w:rFonts w:ascii="Times New Roman" w:hAnsi="Times New Roman"/>
          <w:color w:val="000000"/>
        </w:rPr>
        <w:t>U</w:t>
      </w:r>
      <w:r w:rsidRPr="00D76BD1">
        <w:rPr>
          <w:rFonts w:ascii="Times New Roman" w:hAnsi="Times New Roman"/>
          <w:color w:val="000000"/>
        </w:rPr>
        <w:t>R was determined by taking the sludge at the end of aerobic cycle, washed three times with Milli-Q water and was kept at the appropriate temperatures. The washed sludge was then placed into a 500 mL Erlenmeyer flask equipped with magnetic stirrer for mixing and was incubated at the system temperature.</w:t>
      </w:r>
      <w:r w:rsidR="00E65C70" w:rsidRPr="00D76BD1">
        <w:rPr>
          <w:rFonts w:ascii="Times New Roman" w:hAnsi="Times New Roman"/>
          <w:color w:val="000000"/>
        </w:rPr>
        <w:t xml:space="preserve"> </w:t>
      </w:r>
      <w:r w:rsidRPr="00D76BD1">
        <w:rPr>
          <w:rFonts w:ascii="Times New Roman" w:hAnsi="Times New Roman"/>
          <w:color w:val="000000"/>
        </w:rPr>
        <w:t>The mixed liquor was dosed with K</w:t>
      </w:r>
      <w:r w:rsidRPr="00D76BD1">
        <w:rPr>
          <w:rFonts w:ascii="Times New Roman" w:hAnsi="Times New Roman"/>
          <w:color w:val="000000"/>
          <w:vertAlign w:val="subscript"/>
        </w:rPr>
        <w:t>2</w:t>
      </w:r>
      <w:r w:rsidRPr="00D76BD1">
        <w:rPr>
          <w:rFonts w:ascii="Times New Roman" w:hAnsi="Times New Roman"/>
          <w:color w:val="000000"/>
        </w:rPr>
        <w:t>HPO</w:t>
      </w:r>
      <w:r w:rsidRPr="00D76BD1">
        <w:rPr>
          <w:rFonts w:ascii="Times New Roman" w:hAnsi="Times New Roman"/>
          <w:color w:val="000000"/>
          <w:vertAlign w:val="subscript"/>
        </w:rPr>
        <w:t>4</w:t>
      </w:r>
      <w:r w:rsidRPr="00D76BD1">
        <w:rPr>
          <w:rFonts w:ascii="Times New Roman" w:hAnsi="Times New Roman"/>
          <w:color w:val="000000"/>
        </w:rPr>
        <w:t xml:space="preserve"> and KH</w:t>
      </w:r>
      <w:r w:rsidRPr="00D76BD1">
        <w:rPr>
          <w:rFonts w:ascii="Times New Roman" w:hAnsi="Times New Roman"/>
          <w:color w:val="000000"/>
          <w:vertAlign w:val="subscript"/>
        </w:rPr>
        <w:t>2</w:t>
      </w:r>
      <w:r w:rsidRPr="00D76BD1">
        <w:rPr>
          <w:rFonts w:ascii="Times New Roman" w:hAnsi="Times New Roman"/>
          <w:color w:val="000000"/>
        </w:rPr>
        <w:t>PO</w:t>
      </w:r>
      <w:r w:rsidRPr="00D76BD1">
        <w:rPr>
          <w:rFonts w:ascii="Times New Roman" w:hAnsi="Times New Roman"/>
          <w:color w:val="000000"/>
          <w:vertAlign w:val="subscript"/>
        </w:rPr>
        <w:t>4</w:t>
      </w:r>
      <w:r w:rsidRPr="00D76BD1">
        <w:rPr>
          <w:rFonts w:ascii="Times New Roman" w:hAnsi="Times New Roman"/>
          <w:color w:val="000000"/>
        </w:rPr>
        <w:t xml:space="preserve"> to an initial phosphorus concentration of 60 </w:t>
      </w:r>
      <w:r w:rsidR="00B6687D" w:rsidRPr="00D76BD1">
        <w:rPr>
          <w:rFonts w:ascii="Times New Roman" w:eastAsia="Times New Roman" w:hAnsi="Times New Roman"/>
        </w:rPr>
        <w:t>mg L</w:t>
      </w:r>
      <w:r w:rsidR="00B6687D" w:rsidRPr="00D76BD1">
        <w:rPr>
          <w:rFonts w:ascii="Times New Roman" w:eastAsia="Times New Roman" w:hAnsi="Times New Roman"/>
          <w:vertAlign w:val="superscript"/>
        </w:rPr>
        <w:t>-1</w:t>
      </w:r>
      <w:r w:rsidRPr="00D76BD1">
        <w:rPr>
          <w:rFonts w:ascii="Times New Roman" w:hAnsi="Times New Roman"/>
          <w:color w:val="000000"/>
        </w:rPr>
        <w:t>. The SPUR w</w:t>
      </w:r>
      <w:r w:rsidR="00E65C70" w:rsidRPr="00D76BD1">
        <w:rPr>
          <w:rFonts w:ascii="Times New Roman" w:hAnsi="Times New Roman"/>
          <w:color w:val="000000"/>
        </w:rPr>
        <w:t>as</w:t>
      </w:r>
      <w:r w:rsidRPr="00D76BD1">
        <w:rPr>
          <w:rFonts w:ascii="Times New Roman" w:hAnsi="Times New Roman"/>
          <w:color w:val="000000"/>
        </w:rPr>
        <w:t xml:space="preserve"> calculated by monitoring the decreased rate of phosphorus concentrations as a function of time.</w:t>
      </w:r>
    </w:p>
    <w:p w14:paraId="4DD9E08E" w14:textId="77777777" w:rsidR="00B562E2" w:rsidRPr="00D76BD1" w:rsidRDefault="00B562E2" w:rsidP="00B562E2">
      <w:pPr>
        <w:spacing w:line="360" w:lineRule="auto"/>
        <w:jc w:val="both"/>
        <w:rPr>
          <w:rFonts w:ascii="Times New Roman" w:hAnsi="Times New Roman" w:cs="Times New Roman"/>
          <w:b/>
          <w:bCs/>
          <w:lang w:val="en-US"/>
        </w:rPr>
      </w:pPr>
      <w:r w:rsidRPr="00D76BD1">
        <w:rPr>
          <w:rFonts w:ascii="Times New Roman" w:hAnsi="Times New Roman" w:cs="Times New Roman"/>
          <w:b/>
          <w:bCs/>
          <w:lang w:val="en-US"/>
        </w:rPr>
        <w:t>3. Results and discussion</w:t>
      </w:r>
    </w:p>
    <w:p w14:paraId="3A887656" w14:textId="77777777" w:rsidR="00B562E2" w:rsidRPr="00D76BD1" w:rsidRDefault="00B562E2" w:rsidP="00B562E2">
      <w:pPr>
        <w:spacing w:line="360" w:lineRule="auto"/>
        <w:jc w:val="both"/>
        <w:rPr>
          <w:rFonts w:ascii="Times New Roman" w:hAnsi="Times New Roman" w:cs="Times New Roman"/>
          <w:lang w:val="en-US"/>
        </w:rPr>
      </w:pPr>
      <w:r w:rsidRPr="00D76BD1">
        <w:rPr>
          <w:rFonts w:ascii="Times New Roman" w:hAnsi="Times New Roman" w:cs="Times New Roman"/>
          <w:b/>
          <w:bCs/>
          <w:lang w:val="en-US"/>
        </w:rPr>
        <w:lastRenderedPageBreak/>
        <w:t>3.1. Characterization of TiO</w:t>
      </w:r>
      <w:r w:rsidRPr="00D76BD1">
        <w:rPr>
          <w:rFonts w:ascii="Times New Roman" w:hAnsi="Times New Roman" w:cs="Times New Roman"/>
          <w:b/>
          <w:bCs/>
          <w:vertAlign w:val="subscript"/>
          <w:lang w:val="en-US"/>
        </w:rPr>
        <w:t>2</w:t>
      </w:r>
      <w:r w:rsidRPr="00D76BD1">
        <w:rPr>
          <w:rFonts w:ascii="Times New Roman" w:hAnsi="Times New Roman" w:cs="Times New Roman"/>
          <w:b/>
          <w:bCs/>
          <w:lang w:val="en-US"/>
        </w:rPr>
        <w:t xml:space="preserve"> NPs</w:t>
      </w:r>
    </w:p>
    <w:p w14:paraId="20309769" w14:textId="23145B49" w:rsidR="00B562E2" w:rsidRPr="00D76BD1" w:rsidRDefault="00B562E2" w:rsidP="00B562E2">
      <w:pPr>
        <w:spacing w:line="360" w:lineRule="auto"/>
        <w:jc w:val="both"/>
        <w:rPr>
          <w:rFonts w:ascii="Times New Roman" w:hAnsi="Times New Roman" w:cs="Times New Roman"/>
          <w:lang w:val="en-US"/>
        </w:rPr>
      </w:pPr>
      <w:r w:rsidRPr="00D76BD1">
        <w:rPr>
          <w:rFonts w:ascii="Times New Roman" w:hAnsi="Times New Roman" w:cs="Times New Roman"/>
          <w:lang w:val="en-US"/>
        </w:rPr>
        <w:t>The X-ray diffraction patterns of the TiO</w:t>
      </w:r>
      <w:r w:rsidRPr="00D76BD1">
        <w:rPr>
          <w:rFonts w:ascii="Times New Roman" w:hAnsi="Times New Roman" w:cs="Times New Roman"/>
          <w:vertAlign w:val="subscript"/>
          <w:lang w:val="en-US"/>
        </w:rPr>
        <w:t>2</w:t>
      </w:r>
      <w:r w:rsidRPr="00D76BD1">
        <w:rPr>
          <w:rFonts w:ascii="Times New Roman" w:hAnsi="Times New Roman" w:cs="Times New Roman"/>
          <w:lang w:val="en-US"/>
        </w:rPr>
        <w:t xml:space="preserve"> nanocrystals are displayed in </w:t>
      </w:r>
      <w:r w:rsidRPr="00D76BD1">
        <w:rPr>
          <w:rFonts w:ascii="Times New Roman" w:hAnsi="Times New Roman" w:cs="Times New Roman"/>
          <w:i/>
          <w:iCs/>
          <w:lang w:val="en-US"/>
        </w:rPr>
        <w:t xml:space="preserve">Fig. </w:t>
      </w:r>
      <w:r w:rsidR="00954184">
        <w:rPr>
          <w:rFonts w:ascii="Times New Roman" w:hAnsi="Times New Roman" w:cs="Times New Roman"/>
          <w:i/>
          <w:iCs/>
          <w:lang w:val="en-US"/>
        </w:rPr>
        <w:t>S</w:t>
      </w:r>
      <w:r w:rsidRPr="00D76BD1">
        <w:rPr>
          <w:rFonts w:ascii="Times New Roman" w:hAnsi="Times New Roman" w:cs="Times New Roman"/>
          <w:i/>
          <w:iCs/>
          <w:lang w:val="en-US"/>
        </w:rPr>
        <w:t>1a</w:t>
      </w:r>
      <w:r w:rsidRPr="00D76BD1">
        <w:rPr>
          <w:rFonts w:ascii="Times New Roman" w:hAnsi="Times New Roman" w:cs="Times New Roman"/>
          <w:lang w:val="en-US"/>
        </w:rPr>
        <w:t>. Reflections can be indexed as anatase TiO</w:t>
      </w:r>
      <w:r w:rsidRPr="00D76BD1">
        <w:rPr>
          <w:rFonts w:ascii="Times New Roman" w:hAnsi="Times New Roman" w:cs="Times New Roman"/>
          <w:vertAlign w:val="subscript"/>
          <w:lang w:val="en-US"/>
        </w:rPr>
        <w:t>2</w:t>
      </w:r>
      <w:r w:rsidRPr="00D76BD1">
        <w:rPr>
          <w:rFonts w:ascii="Times New Roman" w:hAnsi="Times New Roman" w:cs="Times New Roman"/>
          <w:lang w:val="en-US"/>
        </w:rPr>
        <w:t xml:space="preserve"> (JCPDS card file no. 21-1272), where t</w:t>
      </w:r>
      <w:r w:rsidRPr="00D76BD1">
        <w:rPr>
          <w:rFonts w:ascii="Times New Roman" w:hAnsi="Times New Roman" w:cs="Times New Roman"/>
          <w:shd w:val="clear" w:color="auto" w:fill="FFFFFF"/>
          <w:lang w:val="en-US"/>
        </w:rPr>
        <w:t>he</w:t>
      </w:r>
      <w:r w:rsidRPr="00D76BD1">
        <w:rPr>
          <w:rFonts w:ascii="Times New Roman" w:hAnsi="Times New Roman" w:cs="Times New Roman"/>
          <w:shd w:val="clear" w:color="auto" w:fill="FFFFFF"/>
          <w:vertAlign w:val="superscript"/>
          <w:lang w:val="en-US"/>
        </w:rPr>
        <w:t xml:space="preserve"> </w:t>
      </w:r>
      <w:r w:rsidRPr="00D76BD1">
        <w:rPr>
          <w:rFonts w:ascii="Times New Roman" w:hAnsi="Times New Roman" w:cs="Times New Roman"/>
          <w:shd w:val="clear" w:color="auto" w:fill="FFFFFF"/>
          <w:lang w:val="en-US"/>
        </w:rPr>
        <w:t>peaks appeared at 2</w:t>
      </w:r>
      <w:r w:rsidRPr="00D76BD1">
        <w:rPr>
          <w:rStyle w:val="Kiemels"/>
          <w:rFonts w:ascii="Times New Roman" w:hAnsi="Times New Roman" w:cs="Times New Roman"/>
          <w:shd w:val="clear" w:color="auto" w:fill="FFFFFF"/>
          <w:lang w:val="en-US"/>
        </w:rPr>
        <w:t>θ </w:t>
      </w:r>
      <w:r w:rsidRPr="00D76BD1">
        <w:rPr>
          <w:rFonts w:ascii="Times New Roman" w:hAnsi="Times New Roman" w:cs="Times New Roman"/>
          <w:shd w:val="clear" w:color="auto" w:fill="FFFFFF"/>
          <w:lang w:val="en-US"/>
        </w:rPr>
        <w:t xml:space="preserve">of 25.2°, 37.8°, 48.1°, 54.6°, 62.6°, 69.7°, and 75.3° correspond to the (101), (004), (200), (211), (204), (220), and (215) crystal planes </w:t>
      </w:r>
      <w:r w:rsidRPr="00D76BD1">
        <w:rPr>
          <w:rFonts w:ascii="Times New Roman" w:hAnsi="Times New Roman" w:cs="Times New Roman"/>
          <w:shd w:val="clear" w:color="auto" w:fill="FFFFFF"/>
          <w:lang w:val="en-US"/>
        </w:rPr>
        <w:fldChar w:fldCharType="begin" w:fldLock="1"/>
      </w:r>
      <w:r w:rsidRPr="00D76BD1">
        <w:rPr>
          <w:rFonts w:ascii="Times New Roman" w:hAnsi="Times New Roman" w:cs="Times New Roman"/>
          <w:shd w:val="clear" w:color="auto" w:fill="FFFFFF"/>
          <w:lang w:val="en-US"/>
        </w:rPr>
        <w:instrText>ADDIN CSL_CITATION {"citationItems":[{"id":"ITEM-1","itemData":{"DOI":"10.1007/s10854-020-04602-1","ISBN":"1085402004602","ISSN":"1573482X","abstract":"Green chemistry is considered as an effective alternative for the conventional chemistry in the perspective of environmental sustainability. The principles of green chemistry can be applied to the field of nanotechnology especially for the synthesis of nanomaterials. In the current work, we have demonstrated an eco-friendly and inexpensive plant-mediated green method for the synthesis of visible light active titanium dioxide (TiO2) nanoparticles with exposed high-energy {001} facets using the leaf extract of Chromolaena Odorata. The synthesized nanoparticles were analyzed using UV–Vis spectroscopy, X-ray diffraction (XRD), FTIR spectroscopy, Photoluminescence (PL) spectroscopy, X-ray photoelectron spectroscopy (XPS), and high-resolution transmission electron spectroscopy (HRTEM). Studies showed that phytochemicals present in the plant extract act as both reducing agent and capping agent in the synthesis. The photocatalytic activity of the synthesized materials was determined by analyzing the photodegradation of four different dyes such as methylene blue, fuchsine, crystal violet, and rhodamine 6G. All the dyes showed more than 85% degradation in 180 min. When compared with the chemically synthesized materials, the green synthesized TiO2 showed a better photocatalytic activity. The superior photocatalytic performance of the sample is mainly attributed to the presence of defects and co-existence of {001} and {101} facets. The method described here leads to a new route for the synthesis of visible light active TiO2 nanoparticles with exposed {001} facets.","author":[{"dropping-particle":"","family":"John","given":"Anu K.","non-dropping-particle":"","parse-names":false,"suffix":""},{"dropping-particle":"","family":"Palaty","given":"Shiny","non-dropping-particle":"","parse-names":false,"suffix":""},{"dropping-particle":"","family":"Sharma","given":"Sreekala S.","non-dropping-particle":"","parse-names":false,"suffix":""}],"container-title":"Journal of Materials Science: Materials in Electronics","id":"ITEM-1","issue":"23","issued":{"date-parts":[["2020"]]},"page":"20868-20882","publisher":"Springer US","title":"Greener approach towards the synthesis of titanium dioxide nanostructures with exposed {001} facets for enhanced visible light photodegradation of organic pollutants","type":"article-journal","volume":"31"},"uris":["http://www.mendeley.com/documents/?uuid=9fd3081a-75a7-47aa-9d33-ae033f9513b8","http://www.mendeley.com/documents/?uuid=362ba082-b481-420b-8f93-56f52f6614b8"]}],"mendeley":{"formattedCitation":"(John et al., 2020)","plainTextFormattedCitation":"(John et al., 2020)","previouslyFormattedCitation":"[34]"},"properties":{"noteIndex":0},"schema":"https://github.com/citation-style-language/schema/raw/master/csl-citation.json"}</w:instrText>
      </w:r>
      <w:r w:rsidRPr="00D76BD1">
        <w:rPr>
          <w:rFonts w:ascii="Times New Roman" w:hAnsi="Times New Roman" w:cs="Times New Roman"/>
          <w:shd w:val="clear" w:color="auto" w:fill="FFFFFF"/>
          <w:lang w:val="en-US"/>
        </w:rPr>
        <w:fldChar w:fldCharType="separate"/>
      </w:r>
      <w:r w:rsidRPr="00D76BD1">
        <w:rPr>
          <w:rFonts w:ascii="Times New Roman" w:hAnsi="Times New Roman" w:cs="Times New Roman"/>
          <w:noProof/>
          <w:shd w:val="clear" w:color="auto" w:fill="FFFFFF"/>
          <w:lang w:val="en-US"/>
        </w:rPr>
        <w:t>(John et al., 2020)</w:t>
      </w:r>
      <w:r w:rsidRPr="00D76BD1">
        <w:rPr>
          <w:rFonts w:ascii="Times New Roman" w:hAnsi="Times New Roman" w:cs="Times New Roman"/>
          <w:shd w:val="clear" w:color="auto" w:fill="FFFFFF"/>
          <w:lang w:val="en-US"/>
        </w:rPr>
        <w:fldChar w:fldCharType="end"/>
      </w:r>
      <w:r w:rsidRPr="00D76BD1">
        <w:rPr>
          <w:rFonts w:ascii="Times New Roman" w:hAnsi="Times New Roman" w:cs="Times New Roman"/>
          <w:shd w:val="clear" w:color="auto" w:fill="FFFFFF"/>
          <w:lang w:val="en-US"/>
        </w:rPr>
        <w:t xml:space="preserve">. </w:t>
      </w:r>
      <w:r w:rsidRPr="00D76BD1">
        <w:rPr>
          <w:rFonts w:ascii="Times New Roman" w:hAnsi="Times New Roman" w:cs="Times New Roman"/>
          <w:lang w:val="en-US"/>
        </w:rPr>
        <w:t>To obtain more compositional details on TiO</w:t>
      </w:r>
      <w:r w:rsidRPr="00D76BD1">
        <w:rPr>
          <w:rFonts w:ascii="Times New Roman" w:hAnsi="Times New Roman" w:cs="Times New Roman"/>
          <w:vertAlign w:val="subscript"/>
          <w:lang w:val="en-US"/>
        </w:rPr>
        <w:t>2</w:t>
      </w:r>
      <w:r w:rsidRPr="00D76BD1">
        <w:rPr>
          <w:rFonts w:ascii="Times New Roman" w:hAnsi="Times New Roman" w:cs="Times New Roman"/>
          <w:lang w:val="en-US"/>
        </w:rPr>
        <w:t xml:space="preserve">, FT-IR measurement was performed, and the resulting spectrum is shown in </w:t>
      </w:r>
      <w:r w:rsidRPr="00D76BD1">
        <w:rPr>
          <w:rFonts w:ascii="Times New Roman" w:hAnsi="Times New Roman" w:cs="Times New Roman"/>
          <w:i/>
          <w:iCs/>
          <w:lang w:val="en-US"/>
        </w:rPr>
        <w:t xml:space="preserve">Fig. </w:t>
      </w:r>
      <w:r w:rsidR="00954184">
        <w:rPr>
          <w:rFonts w:ascii="Times New Roman" w:hAnsi="Times New Roman" w:cs="Times New Roman"/>
          <w:i/>
          <w:iCs/>
          <w:lang w:val="en-US"/>
        </w:rPr>
        <w:t>S</w:t>
      </w:r>
      <w:r w:rsidRPr="00D76BD1">
        <w:rPr>
          <w:rFonts w:ascii="Times New Roman" w:hAnsi="Times New Roman" w:cs="Times New Roman"/>
          <w:i/>
          <w:iCs/>
          <w:lang w:val="en-US"/>
        </w:rPr>
        <w:t>1b</w:t>
      </w:r>
      <w:r w:rsidRPr="00D76BD1">
        <w:rPr>
          <w:rFonts w:ascii="Times New Roman" w:hAnsi="Times New Roman" w:cs="Times New Roman"/>
          <w:lang w:val="en-US"/>
        </w:rPr>
        <w:t xml:space="preserve">. The vibrational modes that are commonly attributed to the stretching of </w:t>
      </w:r>
      <w:proofErr w:type="spellStart"/>
      <w:r w:rsidRPr="00D76BD1">
        <w:rPr>
          <w:rFonts w:ascii="Times New Roman" w:hAnsi="Times New Roman" w:cs="Times New Roman"/>
          <w:lang w:val="en-US"/>
        </w:rPr>
        <w:t>Ti</w:t>
      </w:r>
      <w:proofErr w:type="spellEnd"/>
      <w:r w:rsidRPr="00D76BD1">
        <w:rPr>
          <w:rFonts w:ascii="Times New Roman" w:hAnsi="Times New Roman" w:cs="Times New Roman"/>
          <w:lang w:val="en-US"/>
        </w:rPr>
        <w:t>–O–</w:t>
      </w:r>
      <w:proofErr w:type="spellStart"/>
      <w:r w:rsidRPr="00D76BD1">
        <w:rPr>
          <w:rFonts w:ascii="Times New Roman" w:hAnsi="Times New Roman" w:cs="Times New Roman"/>
          <w:lang w:val="en-US"/>
        </w:rPr>
        <w:t>Ti</w:t>
      </w:r>
      <w:proofErr w:type="spellEnd"/>
      <w:r w:rsidRPr="00D76BD1">
        <w:rPr>
          <w:rFonts w:ascii="Times New Roman" w:hAnsi="Times New Roman" w:cs="Times New Roman"/>
          <w:lang w:val="en-US"/>
        </w:rPr>
        <w:t xml:space="preserve"> of the TiO</w:t>
      </w:r>
      <w:r w:rsidRPr="00D76BD1">
        <w:rPr>
          <w:rFonts w:ascii="Times New Roman" w:hAnsi="Times New Roman" w:cs="Times New Roman"/>
          <w:vertAlign w:val="subscript"/>
          <w:lang w:val="en-US"/>
        </w:rPr>
        <w:t>2</w:t>
      </w:r>
      <w:r w:rsidRPr="00D76BD1">
        <w:rPr>
          <w:rFonts w:ascii="Times New Roman" w:hAnsi="Times New Roman" w:cs="Times New Roman"/>
          <w:lang w:val="en-US"/>
        </w:rPr>
        <w:t xml:space="preserve"> nanospheres are observed at 410 and 780 cm</w:t>
      </w:r>
      <w:r w:rsidRPr="00D76BD1">
        <w:rPr>
          <w:rFonts w:ascii="Times New Roman" w:hAnsi="Times New Roman" w:cs="Times New Roman"/>
          <w:vertAlign w:val="superscript"/>
          <w:lang w:val="en-US"/>
        </w:rPr>
        <w:t>−1</w:t>
      </w:r>
      <w:r w:rsidRPr="00D76BD1">
        <w:rPr>
          <w:rFonts w:ascii="Times New Roman" w:hAnsi="Times New Roman" w:cs="Times New Roman"/>
          <w:lang w:val="en-US"/>
        </w:rPr>
        <w:t>. Furthermore, the vibrational modes at around 1632 and 3420 cm</w:t>
      </w:r>
      <w:r w:rsidRPr="00D76BD1">
        <w:rPr>
          <w:rFonts w:ascii="Times New Roman" w:hAnsi="Times New Roman" w:cs="Times New Roman"/>
          <w:vertAlign w:val="superscript"/>
          <w:lang w:val="en-US"/>
        </w:rPr>
        <w:t>−1</w:t>
      </w:r>
      <w:r w:rsidRPr="00D76BD1">
        <w:rPr>
          <w:rFonts w:ascii="Times New Roman" w:hAnsi="Times New Roman" w:cs="Times New Roman"/>
          <w:lang w:val="en-US"/>
        </w:rPr>
        <w:t xml:space="preserve"> are associated with the bending mode of the </w:t>
      </w:r>
      <w:proofErr w:type="spellStart"/>
      <w:r w:rsidRPr="00D76BD1">
        <w:rPr>
          <w:rFonts w:ascii="Times New Roman" w:hAnsi="Times New Roman" w:cs="Times New Roman"/>
          <w:lang w:val="en-US"/>
        </w:rPr>
        <w:t>physisorbed</w:t>
      </w:r>
      <w:proofErr w:type="spellEnd"/>
      <w:r w:rsidRPr="00D76BD1">
        <w:rPr>
          <w:rFonts w:ascii="Times New Roman" w:hAnsi="Times New Roman" w:cs="Times New Roman"/>
          <w:lang w:val="en-US"/>
        </w:rPr>
        <w:t xml:space="preserve"> water molecules on TiO</w:t>
      </w:r>
      <w:r w:rsidRPr="00D76BD1">
        <w:rPr>
          <w:rFonts w:ascii="Times New Roman" w:hAnsi="Times New Roman" w:cs="Times New Roman"/>
          <w:vertAlign w:val="subscript"/>
          <w:lang w:val="en-US"/>
        </w:rPr>
        <w:t>2</w:t>
      </w:r>
      <w:r w:rsidRPr="00D76BD1">
        <w:rPr>
          <w:rFonts w:ascii="Times New Roman" w:hAnsi="Times New Roman" w:cs="Times New Roman"/>
          <w:lang w:val="en-US"/>
        </w:rPr>
        <w:t xml:space="preserve">, respectively </w:t>
      </w:r>
      <w:r w:rsidRPr="00D76BD1">
        <w:rPr>
          <w:rFonts w:ascii="Times New Roman" w:hAnsi="Times New Roman" w:cs="Times New Roman"/>
          <w:lang w:val="en-US"/>
        </w:rPr>
        <w:fldChar w:fldCharType="begin" w:fldLock="1"/>
      </w:r>
      <w:r w:rsidRPr="00D76BD1">
        <w:rPr>
          <w:rFonts w:ascii="Times New Roman" w:hAnsi="Times New Roman" w:cs="Times New Roman"/>
          <w:lang w:val="en-US"/>
        </w:rPr>
        <w:instrText>ADDIN CSL_CITATION {"citationItems":[{"id":"ITEM-1","itemData":{"DOI":"10.3390/app11199033","ISSN":"20763417","abstract":"Titanium dioxide (TiO2 ) has been widely applied as a photocatalyst for wastewater treatment due to its high photocatalytic activity and it can remove various harmful organic pollutants effectively. Under heated system, however, TiO2 is prone to agglomeration that decrease its abilities as a photocatalyst. In order to overcome the agglomeration and increase its thermal resistance, addition of silica (SiO2 ) as supporting material is proposed in this research. Silica or silicon dioxide can be extracted from natural resources such as beach sand. Here, we report the application of a composite photocatalyst of TiO2/SiO2 to remove phenolic compounds in wastewater. The photocatalyst was synthesized by adding SiO2 from beach sand onto TiO2 through impregnation methods. The results of the X-ray diffraction (XRD) showed that TiO2 was present in the anatase phase. The highest crystallinity was obtained by TiO2/SiO2 ratios of 7:1. SEM results showed that the shape of the particles was spherical. Further characterizations were conducted using Fourier-transform infrared spectroscopy (FTIR), Brunauer–Emmett–Teller (BET) analysis, and a particle size analyzer (PSA). By using the optimized condition, 96.05% phenol was degraded by the synthesized photocatalyst of TiO2/SiO2, under UV irradiation for 120 min. The efficiency of the TiO2/SiO2 is 3.5 times better than commercial TiO2 P25 for the Langmuir–Hinshelwood first-order kinetic model.","author":[{"dropping-particle":"","family":"Eddy","given":"Diana Rakhmawaty","non-dropping-particle":"","parse-names":false,"suffix":""},{"dropping-particle":"","family":"Ishmah","given":"Soraya Nur","non-dropping-particle":"","parse-names":false,"suffix":""},{"dropping-particle":"","family":"Permana","given":"Muhamad Diki","non-dropping-particle":"","parse-names":false,"suffix":""},{"dropping-particle":"","family":"Firdaus","given":"M. Lutfi","non-dropping-particle":"","parse-names":false,"suffix":""},{"dropping-particle":"","family":"Rahayu","given":"Iman","non-dropping-particle":"","parse-names":false,"suffix":""},{"dropping-particle":"","family":"El-Badry","given":"Yaser A.","non-dropping-particle":"","parse-names":false,"suffix":""},{"dropping-particle":"","family":"Hussein","given":"Enas E.","non-dropping-particle":"","parse-names":false,"suffix":""},{"dropping-particle":"","family":"El-Bahy","given":"Zeinhom M.","non-dropping-particle":"","parse-names":false,"suffix":""}],"container-title":"Applied Sciences (Switzerland)","id":"ITEM-1","issue":"19","issued":{"date-parts":[["2021"]]},"title":"Photocatalytic phenol degradation by silica-modified titanium dioxide","type":"article-journal","volume":"11"},"uris":["http://www.mendeley.com/documents/?uuid=eff96ab6-1b24-4122-a67f-7ffa556dbe85","http://www.mendeley.com/documents/?uuid=599ccf4e-f2a0-476a-a682-cf8be8528eb9"]}],"mendeley":{"formattedCitation":"(Eddy et al., 2021)","plainTextFormattedCitation":"(Eddy et al., 2021)","previouslyFormattedCitation":"[35]"},"properties":{"noteIndex":0},"schema":"https://github.com/citation-style-language/schema/raw/master/csl-citation.json"}</w:instrText>
      </w:r>
      <w:r w:rsidRPr="00D76BD1">
        <w:rPr>
          <w:rFonts w:ascii="Times New Roman" w:hAnsi="Times New Roman" w:cs="Times New Roman"/>
          <w:lang w:val="en-US"/>
        </w:rPr>
        <w:fldChar w:fldCharType="separate"/>
      </w:r>
      <w:r w:rsidRPr="00D76BD1">
        <w:rPr>
          <w:rFonts w:ascii="Times New Roman" w:hAnsi="Times New Roman" w:cs="Times New Roman"/>
          <w:noProof/>
          <w:lang w:val="en-US"/>
        </w:rPr>
        <w:t>(Eddy et al., 2021)</w:t>
      </w:r>
      <w:r w:rsidRPr="00D76BD1">
        <w:rPr>
          <w:rFonts w:ascii="Times New Roman" w:hAnsi="Times New Roman" w:cs="Times New Roman"/>
          <w:lang w:val="en-US"/>
        </w:rPr>
        <w:fldChar w:fldCharType="end"/>
      </w:r>
      <w:r w:rsidRPr="00D76BD1">
        <w:rPr>
          <w:rFonts w:ascii="Times New Roman" w:hAnsi="Times New Roman" w:cs="Times New Roman"/>
          <w:lang w:val="en-US"/>
        </w:rPr>
        <w:t>.</w:t>
      </w:r>
      <w:r w:rsidRPr="00D76BD1">
        <w:rPr>
          <w:rFonts w:ascii="Times New Roman" w:hAnsi="Times New Roman" w:cs="Times New Roman"/>
          <w:shd w:val="clear" w:color="auto" w:fill="FFFFFF"/>
          <w:lang w:val="en-US"/>
        </w:rPr>
        <w:t xml:space="preserve"> </w:t>
      </w:r>
      <w:r w:rsidRPr="00D76BD1">
        <w:rPr>
          <w:rStyle w:val="fontstyle01"/>
          <w:rFonts w:ascii="Times New Roman" w:hAnsi="Times New Roman" w:cs="Times New Roman"/>
          <w:sz w:val="22"/>
          <w:szCs w:val="22"/>
          <w:shd w:val="clear" w:color="auto" w:fill="FFFFFF"/>
          <w:lang w:val="en-US"/>
        </w:rPr>
        <w:t>E</w:t>
      </w:r>
      <w:r w:rsidRPr="00D76BD1">
        <w:rPr>
          <w:rFonts w:ascii="Times New Roman" w:hAnsi="Times New Roman" w:cs="Times New Roman"/>
          <w:lang w:val="en-US"/>
        </w:rPr>
        <w:t xml:space="preserve">nergy dispersive X-ray (EDX) analysis was carried out to confirm the chemical composition of the as-prepared nanoparticles, and a typical EDX spectrum is shown in </w:t>
      </w:r>
      <w:r w:rsidRPr="00D76BD1">
        <w:rPr>
          <w:rFonts w:ascii="Times New Roman" w:hAnsi="Times New Roman" w:cs="Times New Roman"/>
          <w:i/>
          <w:iCs/>
          <w:lang w:val="en-US"/>
        </w:rPr>
        <w:t xml:space="preserve">Fig. </w:t>
      </w:r>
      <w:r w:rsidR="00954184">
        <w:rPr>
          <w:rFonts w:ascii="Times New Roman" w:hAnsi="Times New Roman" w:cs="Times New Roman"/>
          <w:i/>
          <w:iCs/>
          <w:lang w:val="en-US"/>
        </w:rPr>
        <w:t>S</w:t>
      </w:r>
      <w:r w:rsidRPr="00D76BD1">
        <w:rPr>
          <w:rFonts w:ascii="Times New Roman" w:hAnsi="Times New Roman" w:cs="Times New Roman"/>
          <w:i/>
          <w:iCs/>
          <w:lang w:val="en-US"/>
        </w:rPr>
        <w:t>1c</w:t>
      </w:r>
      <w:r w:rsidRPr="00D76BD1">
        <w:rPr>
          <w:rFonts w:ascii="Times New Roman" w:hAnsi="Times New Roman" w:cs="Times New Roman"/>
          <w:lang w:val="en-US"/>
        </w:rPr>
        <w:t xml:space="preserve">. A </w:t>
      </w:r>
      <w:proofErr w:type="spellStart"/>
      <w:r w:rsidRPr="00D76BD1">
        <w:rPr>
          <w:rFonts w:ascii="Times New Roman" w:hAnsi="Times New Roman" w:cs="Times New Roman"/>
          <w:lang w:val="en-US"/>
        </w:rPr>
        <w:t>Ti:O</w:t>
      </w:r>
      <w:proofErr w:type="spellEnd"/>
      <w:r w:rsidRPr="00D76BD1">
        <w:rPr>
          <w:rFonts w:ascii="Times New Roman" w:hAnsi="Times New Roman" w:cs="Times New Roman"/>
          <w:lang w:val="en-US"/>
        </w:rPr>
        <w:t xml:space="preserve"> atomic ratio of 1:3 was found from the average measured at three different points of the sample (inset </w:t>
      </w:r>
      <w:r w:rsidRPr="00D76BD1">
        <w:rPr>
          <w:rFonts w:ascii="Times New Roman" w:hAnsi="Times New Roman" w:cs="Times New Roman"/>
          <w:i/>
          <w:iCs/>
          <w:lang w:val="en-US"/>
        </w:rPr>
        <w:t xml:space="preserve">Fig. </w:t>
      </w:r>
      <w:r w:rsidR="00954184">
        <w:rPr>
          <w:rFonts w:ascii="Times New Roman" w:hAnsi="Times New Roman" w:cs="Times New Roman"/>
          <w:i/>
          <w:iCs/>
          <w:lang w:val="en-US"/>
        </w:rPr>
        <w:t>S</w:t>
      </w:r>
      <w:r w:rsidRPr="00D76BD1">
        <w:rPr>
          <w:rFonts w:ascii="Times New Roman" w:hAnsi="Times New Roman" w:cs="Times New Roman"/>
          <w:i/>
          <w:iCs/>
          <w:lang w:val="en-US"/>
        </w:rPr>
        <w:t>1c</w:t>
      </w:r>
      <w:r w:rsidRPr="00D76BD1">
        <w:rPr>
          <w:rFonts w:ascii="Times New Roman" w:hAnsi="Times New Roman" w:cs="Times New Roman"/>
          <w:lang w:val="en-US"/>
        </w:rPr>
        <w:t>).</w:t>
      </w:r>
      <w:r w:rsidRPr="00D76BD1">
        <w:rPr>
          <w:rStyle w:val="fontstyle01"/>
          <w:rFonts w:ascii="Times New Roman" w:hAnsi="Times New Roman" w:cs="Times New Roman"/>
          <w:sz w:val="22"/>
          <w:szCs w:val="22"/>
          <w:lang w:val="en-US"/>
        </w:rPr>
        <w:t xml:space="preserve"> Scanning electron microscopy image of the TiO</w:t>
      </w:r>
      <w:r w:rsidRPr="00D76BD1">
        <w:rPr>
          <w:rStyle w:val="fontstyle01"/>
          <w:rFonts w:ascii="Times New Roman" w:hAnsi="Times New Roman" w:cs="Times New Roman"/>
          <w:sz w:val="22"/>
          <w:szCs w:val="22"/>
          <w:vertAlign w:val="subscript"/>
          <w:lang w:val="en-US"/>
        </w:rPr>
        <w:t>2</w:t>
      </w:r>
      <w:r w:rsidRPr="00D76BD1">
        <w:rPr>
          <w:rStyle w:val="fontstyle01"/>
          <w:rFonts w:ascii="Times New Roman" w:hAnsi="Times New Roman" w:cs="Times New Roman"/>
          <w:sz w:val="22"/>
          <w:szCs w:val="22"/>
          <w:lang w:val="en-US"/>
        </w:rPr>
        <w:t xml:space="preserve"> sample is displayed in </w:t>
      </w:r>
      <w:r w:rsidRPr="00D76BD1">
        <w:rPr>
          <w:rStyle w:val="fontstyle01"/>
          <w:rFonts w:ascii="Times New Roman" w:hAnsi="Times New Roman" w:cs="Times New Roman"/>
          <w:i/>
          <w:iCs/>
          <w:sz w:val="22"/>
          <w:szCs w:val="22"/>
          <w:lang w:val="en-US"/>
        </w:rPr>
        <w:t xml:space="preserve">Fig. </w:t>
      </w:r>
      <w:r w:rsidR="00954184">
        <w:rPr>
          <w:rStyle w:val="fontstyle01"/>
          <w:rFonts w:ascii="Times New Roman" w:hAnsi="Times New Roman" w:cs="Times New Roman"/>
          <w:i/>
          <w:iCs/>
          <w:sz w:val="22"/>
          <w:szCs w:val="22"/>
          <w:lang w:val="en-US"/>
        </w:rPr>
        <w:t>S</w:t>
      </w:r>
      <w:r w:rsidRPr="00D76BD1">
        <w:rPr>
          <w:rStyle w:val="fontstyle01"/>
          <w:rFonts w:ascii="Times New Roman" w:hAnsi="Times New Roman" w:cs="Times New Roman"/>
          <w:i/>
          <w:iCs/>
          <w:sz w:val="22"/>
          <w:szCs w:val="22"/>
          <w:lang w:val="en-US"/>
        </w:rPr>
        <w:t>1d</w:t>
      </w:r>
      <w:r w:rsidRPr="00D76BD1">
        <w:rPr>
          <w:rStyle w:val="fontstyle01"/>
          <w:rFonts w:ascii="Times New Roman" w:hAnsi="Times New Roman" w:cs="Times New Roman"/>
          <w:sz w:val="22"/>
          <w:szCs w:val="22"/>
          <w:lang w:val="en-US"/>
        </w:rPr>
        <w:t>. The TiO</w:t>
      </w:r>
      <w:r w:rsidRPr="00D76BD1">
        <w:rPr>
          <w:rStyle w:val="fontstyle01"/>
          <w:rFonts w:ascii="Times New Roman" w:hAnsi="Times New Roman" w:cs="Times New Roman"/>
          <w:sz w:val="22"/>
          <w:szCs w:val="22"/>
          <w:vertAlign w:val="subscript"/>
          <w:lang w:val="en-US"/>
        </w:rPr>
        <w:t>2</w:t>
      </w:r>
      <w:r w:rsidRPr="00D76BD1">
        <w:rPr>
          <w:rStyle w:val="fontstyle01"/>
          <w:rFonts w:ascii="Times New Roman" w:hAnsi="Times New Roman" w:cs="Times New Roman"/>
          <w:sz w:val="22"/>
          <w:szCs w:val="22"/>
          <w:lang w:val="en-US"/>
        </w:rPr>
        <w:t xml:space="preserve"> crystals have spherical morphology of a diameter ranging between 30 and 130 nm.</w:t>
      </w:r>
    </w:p>
    <w:p w14:paraId="032D6CA4" w14:textId="77777777" w:rsidR="00B562E2" w:rsidRPr="00D76BD1" w:rsidRDefault="00B562E2" w:rsidP="00B562E2">
      <w:pPr>
        <w:pStyle w:val="NormlWeb"/>
        <w:spacing w:line="360" w:lineRule="auto"/>
        <w:rPr>
          <w:sz w:val="22"/>
          <w:szCs w:val="22"/>
        </w:rPr>
      </w:pPr>
      <w:r w:rsidRPr="00D76BD1">
        <w:rPr>
          <w:noProof/>
          <w:sz w:val="22"/>
          <w:szCs w:val="22"/>
        </w:rPr>
        <w:drawing>
          <wp:inline distT="0" distB="0" distL="0" distR="0" wp14:anchorId="16BF3BC3" wp14:editId="416463D2">
            <wp:extent cx="5760720" cy="5021580"/>
            <wp:effectExtent l="0" t="0" r="0" b="762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5021580"/>
                    </a:xfrm>
                    <a:prstGeom prst="rect">
                      <a:avLst/>
                    </a:prstGeom>
                    <a:noFill/>
                    <a:ln>
                      <a:noFill/>
                    </a:ln>
                  </pic:spPr>
                </pic:pic>
              </a:graphicData>
            </a:graphic>
          </wp:inline>
        </w:drawing>
      </w:r>
    </w:p>
    <w:p w14:paraId="00AD8CB9" w14:textId="77777777" w:rsidR="00B562E2" w:rsidRPr="00D76BD1" w:rsidRDefault="00B562E2" w:rsidP="00B562E2">
      <w:pPr>
        <w:spacing w:line="360" w:lineRule="auto"/>
        <w:jc w:val="both"/>
        <w:rPr>
          <w:rFonts w:ascii="Times New Roman" w:hAnsi="Times New Roman" w:cs="Times New Roman"/>
          <w:lang w:val="en-US"/>
        </w:rPr>
      </w:pPr>
    </w:p>
    <w:p w14:paraId="1CFC5114" w14:textId="2313E551" w:rsidR="00B562E2" w:rsidRPr="00D76BD1" w:rsidRDefault="00B562E2" w:rsidP="00B562E2">
      <w:pPr>
        <w:spacing w:line="360" w:lineRule="auto"/>
        <w:jc w:val="center"/>
        <w:rPr>
          <w:rFonts w:ascii="Times New Roman" w:hAnsi="Times New Roman" w:cs="Times New Roman"/>
          <w:lang w:val="en-US"/>
        </w:rPr>
      </w:pPr>
      <w:r w:rsidRPr="00D76BD1">
        <w:rPr>
          <w:rFonts w:ascii="Times New Roman" w:hAnsi="Times New Roman" w:cs="Times New Roman"/>
          <w:b/>
          <w:bCs/>
          <w:lang w:val="en-US"/>
        </w:rPr>
        <w:t xml:space="preserve">Fig. </w:t>
      </w:r>
      <w:r w:rsidR="00954184">
        <w:rPr>
          <w:rFonts w:ascii="Times New Roman" w:hAnsi="Times New Roman" w:cs="Times New Roman"/>
          <w:b/>
          <w:bCs/>
          <w:lang w:val="en-US"/>
        </w:rPr>
        <w:t>S</w:t>
      </w:r>
      <w:r w:rsidRPr="00D76BD1">
        <w:rPr>
          <w:rFonts w:ascii="Times New Roman" w:hAnsi="Times New Roman" w:cs="Times New Roman"/>
          <w:b/>
          <w:bCs/>
          <w:lang w:val="en-US"/>
        </w:rPr>
        <w:t>1</w:t>
      </w:r>
      <w:r w:rsidRPr="00D76BD1">
        <w:rPr>
          <w:rFonts w:ascii="Times New Roman" w:hAnsi="Times New Roman" w:cs="Times New Roman"/>
          <w:lang w:val="en-US"/>
        </w:rPr>
        <w:t xml:space="preserve"> Characterization of the TiO</w:t>
      </w:r>
      <w:r w:rsidRPr="00D76BD1">
        <w:rPr>
          <w:rFonts w:ascii="Times New Roman" w:hAnsi="Times New Roman" w:cs="Times New Roman"/>
          <w:vertAlign w:val="subscript"/>
          <w:lang w:val="en-US"/>
        </w:rPr>
        <w:t>2</w:t>
      </w:r>
      <w:r w:rsidRPr="00D76BD1">
        <w:rPr>
          <w:rFonts w:ascii="Times New Roman" w:hAnsi="Times New Roman" w:cs="Times New Roman"/>
          <w:lang w:val="en-US"/>
        </w:rPr>
        <w:t xml:space="preserve"> NPs. </w:t>
      </w:r>
      <w:r w:rsidRPr="00D76BD1">
        <w:rPr>
          <w:rFonts w:ascii="Times New Roman" w:hAnsi="Times New Roman" w:cs="Times New Roman"/>
          <w:b/>
          <w:bCs/>
          <w:lang w:val="en-US"/>
        </w:rPr>
        <w:t>a)</w:t>
      </w:r>
      <w:r w:rsidRPr="00D76BD1">
        <w:rPr>
          <w:rFonts w:ascii="Times New Roman" w:hAnsi="Times New Roman" w:cs="Times New Roman"/>
          <w:lang w:val="en-US"/>
        </w:rPr>
        <w:t xml:space="preserve"> X-ray diffraction pattern; The </w:t>
      </w:r>
      <w:r w:rsidRPr="00D76BD1">
        <w:rPr>
          <w:rFonts w:ascii="Times New Roman" w:hAnsi="Times New Roman" w:cs="Times New Roman"/>
          <w:b/>
          <w:bCs/>
          <w:lang w:val="en-US"/>
        </w:rPr>
        <w:t xml:space="preserve">b) </w:t>
      </w:r>
      <w:r w:rsidRPr="00D76BD1">
        <w:rPr>
          <w:rFonts w:ascii="Times New Roman" w:hAnsi="Times New Roman" w:cs="Times New Roman"/>
          <w:lang w:val="en-US"/>
        </w:rPr>
        <w:t xml:space="preserve">FT-IR spectrum, </w:t>
      </w:r>
      <w:r w:rsidRPr="00D76BD1">
        <w:rPr>
          <w:rFonts w:ascii="Times New Roman" w:hAnsi="Times New Roman" w:cs="Times New Roman"/>
          <w:b/>
          <w:bCs/>
          <w:lang w:val="en-US"/>
        </w:rPr>
        <w:t>c)</w:t>
      </w:r>
      <w:r w:rsidRPr="00D76BD1">
        <w:rPr>
          <w:rFonts w:ascii="Times New Roman" w:hAnsi="Times New Roman" w:cs="Times New Roman"/>
          <w:lang w:val="en-US"/>
        </w:rPr>
        <w:t xml:space="preserve"> EDX spectrum, and </w:t>
      </w:r>
      <w:r w:rsidRPr="00D76BD1">
        <w:rPr>
          <w:rFonts w:ascii="Times New Roman" w:hAnsi="Times New Roman" w:cs="Times New Roman"/>
          <w:b/>
          <w:bCs/>
          <w:lang w:val="en-US"/>
        </w:rPr>
        <w:t>d)</w:t>
      </w:r>
      <w:r w:rsidRPr="00D76BD1">
        <w:rPr>
          <w:rFonts w:ascii="Times New Roman" w:hAnsi="Times New Roman" w:cs="Times New Roman"/>
          <w:lang w:val="en-US"/>
        </w:rPr>
        <w:t xml:space="preserve"> SEM image of the nanoparticles</w:t>
      </w:r>
    </w:p>
    <w:p w14:paraId="4D00876E" w14:textId="77777777" w:rsidR="00AB73A9" w:rsidRDefault="00AB73A9" w:rsidP="00A30DCE">
      <w:pPr>
        <w:rPr>
          <w:rFonts w:ascii="Times New Roman" w:hAnsi="Times New Roman" w:cs="Times New Roman"/>
        </w:rPr>
      </w:pPr>
    </w:p>
    <w:p w14:paraId="0297DC0B" w14:textId="0586B47D" w:rsidR="00414C9D" w:rsidRDefault="00AB73A9" w:rsidP="00AB73A9">
      <w:pPr>
        <w:jc w:val="center"/>
        <w:rPr>
          <w:rFonts w:ascii="Times New Roman" w:hAnsi="Times New Roman" w:cs="Times New Roman"/>
        </w:rPr>
      </w:pPr>
      <w:r>
        <w:rPr>
          <w:rFonts w:ascii="Times New Roman" w:hAnsi="Times New Roman" w:cs="Times New Roman"/>
          <w:noProof/>
        </w:rPr>
        <w:drawing>
          <wp:inline distT="0" distB="0" distL="0" distR="0" wp14:anchorId="1500B6F0" wp14:editId="1F39BFFB">
            <wp:extent cx="5980430" cy="6480810"/>
            <wp:effectExtent l="0" t="0" r="1270" b="0"/>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6480810"/>
                    </a:xfrm>
                    <a:prstGeom prst="rect">
                      <a:avLst/>
                    </a:prstGeom>
                    <a:noFill/>
                  </pic:spPr>
                </pic:pic>
              </a:graphicData>
            </a:graphic>
          </wp:inline>
        </w:drawing>
      </w:r>
    </w:p>
    <w:p w14:paraId="1F7373B1" w14:textId="3F2D2CC8" w:rsidR="00AB73A9" w:rsidRPr="00D76BD1" w:rsidRDefault="00AB73A9" w:rsidP="00AB73A9">
      <w:pPr>
        <w:spacing w:line="360" w:lineRule="auto"/>
        <w:jc w:val="center"/>
        <w:rPr>
          <w:rFonts w:ascii="Times New Roman" w:hAnsi="Times New Roman" w:cs="Times New Roman"/>
          <w:lang w:val="en-US"/>
        </w:rPr>
      </w:pPr>
      <w:r w:rsidRPr="00D76BD1">
        <w:rPr>
          <w:rFonts w:ascii="Times New Roman" w:hAnsi="Times New Roman" w:cs="Times New Roman"/>
          <w:b/>
          <w:bCs/>
          <w:lang w:val="en-US"/>
        </w:rPr>
        <w:t xml:space="preserve">Fig. </w:t>
      </w:r>
      <w:r>
        <w:rPr>
          <w:rFonts w:ascii="Times New Roman" w:hAnsi="Times New Roman" w:cs="Times New Roman"/>
          <w:b/>
          <w:bCs/>
          <w:lang w:val="en-US"/>
        </w:rPr>
        <w:t>S</w:t>
      </w:r>
      <w:r>
        <w:rPr>
          <w:rFonts w:ascii="Times New Roman" w:hAnsi="Times New Roman" w:cs="Times New Roman"/>
          <w:b/>
          <w:bCs/>
          <w:lang w:val="en-US"/>
        </w:rPr>
        <w:t>2</w:t>
      </w:r>
      <w:r w:rsidRPr="00D76BD1">
        <w:rPr>
          <w:rFonts w:ascii="Times New Roman" w:hAnsi="Times New Roman" w:cs="Times New Roman"/>
          <w:lang w:val="en-US"/>
        </w:rPr>
        <w:t xml:space="preserve"> </w:t>
      </w:r>
      <w:r>
        <w:rPr>
          <w:rFonts w:ascii="Times New Roman" w:hAnsi="Times New Roman" w:cs="Times New Roman"/>
          <w:lang w:val="en-US"/>
        </w:rPr>
        <w:t xml:space="preserve">EDX spectrum of the </w:t>
      </w:r>
      <w:r w:rsidRPr="00D76BD1">
        <w:rPr>
          <w:rFonts w:ascii="Times New Roman" w:hAnsi="Times New Roman" w:cs="Times New Roman"/>
          <w:b/>
          <w:bCs/>
          <w:lang w:val="en-US"/>
        </w:rPr>
        <w:t>a)</w:t>
      </w:r>
      <w:r w:rsidRPr="00D76BD1">
        <w:rPr>
          <w:rFonts w:ascii="Times New Roman" w:hAnsi="Times New Roman" w:cs="Times New Roman"/>
          <w:lang w:val="en-US"/>
        </w:rPr>
        <w:t xml:space="preserve"> </w:t>
      </w:r>
      <w:r>
        <w:rPr>
          <w:rFonts w:ascii="Times New Roman" w:hAnsi="Times New Roman" w:cs="Times New Roman"/>
          <w:lang w:val="en-US"/>
        </w:rPr>
        <w:t xml:space="preserve">control AGS, and the </w:t>
      </w:r>
      <w:r>
        <w:rPr>
          <w:rFonts w:ascii="Times New Roman" w:hAnsi="Times New Roman" w:cs="Times New Roman"/>
          <w:b/>
          <w:bCs/>
          <w:lang w:val="en-US"/>
        </w:rPr>
        <w:t>b</w:t>
      </w:r>
      <w:r w:rsidRPr="00D76BD1">
        <w:rPr>
          <w:rFonts w:ascii="Times New Roman" w:hAnsi="Times New Roman" w:cs="Times New Roman"/>
          <w:b/>
          <w:bCs/>
          <w:lang w:val="en-US"/>
        </w:rPr>
        <w:t>)</w:t>
      </w:r>
      <w:r w:rsidRPr="00D76BD1">
        <w:rPr>
          <w:rFonts w:ascii="Times New Roman" w:hAnsi="Times New Roman" w:cs="Times New Roman"/>
          <w:lang w:val="en-US"/>
        </w:rPr>
        <w:t xml:space="preserve"> </w:t>
      </w:r>
      <w:r>
        <w:rPr>
          <w:rFonts w:ascii="Times New Roman" w:hAnsi="Times New Roman" w:cs="Times New Roman"/>
          <w:lang w:val="en-US"/>
        </w:rPr>
        <w:t>control A</w:t>
      </w:r>
      <w:r>
        <w:rPr>
          <w:rFonts w:ascii="Times New Roman" w:hAnsi="Times New Roman" w:cs="Times New Roman"/>
          <w:lang w:val="en-US"/>
        </w:rPr>
        <w:t>B</w:t>
      </w:r>
      <w:r>
        <w:rPr>
          <w:rFonts w:ascii="Times New Roman" w:hAnsi="Times New Roman" w:cs="Times New Roman"/>
          <w:lang w:val="en-US"/>
        </w:rPr>
        <w:t>GS</w:t>
      </w:r>
    </w:p>
    <w:p w14:paraId="5A7DECC7" w14:textId="2BF175C5" w:rsidR="00414C9D" w:rsidRDefault="00414C9D" w:rsidP="00A30DCE">
      <w:pPr>
        <w:rPr>
          <w:rFonts w:ascii="Times New Roman" w:hAnsi="Times New Roman" w:cs="Times New Roman"/>
        </w:rPr>
      </w:pPr>
    </w:p>
    <w:p w14:paraId="693FDA7C" w14:textId="51ADB1AB" w:rsidR="00414C9D" w:rsidRDefault="00414C9D" w:rsidP="00A30DCE">
      <w:pPr>
        <w:rPr>
          <w:rFonts w:ascii="Times New Roman" w:hAnsi="Times New Roman" w:cs="Times New Roman"/>
        </w:rPr>
      </w:pPr>
    </w:p>
    <w:p w14:paraId="0F85D92C" w14:textId="28585843" w:rsidR="00414C9D" w:rsidRDefault="00414C9D" w:rsidP="00A30DCE">
      <w:pPr>
        <w:rPr>
          <w:rFonts w:ascii="Times New Roman" w:hAnsi="Times New Roman" w:cs="Times New Roman"/>
        </w:rPr>
      </w:pPr>
    </w:p>
    <w:p w14:paraId="603ECFE4" w14:textId="3C110CC5" w:rsidR="00AB73A9" w:rsidRDefault="00AB73A9" w:rsidP="00AB73A9">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306F358F" wp14:editId="6159D56B">
            <wp:extent cx="5980430" cy="6480810"/>
            <wp:effectExtent l="0" t="0" r="1270" b="0"/>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0430" cy="6480810"/>
                    </a:xfrm>
                    <a:prstGeom prst="rect">
                      <a:avLst/>
                    </a:prstGeom>
                    <a:noFill/>
                  </pic:spPr>
                </pic:pic>
              </a:graphicData>
            </a:graphic>
          </wp:inline>
        </w:drawing>
      </w:r>
    </w:p>
    <w:p w14:paraId="72EC7F68" w14:textId="431BD2FE" w:rsidR="00AB73A9" w:rsidRPr="00D76BD1" w:rsidRDefault="00AB73A9" w:rsidP="00AB73A9">
      <w:pPr>
        <w:spacing w:line="360" w:lineRule="auto"/>
        <w:jc w:val="center"/>
        <w:rPr>
          <w:rFonts w:ascii="Times New Roman" w:hAnsi="Times New Roman" w:cs="Times New Roman"/>
          <w:lang w:val="en-US"/>
        </w:rPr>
      </w:pPr>
      <w:r w:rsidRPr="00D76BD1">
        <w:rPr>
          <w:rFonts w:ascii="Times New Roman" w:hAnsi="Times New Roman" w:cs="Times New Roman"/>
          <w:b/>
          <w:bCs/>
          <w:lang w:val="en-US"/>
        </w:rPr>
        <w:t xml:space="preserve">Fig. </w:t>
      </w:r>
      <w:r>
        <w:rPr>
          <w:rFonts w:ascii="Times New Roman" w:hAnsi="Times New Roman" w:cs="Times New Roman"/>
          <w:b/>
          <w:bCs/>
          <w:lang w:val="en-US"/>
        </w:rPr>
        <w:t>S</w:t>
      </w:r>
      <w:r>
        <w:rPr>
          <w:rFonts w:ascii="Times New Roman" w:hAnsi="Times New Roman" w:cs="Times New Roman"/>
          <w:b/>
          <w:bCs/>
          <w:lang w:val="en-US"/>
        </w:rPr>
        <w:t>3</w:t>
      </w:r>
      <w:r w:rsidRPr="00D76BD1">
        <w:rPr>
          <w:rFonts w:ascii="Times New Roman" w:hAnsi="Times New Roman" w:cs="Times New Roman"/>
          <w:lang w:val="en-US"/>
        </w:rPr>
        <w:t xml:space="preserve"> </w:t>
      </w:r>
      <w:r>
        <w:rPr>
          <w:rFonts w:ascii="Times New Roman" w:hAnsi="Times New Roman" w:cs="Times New Roman"/>
          <w:lang w:val="en-US"/>
        </w:rPr>
        <w:t xml:space="preserve">EDX spectrum of the </w:t>
      </w:r>
      <w:r w:rsidRPr="00D76BD1">
        <w:rPr>
          <w:rFonts w:ascii="Times New Roman" w:hAnsi="Times New Roman" w:cs="Times New Roman"/>
          <w:b/>
          <w:bCs/>
          <w:lang w:val="en-US"/>
        </w:rPr>
        <w:t>a)</w:t>
      </w:r>
      <w:r w:rsidRPr="00D76BD1">
        <w:rPr>
          <w:rFonts w:ascii="Times New Roman" w:hAnsi="Times New Roman" w:cs="Times New Roman"/>
          <w:lang w:val="en-US"/>
        </w:rPr>
        <w:t xml:space="preserve"> </w:t>
      </w:r>
      <w:r w:rsidRPr="00046C27">
        <w:rPr>
          <w:rFonts w:ascii="Times New Roman" w:hAnsi="Times New Roman" w:cs="Times New Roman"/>
          <w:sz w:val="20"/>
          <w:szCs w:val="20"/>
          <w:lang w:val="en-US"/>
        </w:rPr>
        <w:t xml:space="preserve">AGS, and the </w:t>
      </w:r>
      <w:r>
        <w:rPr>
          <w:rFonts w:ascii="Times New Roman" w:hAnsi="Times New Roman" w:cs="Times New Roman"/>
          <w:b/>
          <w:bCs/>
          <w:sz w:val="20"/>
          <w:szCs w:val="20"/>
          <w:lang w:val="en-US"/>
        </w:rPr>
        <w:t>b</w:t>
      </w:r>
      <w:r w:rsidRPr="00046C27">
        <w:rPr>
          <w:rFonts w:ascii="Times New Roman" w:hAnsi="Times New Roman" w:cs="Times New Roman"/>
          <w:b/>
          <w:bCs/>
          <w:sz w:val="20"/>
          <w:szCs w:val="20"/>
          <w:lang w:val="en-US"/>
        </w:rPr>
        <w:t xml:space="preserve">) </w:t>
      </w:r>
      <w:r w:rsidRPr="00046C27">
        <w:rPr>
          <w:rFonts w:ascii="Times New Roman" w:hAnsi="Times New Roman" w:cs="Times New Roman"/>
          <w:sz w:val="20"/>
          <w:szCs w:val="20"/>
          <w:lang w:val="en-US"/>
        </w:rPr>
        <w:t>ABGS after the introduction of 50 mg L</w:t>
      </w:r>
      <w:r w:rsidRPr="00046C27">
        <w:rPr>
          <w:rFonts w:ascii="Times New Roman" w:hAnsi="Times New Roman" w:cs="Times New Roman"/>
          <w:sz w:val="20"/>
          <w:szCs w:val="20"/>
          <w:vertAlign w:val="superscript"/>
          <w:lang w:val="en-US"/>
        </w:rPr>
        <w:t>-1</w:t>
      </w:r>
      <w:r w:rsidRPr="00046C27">
        <w:rPr>
          <w:rFonts w:ascii="Times New Roman" w:hAnsi="Times New Roman" w:cs="Times New Roman"/>
          <w:sz w:val="20"/>
          <w:szCs w:val="20"/>
          <w:lang w:val="en-US"/>
        </w:rPr>
        <w:t xml:space="preserve"> TiO</w:t>
      </w:r>
      <w:r w:rsidRPr="00046C27">
        <w:rPr>
          <w:rFonts w:ascii="Times New Roman" w:hAnsi="Times New Roman" w:cs="Times New Roman"/>
          <w:sz w:val="20"/>
          <w:szCs w:val="20"/>
          <w:vertAlign w:val="subscript"/>
          <w:lang w:val="en-US"/>
        </w:rPr>
        <w:t>2</w:t>
      </w:r>
      <w:r w:rsidRPr="00046C27">
        <w:rPr>
          <w:rFonts w:ascii="Times New Roman" w:hAnsi="Times New Roman" w:cs="Times New Roman"/>
          <w:sz w:val="20"/>
          <w:szCs w:val="20"/>
          <w:lang w:val="en-US"/>
        </w:rPr>
        <w:t xml:space="preserve"> NPs</w:t>
      </w:r>
    </w:p>
    <w:p w14:paraId="7523A6F2" w14:textId="77777777" w:rsidR="00AB73A9" w:rsidRDefault="00AB73A9" w:rsidP="00A30DCE">
      <w:pPr>
        <w:rPr>
          <w:rFonts w:ascii="Times New Roman" w:hAnsi="Times New Roman" w:cs="Times New Roman"/>
        </w:rPr>
      </w:pPr>
    </w:p>
    <w:p w14:paraId="56F38CEC" w14:textId="77777777" w:rsidR="00AB73A9" w:rsidRPr="00D76BD1" w:rsidRDefault="00AB73A9" w:rsidP="00A30DCE">
      <w:pPr>
        <w:rPr>
          <w:rFonts w:ascii="Times New Roman" w:hAnsi="Times New Roman" w:cs="Times New Roman"/>
        </w:rPr>
      </w:pPr>
    </w:p>
    <w:p w14:paraId="77542FE0" w14:textId="10167332" w:rsidR="00187FFD" w:rsidRPr="00D76BD1" w:rsidRDefault="00432331" w:rsidP="00953F9D">
      <w:pPr>
        <w:spacing w:line="360" w:lineRule="auto"/>
        <w:jc w:val="both"/>
        <w:rPr>
          <w:rFonts w:ascii="Times New Roman" w:hAnsi="Times New Roman" w:cs="Times New Roman"/>
          <w:b/>
          <w:bCs/>
        </w:rPr>
      </w:pPr>
      <w:r w:rsidRPr="00D76BD1">
        <w:rPr>
          <w:rFonts w:ascii="Times New Roman" w:hAnsi="Times New Roman" w:cs="Times New Roman"/>
          <w:b/>
          <w:bCs/>
        </w:rPr>
        <w:t>References</w:t>
      </w:r>
    </w:p>
    <w:p w14:paraId="0D72105C" w14:textId="0C55538D" w:rsidR="00B562E2" w:rsidRPr="00D76BD1" w:rsidRDefault="00432331" w:rsidP="00B562E2">
      <w:pPr>
        <w:widowControl w:val="0"/>
        <w:autoSpaceDE w:val="0"/>
        <w:autoSpaceDN w:val="0"/>
        <w:adjustRightInd w:val="0"/>
        <w:spacing w:line="360" w:lineRule="auto"/>
        <w:ind w:left="480" w:hanging="480"/>
        <w:rPr>
          <w:rFonts w:ascii="Times New Roman" w:hAnsi="Times New Roman" w:cs="Times New Roman"/>
          <w:noProof/>
        </w:rPr>
      </w:pPr>
      <w:r w:rsidRPr="00D76BD1">
        <w:rPr>
          <w:rFonts w:ascii="Times New Roman" w:hAnsi="Times New Roman" w:cs="Times New Roman"/>
        </w:rPr>
        <w:fldChar w:fldCharType="begin" w:fldLock="1"/>
      </w:r>
      <w:r w:rsidRPr="00D76BD1">
        <w:rPr>
          <w:rFonts w:ascii="Times New Roman" w:hAnsi="Times New Roman" w:cs="Times New Roman"/>
        </w:rPr>
        <w:instrText xml:space="preserve">ADDIN Mendeley Bibliography CSL_BIBLIOGRAPHY </w:instrText>
      </w:r>
      <w:r w:rsidRPr="00D76BD1">
        <w:rPr>
          <w:rFonts w:ascii="Times New Roman" w:hAnsi="Times New Roman" w:cs="Times New Roman"/>
        </w:rPr>
        <w:fldChar w:fldCharType="separate"/>
      </w:r>
      <w:r w:rsidR="00B562E2" w:rsidRPr="00D76BD1">
        <w:rPr>
          <w:rFonts w:ascii="Times New Roman" w:hAnsi="Times New Roman" w:cs="Times New Roman"/>
          <w:noProof/>
        </w:rPr>
        <w:t>Eddy, D.R., Ishmah, S.N., Permana, M.D., Firdaus, M.L., Rahayu, I., El-Badry, Y.A., Hussein, E.E., El-Bahy, Z.M., 2021. Photocatalytic phenol degradation by silica-modified titanium dioxide. Appl. Sci. 11. https://doi.org/10.3390/app11199033</w:t>
      </w:r>
    </w:p>
    <w:p w14:paraId="6BEA50CB" w14:textId="77777777" w:rsidR="00B562E2" w:rsidRPr="00D76BD1" w:rsidRDefault="00B562E2" w:rsidP="00B562E2">
      <w:pPr>
        <w:widowControl w:val="0"/>
        <w:autoSpaceDE w:val="0"/>
        <w:autoSpaceDN w:val="0"/>
        <w:adjustRightInd w:val="0"/>
        <w:spacing w:line="360" w:lineRule="auto"/>
        <w:ind w:left="480" w:hanging="480"/>
        <w:rPr>
          <w:rFonts w:ascii="Times New Roman" w:hAnsi="Times New Roman" w:cs="Times New Roman"/>
          <w:noProof/>
        </w:rPr>
      </w:pPr>
      <w:r w:rsidRPr="00D76BD1">
        <w:rPr>
          <w:rFonts w:ascii="Times New Roman" w:hAnsi="Times New Roman" w:cs="Times New Roman"/>
          <w:noProof/>
        </w:rPr>
        <w:t xml:space="preserve">John, A.K., Palaty, S., Sharma, S.S., 2020. Greener approach towards the synthesis of titanium dioxide </w:t>
      </w:r>
      <w:r w:rsidRPr="00D76BD1">
        <w:rPr>
          <w:rFonts w:ascii="Times New Roman" w:hAnsi="Times New Roman" w:cs="Times New Roman"/>
          <w:noProof/>
        </w:rPr>
        <w:lastRenderedPageBreak/>
        <w:t>nanostructures with exposed {001} facets for enhanced visible light photodegradation of organic pollutants. J. Mater. Sci. Mater. Electron. 31, 20868–20882. https://doi.org/10.1007/s10854-020-04602-1</w:t>
      </w:r>
    </w:p>
    <w:p w14:paraId="172A5E81" w14:textId="77777777" w:rsidR="00B562E2" w:rsidRPr="00D76BD1" w:rsidRDefault="00B562E2" w:rsidP="00B562E2">
      <w:pPr>
        <w:widowControl w:val="0"/>
        <w:autoSpaceDE w:val="0"/>
        <w:autoSpaceDN w:val="0"/>
        <w:adjustRightInd w:val="0"/>
        <w:spacing w:line="360" w:lineRule="auto"/>
        <w:ind w:left="480" w:hanging="480"/>
        <w:rPr>
          <w:rFonts w:ascii="Times New Roman" w:hAnsi="Times New Roman" w:cs="Times New Roman"/>
          <w:noProof/>
        </w:rPr>
      </w:pPr>
      <w:r w:rsidRPr="00D76BD1">
        <w:rPr>
          <w:rFonts w:ascii="Times New Roman" w:hAnsi="Times New Roman" w:cs="Times New Roman"/>
          <w:noProof/>
        </w:rPr>
        <w:t>Kedves, A., Sánta, L., Balázs, M., Kesserű, P., Kiss, I., Rónavári, A., Kónya, Z., 2020. Chronic responses of aerobic granules to the presence of graphene oxide in sequencing batch reactors. J. Hazard. Mater. 389. https://doi.org/10.1016/j.jhazmat.2019.121905</w:t>
      </w:r>
    </w:p>
    <w:p w14:paraId="4F783DEC" w14:textId="77777777" w:rsidR="00B562E2" w:rsidRPr="00D76BD1" w:rsidRDefault="00B562E2" w:rsidP="00B562E2">
      <w:pPr>
        <w:widowControl w:val="0"/>
        <w:autoSpaceDE w:val="0"/>
        <w:autoSpaceDN w:val="0"/>
        <w:adjustRightInd w:val="0"/>
        <w:spacing w:line="360" w:lineRule="auto"/>
        <w:ind w:left="480" w:hanging="480"/>
        <w:rPr>
          <w:rFonts w:ascii="Times New Roman" w:hAnsi="Times New Roman" w:cs="Times New Roman"/>
          <w:noProof/>
        </w:rPr>
      </w:pPr>
      <w:r w:rsidRPr="00D76BD1">
        <w:rPr>
          <w:rFonts w:ascii="Times New Roman" w:hAnsi="Times New Roman" w:cs="Times New Roman"/>
          <w:noProof/>
        </w:rPr>
        <w:t>Li, X.Y., Yang, S.F., 2007. Influence of loosely bound extracellular polymeric substances (EPS) on the flocculation, sedimentation and dewaterability of activated sludge. Water Res. 41, 1022–1030. https://doi.org/https://doi.org/10.1016/j.watres.2006.06.037</w:t>
      </w:r>
    </w:p>
    <w:p w14:paraId="52EC7660" w14:textId="77777777" w:rsidR="00B562E2" w:rsidRPr="00D76BD1" w:rsidRDefault="00B562E2" w:rsidP="00B562E2">
      <w:pPr>
        <w:widowControl w:val="0"/>
        <w:autoSpaceDE w:val="0"/>
        <w:autoSpaceDN w:val="0"/>
        <w:adjustRightInd w:val="0"/>
        <w:spacing w:line="360" w:lineRule="auto"/>
        <w:ind w:left="480" w:hanging="480"/>
        <w:rPr>
          <w:rFonts w:ascii="Times New Roman" w:hAnsi="Times New Roman" w:cs="Times New Roman"/>
          <w:noProof/>
        </w:rPr>
      </w:pPr>
      <w:r w:rsidRPr="00D76BD1">
        <w:rPr>
          <w:rFonts w:ascii="Times New Roman" w:hAnsi="Times New Roman" w:cs="Times New Roman"/>
          <w:noProof/>
        </w:rPr>
        <w:t>Li, Z.Q., Que, Y.P., Mo, L.E., Chen, W.C., Ding, Y., Ma, Y.M., Jiang, L., Hu, L.H., Dai, S.Y., 2015. One-Pot Synthesis of Mesoporous TiO2 Micropheres and Its Application for High-Efficiency Dye-Sensitized Solar Cells. ACS Appl. Mater. Interfaces 7, 10928–10934. https://doi.org/10.1021/acsami.5b02195</w:t>
      </w:r>
    </w:p>
    <w:p w14:paraId="54863370" w14:textId="77777777" w:rsidR="00B562E2" w:rsidRPr="00D76BD1" w:rsidRDefault="00B562E2" w:rsidP="00B562E2">
      <w:pPr>
        <w:widowControl w:val="0"/>
        <w:autoSpaceDE w:val="0"/>
        <w:autoSpaceDN w:val="0"/>
        <w:adjustRightInd w:val="0"/>
        <w:spacing w:line="360" w:lineRule="auto"/>
        <w:ind w:left="480" w:hanging="480"/>
        <w:rPr>
          <w:rFonts w:ascii="Times New Roman" w:hAnsi="Times New Roman" w:cs="Times New Roman"/>
          <w:noProof/>
        </w:rPr>
      </w:pPr>
      <w:r w:rsidRPr="00D76BD1">
        <w:rPr>
          <w:rFonts w:ascii="Times New Roman" w:hAnsi="Times New Roman" w:cs="Times New Roman"/>
          <w:noProof/>
        </w:rPr>
        <w:t>Panswad, T., Doungchai, A., Anotai, J., 2003. Temperature effect on microbial community of enhanced biological phosphorus removal system. Water Res. 37, 409–415. https://doi.org/https://doi.org/10.1016/S0043-1354(02)00286-5</w:t>
      </w:r>
    </w:p>
    <w:p w14:paraId="3B70457A" w14:textId="77777777" w:rsidR="00B562E2" w:rsidRPr="00D76BD1" w:rsidRDefault="00B562E2" w:rsidP="00B562E2">
      <w:pPr>
        <w:widowControl w:val="0"/>
        <w:autoSpaceDE w:val="0"/>
        <w:autoSpaceDN w:val="0"/>
        <w:adjustRightInd w:val="0"/>
        <w:spacing w:line="360" w:lineRule="auto"/>
        <w:ind w:left="480" w:hanging="480"/>
        <w:rPr>
          <w:rFonts w:ascii="Times New Roman" w:hAnsi="Times New Roman" w:cs="Times New Roman"/>
          <w:noProof/>
        </w:rPr>
      </w:pPr>
      <w:r w:rsidRPr="00D76BD1">
        <w:rPr>
          <w:rFonts w:ascii="Times New Roman" w:hAnsi="Times New Roman" w:cs="Times New Roman"/>
          <w:noProof/>
        </w:rPr>
        <w:t>Wang, S., Gao, M., Wang, Z., She, Z., Jin, C., Zhao, Y., Guo, L., Chang, Q., 2015. Effect of oxytetracycline on performance and microbial community of an anoxic–aerobic sequencing batch reactor treating mariculture wastewater. RSC Adv. 5, 53893–53904. https://doi.org/10.1039/C5RA06302G</w:t>
      </w:r>
    </w:p>
    <w:p w14:paraId="5D26217A" w14:textId="77777777" w:rsidR="00B562E2" w:rsidRPr="00D76BD1" w:rsidRDefault="00B562E2" w:rsidP="00B562E2">
      <w:pPr>
        <w:widowControl w:val="0"/>
        <w:autoSpaceDE w:val="0"/>
        <w:autoSpaceDN w:val="0"/>
        <w:adjustRightInd w:val="0"/>
        <w:spacing w:line="360" w:lineRule="auto"/>
        <w:ind w:left="480" w:hanging="480"/>
        <w:rPr>
          <w:rFonts w:ascii="Times New Roman" w:hAnsi="Times New Roman" w:cs="Times New Roman"/>
          <w:noProof/>
        </w:rPr>
      </w:pPr>
      <w:r w:rsidRPr="00D76BD1">
        <w:rPr>
          <w:rFonts w:ascii="Times New Roman" w:hAnsi="Times New Roman" w:cs="Times New Roman"/>
          <w:noProof/>
        </w:rPr>
        <w:t>Zhang, B., Ji, M., Wang, F., Li, R., Zhang, K., Yin, X., Li, Q., 2017. Damage of EPS and cell structures and improvement of high-solid anaerobic digestion of sewage sludge by combined (Ca(OH)2 + multiple-transducer ultrasonic) pretreatment. RSC Adv. 7, 22706–22714. https://doi.org/10.1039/c7ra01060e</w:t>
      </w:r>
    </w:p>
    <w:p w14:paraId="1ADF1C17" w14:textId="77777777" w:rsidR="00B562E2" w:rsidRPr="00D76BD1" w:rsidRDefault="00B562E2" w:rsidP="00B562E2">
      <w:pPr>
        <w:widowControl w:val="0"/>
        <w:autoSpaceDE w:val="0"/>
        <w:autoSpaceDN w:val="0"/>
        <w:adjustRightInd w:val="0"/>
        <w:spacing w:line="360" w:lineRule="auto"/>
        <w:ind w:left="480" w:hanging="480"/>
        <w:rPr>
          <w:rFonts w:ascii="Times New Roman" w:hAnsi="Times New Roman" w:cs="Times New Roman"/>
          <w:noProof/>
        </w:rPr>
      </w:pPr>
      <w:r w:rsidRPr="00D76BD1">
        <w:rPr>
          <w:rFonts w:ascii="Times New Roman" w:hAnsi="Times New Roman" w:cs="Times New Roman"/>
          <w:noProof/>
        </w:rPr>
        <w:t>Zheng, X.Y., Lu, D., Chen, W., Gao, Y.J., Zhou, G., Zhang, Y., Zhou, X., Jin, M.Q., 2017. Response of Aerobic Granular Sludge to the Long-Term Presence of CuO NPs in A/O/A SBRs: Nitrogen and Phosphorus Removal, Enzymatic Activity, and the Microbial Community. Environ. Sci. Technol. 51, 10503–10510. https://doi.org/10.1021/acs.est.7b02768</w:t>
      </w:r>
    </w:p>
    <w:p w14:paraId="484E0D52" w14:textId="0A4E2495" w:rsidR="00432331" w:rsidRPr="00D76BD1" w:rsidRDefault="00432331" w:rsidP="00953F9D">
      <w:pPr>
        <w:spacing w:line="360" w:lineRule="auto"/>
        <w:jc w:val="both"/>
        <w:rPr>
          <w:rFonts w:ascii="Times New Roman" w:hAnsi="Times New Roman" w:cs="Times New Roman"/>
        </w:rPr>
      </w:pPr>
      <w:r w:rsidRPr="00D76BD1">
        <w:rPr>
          <w:rFonts w:ascii="Times New Roman" w:hAnsi="Times New Roman" w:cs="Times New Roman"/>
        </w:rPr>
        <w:fldChar w:fldCharType="end"/>
      </w:r>
    </w:p>
    <w:sectPr w:rsidR="00432331" w:rsidRPr="00D76B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dvOT2e364b11">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472"/>
    <w:rsid w:val="000E08A9"/>
    <w:rsid w:val="00183E7A"/>
    <w:rsid w:val="00187FFD"/>
    <w:rsid w:val="002640FA"/>
    <w:rsid w:val="00275CD3"/>
    <w:rsid w:val="0031413C"/>
    <w:rsid w:val="00334948"/>
    <w:rsid w:val="00414C9D"/>
    <w:rsid w:val="00432331"/>
    <w:rsid w:val="004A4472"/>
    <w:rsid w:val="0051190E"/>
    <w:rsid w:val="005C282C"/>
    <w:rsid w:val="00694C56"/>
    <w:rsid w:val="00840916"/>
    <w:rsid w:val="008505D4"/>
    <w:rsid w:val="008571CD"/>
    <w:rsid w:val="009238EF"/>
    <w:rsid w:val="00953F9D"/>
    <w:rsid w:val="00954184"/>
    <w:rsid w:val="00997066"/>
    <w:rsid w:val="00A30DCE"/>
    <w:rsid w:val="00A9053B"/>
    <w:rsid w:val="00AB4E2B"/>
    <w:rsid w:val="00AB73A9"/>
    <w:rsid w:val="00B562E2"/>
    <w:rsid w:val="00B6687D"/>
    <w:rsid w:val="00B73467"/>
    <w:rsid w:val="00C77554"/>
    <w:rsid w:val="00CC525B"/>
    <w:rsid w:val="00CD3A9A"/>
    <w:rsid w:val="00CD76F2"/>
    <w:rsid w:val="00CD7BE8"/>
    <w:rsid w:val="00D27DEA"/>
    <w:rsid w:val="00D76BD1"/>
    <w:rsid w:val="00D92CF2"/>
    <w:rsid w:val="00DB3129"/>
    <w:rsid w:val="00DB756B"/>
    <w:rsid w:val="00E03B09"/>
    <w:rsid w:val="00E65C70"/>
    <w:rsid w:val="00FC3E6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39675"/>
  <w15:chartTrackingRefBased/>
  <w15:docId w15:val="{C9D4DCBA-BEEB-4C87-A83D-009D8A1E3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187FFD"/>
    <w:rPr>
      <w:lang w:val="en-GB"/>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uiPriority w:val="99"/>
    <w:unhideWhenUsed/>
    <w:rsid w:val="00187FFD"/>
    <w:pPr>
      <w:spacing w:after="120"/>
    </w:pPr>
  </w:style>
  <w:style w:type="character" w:customStyle="1" w:styleId="SzvegtrzsChar">
    <w:name w:val="Szövegtörzs Char"/>
    <w:basedOn w:val="Bekezdsalapbettpusa"/>
    <w:link w:val="Szvegtrzs"/>
    <w:uiPriority w:val="99"/>
    <w:rsid w:val="00187FFD"/>
    <w:rPr>
      <w:lang w:val="en-GB"/>
    </w:rPr>
  </w:style>
  <w:style w:type="paragraph" w:styleId="NormlWeb">
    <w:name w:val="Normal (Web)"/>
    <w:basedOn w:val="Norml"/>
    <w:link w:val="NormlWebChar"/>
    <w:uiPriority w:val="99"/>
    <w:semiHidden/>
    <w:unhideWhenUsed/>
    <w:rsid w:val="00FC3E67"/>
    <w:pPr>
      <w:spacing w:before="100" w:beforeAutospacing="1" w:after="100" w:afterAutospacing="1" w:line="240" w:lineRule="auto"/>
    </w:pPr>
    <w:rPr>
      <w:rFonts w:ascii="Times New Roman" w:eastAsia="Times New Roman" w:hAnsi="Times New Roman" w:cs="Times New Roman"/>
      <w:sz w:val="24"/>
      <w:szCs w:val="24"/>
      <w:lang w:val="hu-HU" w:eastAsia="hu-HU"/>
    </w:rPr>
  </w:style>
  <w:style w:type="character" w:customStyle="1" w:styleId="NormlWebChar">
    <w:name w:val="Normál (Web) Char"/>
    <w:link w:val="NormlWeb"/>
    <w:uiPriority w:val="99"/>
    <w:semiHidden/>
    <w:locked/>
    <w:rsid w:val="00432331"/>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sid w:val="00432331"/>
    <w:rPr>
      <w:color w:val="0563C1" w:themeColor="hyperlink"/>
      <w:u w:val="single"/>
    </w:rPr>
  </w:style>
  <w:style w:type="character" w:styleId="Kiemels">
    <w:name w:val="Emphasis"/>
    <w:basedOn w:val="Bekezdsalapbettpusa"/>
    <w:uiPriority w:val="20"/>
    <w:qFormat/>
    <w:rsid w:val="00B562E2"/>
    <w:rPr>
      <w:i/>
      <w:iCs/>
    </w:rPr>
  </w:style>
  <w:style w:type="character" w:customStyle="1" w:styleId="fontstyle01">
    <w:name w:val="fontstyle01"/>
    <w:basedOn w:val="Bekezdsalapbettpusa"/>
    <w:rsid w:val="00B562E2"/>
    <w:rPr>
      <w:rFonts w:ascii="AdvOT2e364b11" w:hAnsi="AdvOT2e364b11"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022467">
      <w:bodyDiv w:val="1"/>
      <w:marLeft w:val="0"/>
      <w:marRight w:val="0"/>
      <w:marTop w:val="0"/>
      <w:marBottom w:val="0"/>
      <w:divBdr>
        <w:top w:val="none" w:sz="0" w:space="0" w:color="auto"/>
        <w:left w:val="none" w:sz="0" w:space="0" w:color="auto"/>
        <w:bottom w:val="none" w:sz="0" w:space="0" w:color="auto"/>
        <w:right w:val="none" w:sz="0" w:space="0" w:color="auto"/>
      </w:divBdr>
    </w:div>
    <w:div w:id="614288215">
      <w:bodyDiv w:val="1"/>
      <w:marLeft w:val="0"/>
      <w:marRight w:val="0"/>
      <w:marTop w:val="0"/>
      <w:marBottom w:val="0"/>
      <w:divBdr>
        <w:top w:val="none" w:sz="0" w:space="0" w:color="auto"/>
        <w:left w:val="none" w:sz="0" w:space="0" w:color="auto"/>
        <w:bottom w:val="none" w:sz="0" w:space="0" w:color="auto"/>
        <w:right w:val="none" w:sz="0" w:space="0" w:color="auto"/>
      </w:divBdr>
    </w:div>
    <w:div w:id="1021053043">
      <w:bodyDiv w:val="1"/>
      <w:marLeft w:val="0"/>
      <w:marRight w:val="0"/>
      <w:marTop w:val="0"/>
      <w:marBottom w:val="0"/>
      <w:divBdr>
        <w:top w:val="none" w:sz="0" w:space="0" w:color="auto"/>
        <w:left w:val="none" w:sz="0" w:space="0" w:color="auto"/>
        <w:bottom w:val="none" w:sz="0" w:space="0" w:color="auto"/>
        <w:right w:val="none" w:sz="0" w:space="0" w:color="auto"/>
      </w:divBdr>
    </w:div>
    <w:div w:id="136428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hyperlink" Target="mailto:kedvesalfonz@chem.u-szeged.h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607CB-A43C-434B-ABF6-7356E4E4D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7</Pages>
  <Words>4769</Words>
  <Characters>32909</Characters>
  <Application>Microsoft Office Word</Application>
  <DocSecurity>0</DocSecurity>
  <Lines>274</Lines>
  <Paragraphs>75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kedvesalfonz@yahoo.com</dc:creator>
  <cp:keywords/>
  <dc:description/>
  <cp:lastModifiedBy>kedvesalfonz@yahoo.com</cp:lastModifiedBy>
  <cp:revision>34</cp:revision>
  <dcterms:created xsi:type="dcterms:W3CDTF">2024-02-22T10:02:00Z</dcterms:created>
  <dcterms:modified xsi:type="dcterms:W3CDTF">2024-10-31T10:37:00Z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12th edition - Harvard</vt:lpwstr>
  </property>
  <property fmtid="{D5CDD505-2E9C-101B-9397-08002B2CF9AE}" pid="8" name="Mendeley Recent Style Id 3_1">
    <vt:lpwstr>http://www.zotero.org/styles/ecotoxicology-and-environmental-safety</vt:lpwstr>
  </property>
  <property fmtid="{D5CDD505-2E9C-101B-9397-08002B2CF9AE}" pid="9" name="Mendeley Recent Style Name 3_1">
    <vt:lpwstr>Ecotoxicology and Environmental Safety</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http://www.zotero.org/styles/journal-of-environmental-chemical-engineering</vt:lpwstr>
  </property>
  <property fmtid="{D5CDD505-2E9C-101B-9397-08002B2CF9AE}" pid="13" name="Mendeley Recent Style Name 5_1">
    <vt:lpwstr>Journal of Environmental Chemical Engineering</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http://www.zotero.org/styles/science-of-the-total-environment</vt:lpwstr>
  </property>
  <property fmtid="{D5CDD505-2E9C-101B-9397-08002B2CF9AE}" pid="21" name="Mendeley Recent Style Name 9_1">
    <vt:lpwstr>Science of the Total Environment</vt:lpwstr>
  </property>
  <property fmtid="{D5CDD505-2E9C-101B-9397-08002B2CF9AE}" pid="22" name="Mendeley Citation Style_1">
    <vt:lpwstr>http://www.zotero.org/styles/ecotoxicology-and-environmental-safety</vt:lpwstr>
  </property>
  <property fmtid="{D5CDD505-2E9C-101B-9397-08002B2CF9AE}" pid="23" name="Mendeley Document_1">
    <vt:lpwstr>True</vt:lpwstr>
  </property>
  <property fmtid="{D5CDD505-2E9C-101B-9397-08002B2CF9AE}" pid="24" name="Mendeley Unique User Id_1">
    <vt:lpwstr>c3880417-fc65-36a0-b384-28324de90273</vt:lpwstr>
  </property>
</Properties>
</file>