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E3C" w:rsidRDefault="007E0E3C" w:rsidP="00016252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Supplementary 3 </w:t>
      </w:r>
    </w:p>
    <w:p w:rsidR="00016252" w:rsidRPr="00016252" w:rsidRDefault="00016252" w:rsidP="00016252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016252">
        <w:rPr>
          <w:rFonts w:asciiTheme="majorBidi" w:hAnsiTheme="majorBidi" w:cstheme="majorBidi"/>
          <w:b/>
          <w:bCs/>
          <w:sz w:val="24"/>
          <w:szCs w:val="24"/>
        </w:rPr>
        <w:t xml:space="preserve">The Moran index </w:t>
      </w:r>
    </w:p>
    <w:p w:rsidR="00016252" w:rsidRDefault="00016252" w:rsidP="007E0E3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016252">
        <w:rPr>
          <w:rFonts w:asciiTheme="majorBidi" w:hAnsiTheme="majorBidi" w:cstheme="majorBidi"/>
          <w:sz w:val="24"/>
          <w:szCs w:val="24"/>
        </w:rPr>
        <w:t xml:space="preserve">Moran’s index (MI) is known as a common statistical index for identifying spatial autocorrelation, and its values range from -1 to 1. It is obtained from the following equation: </w:t>
      </w:r>
    </w:p>
    <w:p w:rsidR="00016252" w:rsidRDefault="00016252" w:rsidP="00016252">
      <w:pPr>
        <w:jc w:val="both"/>
        <w:rPr>
          <w:rFonts w:asciiTheme="majorBidi" w:hAnsiTheme="majorBidi" w:cstheme="majorBidi"/>
          <w:sz w:val="24"/>
          <w:szCs w:val="24"/>
        </w:rPr>
      </w:pPr>
      <w:r w:rsidRPr="0068682C">
        <w:rPr>
          <w:position w:val="-54"/>
        </w:rPr>
        <w:object w:dxaOrig="3940" w:dyaOrig="11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6.75pt;height:54.75pt" o:ole="">
            <v:imagedata r:id="rId5" o:title=""/>
          </v:shape>
          <o:OLEObject Type="Embed" ProgID="Equation.RSEE4" ShapeID="_x0000_i1025" DrawAspect="Content" ObjectID="_1651478412" r:id="rId6"/>
        </w:object>
      </w:r>
    </w:p>
    <w:p w:rsidR="007E0E3C" w:rsidRDefault="00016252" w:rsidP="007E0E3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016252">
        <w:rPr>
          <w:rFonts w:asciiTheme="majorBidi" w:hAnsiTheme="majorBidi" w:cstheme="majorBidi"/>
          <w:sz w:val="24"/>
          <w:szCs w:val="24"/>
        </w:rPr>
        <w:t xml:space="preserve">Where </w:t>
      </w:r>
      <w:r w:rsidRPr="00016252">
        <w:rPr>
          <w:rFonts w:asciiTheme="majorBidi" w:hAnsiTheme="majorBidi" w:cstheme="majorBidi"/>
          <w:b/>
          <w:bCs/>
          <w:sz w:val="24"/>
          <w:szCs w:val="24"/>
        </w:rPr>
        <w:t>N</w:t>
      </w:r>
      <w:r w:rsidRPr="00016252">
        <w:rPr>
          <w:rFonts w:asciiTheme="majorBidi" w:hAnsiTheme="majorBidi" w:cstheme="majorBidi"/>
          <w:sz w:val="24"/>
          <w:szCs w:val="24"/>
        </w:rPr>
        <w:t xml:space="preserve"> is the number of spatial units for which variable </w:t>
      </w:r>
      <w:r w:rsidRPr="00016252">
        <w:rPr>
          <w:rFonts w:asciiTheme="majorBidi" w:hAnsiTheme="majorBidi" w:cstheme="majorBidi"/>
          <w:b/>
          <w:bCs/>
          <w:sz w:val="24"/>
          <w:szCs w:val="24"/>
        </w:rPr>
        <w:t>y</w:t>
      </w:r>
      <w:r w:rsidRPr="00016252">
        <w:rPr>
          <w:rFonts w:asciiTheme="majorBidi" w:hAnsiTheme="majorBidi" w:cstheme="majorBidi"/>
          <w:sz w:val="24"/>
          <w:szCs w:val="24"/>
        </w:rPr>
        <w:t xml:space="preserve"> is measured and </w:t>
      </w:r>
      <m:oMath>
        <m:sSub>
          <m:sSubPr>
            <m:ctrlPr>
              <w:rPr>
                <w:rFonts w:ascii="Cambria Math" w:hAnsi="Cambria Math" w:cstheme="majorBidi"/>
                <w:b/>
                <w:b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theme="majorBidi"/>
                <w:sz w:val="24"/>
                <w:szCs w:val="24"/>
              </w:rPr>
              <m:t>w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sz w:val="24"/>
                <w:szCs w:val="24"/>
              </w:rPr>
              <m:t>ij</m:t>
            </m:r>
          </m:sub>
        </m:sSub>
      </m:oMath>
      <w:r w:rsidRPr="00016252">
        <w:rPr>
          <w:rFonts w:asciiTheme="majorBidi" w:hAnsiTheme="majorBidi" w:cstheme="majorBidi"/>
          <w:sz w:val="24"/>
          <w:szCs w:val="24"/>
        </w:rPr>
        <w:t xml:space="preserve"> is a spatial weight matrix defined to d</w:t>
      </w:r>
      <w:r>
        <w:rPr>
          <w:rFonts w:asciiTheme="majorBidi" w:hAnsiTheme="majorBidi" w:cstheme="majorBidi"/>
          <w:sz w:val="24"/>
          <w:szCs w:val="24"/>
        </w:rPr>
        <w:t>e</w:t>
      </w:r>
      <w:r w:rsidR="007E0E3C">
        <w:rPr>
          <w:rFonts w:asciiTheme="majorBidi" w:hAnsiTheme="majorBidi" w:cstheme="majorBidi"/>
          <w:sz w:val="24"/>
          <w:szCs w:val="24"/>
        </w:rPr>
        <w:t>termine the degree of locality [</w:t>
      </w:r>
      <w:r w:rsidR="003E2AF3">
        <w:rPr>
          <w:rFonts w:asciiTheme="majorBidi" w:hAnsiTheme="majorBidi" w:cstheme="majorBidi"/>
          <w:sz w:val="24"/>
          <w:szCs w:val="24"/>
        </w:rPr>
        <w:t>1</w:t>
      </w:r>
      <w:r w:rsidR="00265AA5">
        <w:rPr>
          <w:rFonts w:asciiTheme="majorBidi" w:hAnsiTheme="majorBidi" w:cstheme="majorBidi"/>
          <w:sz w:val="24"/>
          <w:szCs w:val="24"/>
        </w:rPr>
        <w:t>0</w:t>
      </w:r>
      <w:r w:rsidR="007E0E3C">
        <w:rPr>
          <w:rFonts w:asciiTheme="majorBidi" w:hAnsiTheme="majorBidi" w:cstheme="majorBidi"/>
          <w:sz w:val="24"/>
          <w:szCs w:val="24"/>
        </w:rPr>
        <w:t>]</w:t>
      </w:r>
      <w:r w:rsidR="003E2AF3">
        <w:rPr>
          <w:rFonts w:asciiTheme="majorBidi" w:hAnsiTheme="majorBidi" w:cstheme="majorBidi"/>
          <w:sz w:val="24"/>
          <w:szCs w:val="24"/>
        </w:rPr>
        <w:t>.</w:t>
      </w:r>
      <w:r w:rsidR="007E0E3C">
        <w:rPr>
          <w:rFonts w:asciiTheme="majorBidi" w:hAnsiTheme="majorBidi" w:cstheme="majorBidi"/>
          <w:sz w:val="24"/>
          <w:szCs w:val="24"/>
        </w:rPr>
        <w:t xml:space="preserve"> </w:t>
      </w:r>
    </w:p>
    <w:p w:rsidR="007E0E3C" w:rsidRDefault="003E2AF3" w:rsidP="00265AA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The results showed </w:t>
      </w:r>
      <w:r w:rsidR="007E0E3C">
        <w:rPr>
          <w:rFonts w:asciiTheme="majorBidi" w:hAnsiTheme="majorBidi" w:cstheme="majorBidi"/>
          <w:sz w:val="24"/>
          <w:szCs w:val="24"/>
        </w:rPr>
        <w:t>that t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he MI </w:t>
      </w:r>
      <w:r w:rsidR="007E0E3C">
        <w:rPr>
          <w:rFonts w:asciiTheme="majorBidi" w:hAnsiTheme="majorBidi" w:cstheme="majorBidi"/>
          <w:sz w:val="24"/>
          <w:szCs w:val="24"/>
        </w:rPr>
        <w:t>is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 statistically significant for all </w:t>
      </w:r>
      <w:r w:rsidR="007E0E3C">
        <w:rPr>
          <w:rFonts w:asciiTheme="majorBidi" w:hAnsiTheme="majorBidi" w:cstheme="majorBidi"/>
          <w:sz w:val="24"/>
          <w:szCs w:val="24"/>
        </w:rPr>
        <w:t>cancer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 </w:t>
      </w:r>
      <w:r w:rsidR="007E0E3C">
        <w:rPr>
          <w:rFonts w:asciiTheme="majorBidi" w:hAnsiTheme="majorBidi" w:cstheme="majorBidi"/>
          <w:sz w:val="24"/>
          <w:szCs w:val="24"/>
        </w:rPr>
        <w:t xml:space="preserve">under study </w:t>
      </w:r>
      <w:r w:rsidR="007E0E3C" w:rsidRPr="007E0E3C">
        <w:rPr>
          <w:rFonts w:asciiTheme="majorBidi" w:hAnsiTheme="majorBidi" w:cstheme="majorBidi"/>
          <w:sz w:val="24"/>
          <w:szCs w:val="24"/>
        </w:rPr>
        <w:t>(</w:t>
      </w:r>
      <w:r w:rsidR="007E0E3C">
        <w:rPr>
          <w:rFonts w:asciiTheme="majorBidi" w:hAnsiTheme="majorBidi" w:cstheme="majorBidi"/>
          <w:sz w:val="24"/>
          <w:szCs w:val="24"/>
        </w:rPr>
        <w:t>P-value</w:t>
      </w:r>
      <w:r w:rsidR="007E0E3C" w:rsidRPr="007E0E3C">
        <w:rPr>
          <w:rFonts w:asciiTheme="majorBidi" w:hAnsiTheme="majorBidi" w:cstheme="majorBidi"/>
          <w:sz w:val="24"/>
          <w:szCs w:val="24"/>
        </w:rPr>
        <w:t>&lt;0.05)</w:t>
      </w:r>
      <w:r w:rsidR="007E0E3C">
        <w:rPr>
          <w:rFonts w:asciiTheme="majorBidi" w:hAnsiTheme="majorBidi" w:cstheme="majorBidi"/>
          <w:sz w:val="24"/>
          <w:szCs w:val="24"/>
        </w:rPr>
        <w:t>,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 </w:t>
      </w:r>
      <w:r w:rsidR="007E0E3C">
        <w:rPr>
          <w:rFonts w:asciiTheme="majorBidi" w:hAnsiTheme="majorBidi" w:cstheme="majorBidi"/>
          <w:sz w:val="24"/>
          <w:szCs w:val="24"/>
        </w:rPr>
        <w:t>t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his shows that there </w:t>
      </w:r>
      <w:r w:rsidR="007E0E3C">
        <w:rPr>
          <w:rFonts w:asciiTheme="majorBidi" w:hAnsiTheme="majorBidi" w:cstheme="majorBidi"/>
          <w:sz w:val="24"/>
          <w:szCs w:val="24"/>
        </w:rPr>
        <w:t>is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 spatial autocorrelation at the level of </w:t>
      </w:r>
      <w:r w:rsidR="007E0E3C">
        <w:rPr>
          <w:rFonts w:asciiTheme="majorBidi" w:hAnsiTheme="majorBidi" w:cstheme="majorBidi"/>
          <w:sz w:val="24"/>
          <w:szCs w:val="24"/>
        </w:rPr>
        <w:t xml:space="preserve">provinces 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for </w:t>
      </w:r>
      <w:r w:rsidR="007E0E3C">
        <w:rPr>
          <w:rFonts w:asciiTheme="majorBidi" w:hAnsiTheme="majorBidi" w:cstheme="majorBidi"/>
          <w:sz w:val="24"/>
          <w:szCs w:val="24"/>
        </w:rPr>
        <w:t xml:space="preserve">mortality 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all </w:t>
      </w:r>
      <w:r w:rsidR="007E0E3C">
        <w:rPr>
          <w:rFonts w:asciiTheme="majorBidi" w:hAnsiTheme="majorBidi" w:cstheme="majorBidi"/>
          <w:sz w:val="24"/>
          <w:szCs w:val="24"/>
        </w:rPr>
        <w:t>cancers under study. The T</w:t>
      </w:r>
      <w:r w:rsidR="007E0E3C" w:rsidRPr="007E0E3C">
        <w:rPr>
          <w:rFonts w:asciiTheme="majorBidi" w:hAnsiTheme="majorBidi" w:cstheme="majorBidi"/>
          <w:sz w:val="24"/>
          <w:szCs w:val="24"/>
        </w:rPr>
        <w:t>able</w:t>
      </w:r>
      <w:r w:rsidR="007E0E3C">
        <w:rPr>
          <w:rFonts w:asciiTheme="majorBidi" w:hAnsiTheme="majorBidi" w:cstheme="majorBidi"/>
          <w:sz w:val="24"/>
          <w:szCs w:val="24"/>
        </w:rPr>
        <w:t xml:space="preserve"> 1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 shows the M</w:t>
      </w:r>
      <w:r w:rsidR="007E0E3C">
        <w:rPr>
          <w:rFonts w:asciiTheme="majorBidi" w:hAnsiTheme="majorBidi" w:cstheme="majorBidi"/>
          <w:sz w:val="24"/>
          <w:szCs w:val="24"/>
        </w:rPr>
        <w:t xml:space="preserve">I 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and </w:t>
      </w:r>
      <w:r w:rsidR="007E0E3C">
        <w:rPr>
          <w:rFonts w:asciiTheme="majorBidi" w:hAnsiTheme="majorBidi" w:cstheme="majorBidi"/>
          <w:sz w:val="24"/>
          <w:szCs w:val="24"/>
        </w:rPr>
        <w:t>P-Value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 for </w:t>
      </w:r>
      <w:r w:rsidR="007E0E3C">
        <w:rPr>
          <w:rFonts w:asciiTheme="majorBidi" w:hAnsiTheme="majorBidi" w:cstheme="majorBidi"/>
          <w:sz w:val="24"/>
          <w:szCs w:val="24"/>
        </w:rPr>
        <w:t xml:space="preserve">mortality of all </w:t>
      </w:r>
      <w:r w:rsidR="007E0E3C" w:rsidRPr="007E0E3C">
        <w:rPr>
          <w:rFonts w:asciiTheme="majorBidi" w:hAnsiTheme="majorBidi" w:cstheme="majorBidi"/>
          <w:sz w:val="24"/>
          <w:szCs w:val="24"/>
        </w:rPr>
        <w:t>cancer</w:t>
      </w:r>
      <w:r w:rsidR="007E0E3C">
        <w:rPr>
          <w:rFonts w:asciiTheme="majorBidi" w:hAnsiTheme="majorBidi" w:cstheme="majorBidi"/>
          <w:sz w:val="24"/>
          <w:szCs w:val="24"/>
        </w:rPr>
        <w:t>s</w:t>
      </w:r>
      <w:r w:rsidR="007E0E3C" w:rsidRPr="007E0E3C">
        <w:rPr>
          <w:rFonts w:asciiTheme="majorBidi" w:hAnsiTheme="majorBidi" w:cstheme="majorBidi"/>
          <w:sz w:val="24"/>
          <w:szCs w:val="24"/>
        </w:rPr>
        <w:t xml:space="preserve"> in 2015</w:t>
      </w:r>
      <w:r w:rsidR="007E0E3C">
        <w:rPr>
          <w:rStyle w:val="tlid-translation"/>
          <w:lang w:val="en"/>
        </w:rPr>
        <w:t>.</w:t>
      </w:r>
      <w:bookmarkStart w:id="0" w:name="_GoBack"/>
      <w:bookmarkEnd w:id="0"/>
    </w:p>
    <w:tbl>
      <w:tblPr>
        <w:tblStyle w:val="PlainTable2"/>
        <w:tblpPr w:leftFromText="180" w:rightFromText="180" w:vertAnchor="text" w:horzAnchor="margin" w:tblpXSpec="center" w:tblpY="273"/>
        <w:tblW w:w="0" w:type="auto"/>
        <w:tblLook w:val="04A0" w:firstRow="1" w:lastRow="0" w:firstColumn="1" w:lastColumn="0" w:noHBand="0" w:noVBand="1"/>
      </w:tblPr>
      <w:tblGrid>
        <w:gridCol w:w="3192"/>
        <w:gridCol w:w="1416"/>
        <w:gridCol w:w="2016"/>
      </w:tblGrid>
      <w:tr w:rsidR="00CD0BB5" w:rsidTr="00CD0B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4" w:type="dxa"/>
            <w:gridSpan w:val="3"/>
            <w:shd w:val="clear" w:color="auto" w:fill="F2F2F2" w:themeFill="background1" w:themeFillShade="F2"/>
          </w:tcPr>
          <w:p w:rsidR="00CD0BB5" w:rsidRPr="007E0E3C" w:rsidRDefault="00CD0BB5" w:rsidP="00CD0BB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E0E3C">
              <w:rPr>
                <w:rFonts w:asciiTheme="majorBidi" w:hAnsiTheme="majorBidi" w:cstheme="majorBidi"/>
                <w:sz w:val="24"/>
                <w:szCs w:val="24"/>
              </w:rPr>
              <w:t>Table 1. MI and P-Value for mortality of all cancers in 2015</w:t>
            </w:r>
          </w:p>
        </w:tc>
      </w:tr>
      <w:tr w:rsidR="00CD0BB5" w:rsidTr="00CD0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  <w:shd w:val="clear" w:color="auto" w:fill="F2F2F2" w:themeFill="background1" w:themeFillShade="F2"/>
          </w:tcPr>
          <w:p w:rsidR="00CD0BB5" w:rsidRPr="007E0E3C" w:rsidRDefault="00CD0BB5" w:rsidP="00CD0BB5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E0E3C">
              <w:rPr>
                <w:rFonts w:asciiTheme="majorBidi" w:hAnsiTheme="majorBidi" w:cstheme="majorBidi"/>
                <w:sz w:val="24"/>
                <w:szCs w:val="24"/>
              </w:rPr>
              <w:t>Mortality Rate</w:t>
            </w:r>
          </w:p>
        </w:tc>
        <w:tc>
          <w:tcPr>
            <w:tcW w:w="1416" w:type="dxa"/>
            <w:shd w:val="clear" w:color="auto" w:fill="F2F2F2" w:themeFill="background1" w:themeFillShade="F2"/>
          </w:tcPr>
          <w:p w:rsidR="00CD0BB5" w:rsidRPr="007E0E3C" w:rsidRDefault="00CD0BB5" w:rsidP="00CD0B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E0E3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</w:t>
            </w:r>
          </w:p>
        </w:tc>
        <w:tc>
          <w:tcPr>
            <w:tcW w:w="2016" w:type="dxa"/>
            <w:shd w:val="clear" w:color="auto" w:fill="F2F2F2" w:themeFill="background1" w:themeFillShade="F2"/>
          </w:tcPr>
          <w:p w:rsidR="00CD0BB5" w:rsidRPr="007E0E3C" w:rsidRDefault="00CD0BB5" w:rsidP="00CD0B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P-V</w:t>
            </w:r>
            <w:r w:rsidRPr="007E0E3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alue</w:t>
            </w:r>
          </w:p>
        </w:tc>
      </w:tr>
      <w:tr w:rsidR="00CD0BB5" w:rsidTr="00CD0B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CD0BB5" w:rsidRPr="007E0E3C" w:rsidRDefault="00CD0BB5" w:rsidP="00CD0BB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E0E3C">
              <w:rPr>
                <w:rFonts w:asciiTheme="majorBidi" w:hAnsiTheme="majorBidi" w:cstheme="majorBidi"/>
              </w:rPr>
              <w:t>Esophagus cancer</w:t>
            </w:r>
          </w:p>
        </w:tc>
        <w:tc>
          <w:tcPr>
            <w:tcW w:w="14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0.24</w:t>
            </w:r>
          </w:p>
        </w:tc>
        <w:tc>
          <w:tcPr>
            <w:tcW w:w="20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CD0BB5" w:rsidTr="00CD0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CD0BB5" w:rsidRPr="007E0E3C" w:rsidRDefault="00CD0BB5" w:rsidP="00CD0BB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E0E3C">
              <w:rPr>
                <w:rFonts w:asciiTheme="majorBidi" w:hAnsiTheme="majorBidi" w:cstheme="majorBidi"/>
              </w:rPr>
              <w:t>Colorectal cancer</w:t>
            </w:r>
          </w:p>
        </w:tc>
        <w:tc>
          <w:tcPr>
            <w:tcW w:w="14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0.17</w:t>
            </w:r>
          </w:p>
        </w:tc>
        <w:tc>
          <w:tcPr>
            <w:tcW w:w="20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CD0BB5" w:rsidTr="00CD0B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CD0BB5" w:rsidRPr="007E0E3C" w:rsidRDefault="00CD0BB5" w:rsidP="00CD0BB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E0E3C">
              <w:rPr>
                <w:rFonts w:asciiTheme="majorBidi" w:hAnsiTheme="majorBidi" w:cstheme="majorBidi"/>
              </w:rPr>
              <w:t>Gallbladder cancer</w:t>
            </w:r>
          </w:p>
        </w:tc>
        <w:tc>
          <w:tcPr>
            <w:tcW w:w="14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0.14</w:t>
            </w:r>
          </w:p>
        </w:tc>
        <w:tc>
          <w:tcPr>
            <w:tcW w:w="20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CD0BB5" w:rsidTr="00CD0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CD0BB5" w:rsidRPr="007E0E3C" w:rsidRDefault="00CD0BB5" w:rsidP="00CD0BB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E0E3C">
              <w:rPr>
                <w:rFonts w:asciiTheme="majorBidi" w:hAnsiTheme="majorBidi" w:cstheme="majorBidi"/>
              </w:rPr>
              <w:t>Pancreas cancer</w:t>
            </w:r>
          </w:p>
        </w:tc>
        <w:tc>
          <w:tcPr>
            <w:tcW w:w="14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0.09</w:t>
            </w:r>
          </w:p>
        </w:tc>
        <w:tc>
          <w:tcPr>
            <w:tcW w:w="20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0.02</w:t>
            </w:r>
          </w:p>
        </w:tc>
      </w:tr>
      <w:tr w:rsidR="00CD0BB5" w:rsidTr="00CD0B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CD0BB5" w:rsidRPr="007E0E3C" w:rsidRDefault="00CD0BB5" w:rsidP="00CD0BB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E0E3C">
              <w:rPr>
                <w:rFonts w:asciiTheme="majorBidi" w:hAnsiTheme="majorBidi" w:cstheme="majorBidi"/>
              </w:rPr>
              <w:t>Stomach cancer</w:t>
            </w:r>
          </w:p>
        </w:tc>
        <w:tc>
          <w:tcPr>
            <w:tcW w:w="14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0.28</w:t>
            </w:r>
          </w:p>
        </w:tc>
        <w:tc>
          <w:tcPr>
            <w:tcW w:w="20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CD0BB5" w:rsidTr="00CD0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CD0BB5" w:rsidRPr="007E0E3C" w:rsidRDefault="00CD0BB5" w:rsidP="00CD0BB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E0E3C">
              <w:rPr>
                <w:rFonts w:asciiTheme="majorBidi" w:hAnsiTheme="majorBidi" w:cstheme="majorBidi"/>
                <w:sz w:val="24"/>
                <w:szCs w:val="24"/>
              </w:rPr>
              <w:t xml:space="preserve">Liver cancer </w:t>
            </w:r>
          </w:p>
        </w:tc>
        <w:tc>
          <w:tcPr>
            <w:tcW w:w="14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0.06</w:t>
            </w:r>
          </w:p>
        </w:tc>
        <w:tc>
          <w:tcPr>
            <w:tcW w:w="2016" w:type="dxa"/>
          </w:tcPr>
          <w:p w:rsidR="00CD0BB5" w:rsidRPr="007E0E3C" w:rsidRDefault="00CD0BB5" w:rsidP="00CD0B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0.01</w:t>
            </w:r>
          </w:p>
        </w:tc>
      </w:tr>
    </w:tbl>
    <w:p w:rsidR="007E0E3C" w:rsidRDefault="007E0E3C" w:rsidP="003E2AF3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E0E3C" w:rsidRDefault="007E0E3C" w:rsidP="003E2AF3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E0E3C" w:rsidRDefault="007E0E3C" w:rsidP="003E2AF3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E0E3C" w:rsidRDefault="007E0E3C" w:rsidP="003E2AF3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E0E3C" w:rsidRDefault="007E0E3C" w:rsidP="003E2AF3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E0E3C" w:rsidRDefault="007E0E3C" w:rsidP="003E2AF3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E0E3C" w:rsidRDefault="007E0E3C" w:rsidP="003E2AF3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E0E3C" w:rsidRPr="00016252" w:rsidRDefault="007E0E3C" w:rsidP="003E2AF3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rtl/>
        </w:rPr>
      </w:pPr>
    </w:p>
    <w:sectPr w:rsidR="007E0E3C" w:rsidRPr="000162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C13459"/>
    <w:multiLevelType w:val="hybridMultilevel"/>
    <w:tmpl w:val="C7967CA2"/>
    <w:lvl w:ilvl="0" w:tplc="B096DA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5104E5"/>
    <w:multiLevelType w:val="hybridMultilevel"/>
    <w:tmpl w:val="51F6C988"/>
    <w:lvl w:ilvl="0" w:tplc="99E69750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A024DE"/>
    <w:multiLevelType w:val="hybridMultilevel"/>
    <w:tmpl w:val="A7448D32"/>
    <w:lvl w:ilvl="0" w:tplc="5C20CD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9B4"/>
    <w:rsid w:val="00016252"/>
    <w:rsid w:val="00265AA5"/>
    <w:rsid w:val="003A0AED"/>
    <w:rsid w:val="003D0B27"/>
    <w:rsid w:val="003E2AF3"/>
    <w:rsid w:val="007E0E3C"/>
    <w:rsid w:val="00A52A8D"/>
    <w:rsid w:val="00CD0BB5"/>
    <w:rsid w:val="00D9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AC297B-94D9-4563-AB8F-2F458B35E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6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25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2AF3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7E0E3C"/>
    <w:pPr>
      <w:spacing w:line="240" w:lineRule="auto"/>
    </w:pPr>
    <w:rPr>
      <w:rFonts w:ascii="Calibri" w:eastAsiaTheme="minorEastAsia" w:hAnsi="Calibri" w:cs="Calibri"/>
      <w:noProof/>
      <w:color w:val="595959" w:themeColor="text1" w:themeTint="A6"/>
      <w:lang w:eastAsia="ja-JP"/>
    </w:rPr>
  </w:style>
  <w:style w:type="character" w:customStyle="1" w:styleId="EndNoteBibliographyChar">
    <w:name w:val="EndNote Bibliography Char"/>
    <w:basedOn w:val="DefaultParagraphFont"/>
    <w:link w:val="EndNoteBibliography"/>
    <w:rsid w:val="007E0E3C"/>
    <w:rPr>
      <w:rFonts w:ascii="Calibri" w:eastAsiaTheme="minorEastAsia" w:hAnsi="Calibri" w:cs="Calibri"/>
      <w:noProof/>
      <w:color w:val="595959" w:themeColor="text1" w:themeTint="A6"/>
      <w:lang w:eastAsia="ja-JP"/>
    </w:rPr>
  </w:style>
  <w:style w:type="character" w:customStyle="1" w:styleId="tlid-translation">
    <w:name w:val="tlid-translation"/>
    <w:basedOn w:val="DefaultParagraphFont"/>
    <w:rsid w:val="007E0E3C"/>
  </w:style>
  <w:style w:type="table" w:styleId="TableGrid">
    <w:name w:val="Table Grid"/>
    <w:basedOn w:val="TableNormal"/>
    <w:uiPriority w:val="59"/>
    <w:rsid w:val="007E0E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7E0E3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shokri</dc:creator>
  <cp:keywords/>
  <dc:description/>
  <cp:lastModifiedBy>Kamyar</cp:lastModifiedBy>
  <cp:revision>4</cp:revision>
  <dcterms:created xsi:type="dcterms:W3CDTF">2020-05-20T17:58:00Z</dcterms:created>
  <dcterms:modified xsi:type="dcterms:W3CDTF">2020-05-20T18:14:00Z</dcterms:modified>
</cp:coreProperties>
</file>