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D477A" w14:textId="77777777" w:rsidR="00BB65DF" w:rsidRDefault="00000000">
      <w:pPr>
        <w:pStyle w:val="SupplementaryMaterial"/>
        <w:spacing w:before="0" w:after="0"/>
      </w:pPr>
      <w:r>
        <w:rPr>
          <w:rFonts w:hint="eastAsia"/>
        </w:rPr>
        <w:t>Appendix</w:t>
      </w:r>
    </w:p>
    <w:p w14:paraId="75FC1864" w14:textId="77777777" w:rsidR="00BB65DF" w:rsidRDefault="00BB65DF">
      <w:pPr>
        <w:ind w:firstLineChars="0" w:firstLine="0"/>
      </w:pPr>
    </w:p>
    <w:p w14:paraId="6340A4F2" w14:textId="77777777" w:rsidR="00BB65DF" w:rsidRDefault="00000000">
      <w:pPr>
        <w:pStyle w:val="1"/>
        <w:spacing w:before="0" w:after="0" w:line="360" w:lineRule="auto"/>
        <w:rPr>
          <w:rFonts w:eastAsia="宋体" w:cs="Times New Roman"/>
          <w:b w:val="0"/>
          <w:bCs w:val="0"/>
          <w:color w:val="000000" w:themeColor="text1"/>
          <w:kern w:val="0"/>
          <w:sz w:val="24"/>
          <w:szCs w:val="24"/>
          <w:lang w:bidi="ar"/>
        </w:rPr>
      </w:pPr>
      <w:r>
        <w:rPr>
          <w:rFonts w:eastAsia="宋体" w:cs="Times New Roman" w:hint="eastAsia"/>
          <w:color w:val="000000" w:themeColor="text1"/>
          <w:kern w:val="0"/>
          <w:sz w:val="24"/>
          <w:szCs w:val="24"/>
          <w:lang w:bidi="ar"/>
        </w:rPr>
        <w:t>Appendix A</w:t>
      </w:r>
      <w:r>
        <w:rPr>
          <w:rFonts w:eastAsia="宋体" w:cs="Times New Roman"/>
          <w:color w:val="000000" w:themeColor="text1"/>
          <w:kern w:val="0"/>
          <w:sz w:val="24"/>
          <w:szCs w:val="24"/>
          <w:lang w:bidi="ar"/>
        </w:rPr>
        <w:t xml:space="preserve"> </w:t>
      </w:r>
      <w:r>
        <w:rPr>
          <w:rFonts w:eastAsia="宋体" w:cs="Times New Roman" w:hint="eastAsia"/>
          <w:b w:val="0"/>
          <w:bCs w:val="0"/>
          <w:color w:val="000000" w:themeColor="text1"/>
          <w:kern w:val="0"/>
          <w:sz w:val="24"/>
          <w:szCs w:val="24"/>
          <w:lang w:bidi="ar"/>
        </w:rPr>
        <w:t>Implementation Strategy Function</w:t>
      </w:r>
    </w:p>
    <w:p w14:paraId="4204B20E" w14:textId="77777777" w:rsidR="00BB65DF" w:rsidRDefault="00BB65DF">
      <w:pPr>
        <w:pStyle w:val="aa"/>
        <w:widowControl/>
        <w:spacing w:beforeAutospacing="0" w:afterAutospacing="0"/>
        <w:ind w:firstLineChars="0" w:firstLine="0"/>
        <w:rPr>
          <w:color w:val="000000" w:themeColor="text1"/>
          <w:szCs w:val="24"/>
        </w:rPr>
      </w:pPr>
    </w:p>
    <w:p w14:paraId="492F8A45" w14:textId="77777777" w:rsidR="00BB65DF" w:rsidRDefault="00000000">
      <w:pPr>
        <w:pStyle w:val="1"/>
        <w:widowControl/>
        <w:spacing w:before="0" w:after="0" w:line="360" w:lineRule="auto"/>
        <w:rPr>
          <w:rFonts w:eastAsia="宋体" w:cs="Times New Roman"/>
          <w:b w:val="0"/>
          <w:bCs w:val="0"/>
          <w:color w:val="000000" w:themeColor="text1"/>
          <w:kern w:val="0"/>
          <w:sz w:val="24"/>
          <w:szCs w:val="24"/>
          <w:lang w:bidi="ar"/>
        </w:rPr>
      </w:pPr>
      <w:r>
        <w:rPr>
          <w:rFonts w:eastAsia="宋体" w:cs="Times New Roman" w:hint="eastAsia"/>
          <w:color w:val="000000" w:themeColor="text1"/>
          <w:kern w:val="0"/>
          <w:sz w:val="24"/>
          <w:szCs w:val="24"/>
          <w:lang w:bidi="ar"/>
        </w:rPr>
        <w:t xml:space="preserve">Appendix B </w:t>
      </w:r>
      <w:r>
        <w:rPr>
          <w:rFonts w:eastAsia="宋体" w:cs="Times New Roman" w:hint="eastAsia"/>
          <w:b w:val="0"/>
          <w:bCs w:val="0"/>
          <w:color w:val="000000" w:themeColor="text1"/>
          <w:kern w:val="0"/>
          <w:sz w:val="24"/>
          <w:szCs w:val="24"/>
          <w:lang w:bidi="ar"/>
        </w:rPr>
        <w:t xml:space="preserve">Core implementation strategies for brief smoking cessation intervention </w:t>
      </w:r>
      <w:proofErr w:type="spellStart"/>
      <w:r>
        <w:rPr>
          <w:rFonts w:eastAsia="宋体" w:cs="Times New Roman" w:hint="eastAsia"/>
          <w:b w:val="0"/>
          <w:bCs w:val="0"/>
          <w:color w:val="000000" w:themeColor="text1"/>
          <w:kern w:val="0"/>
          <w:sz w:val="24"/>
          <w:szCs w:val="24"/>
          <w:lang w:bidi="ar"/>
        </w:rPr>
        <w:t>programmes</w:t>
      </w:r>
      <w:proofErr w:type="spellEnd"/>
      <w:r>
        <w:rPr>
          <w:rFonts w:eastAsia="宋体" w:cs="Times New Roman" w:hint="eastAsia"/>
          <w:b w:val="0"/>
          <w:bCs w:val="0"/>
          <w:color w:val="000000" w:themeColor="text1"/>
          <w:kern w:val="0"/>
          <w:sz w:val="24"/>
          <w:szCs w:val="24"/>
          <w:lang w:bidi="ar"/>
        </w:rPr>
        <w:t xml:space="preserve"> based on the Proctor report specifications</w:t>
      </w:r>
    </w:p>
    <w:p w14:paraId="3FD841F9" w14:textId="77777777" w:rsidR="00BB65DF" w:rsidRDefault="00BB65DF"/>
    <w:p w14:paraId="6667BD2E" w14:textId="77777777" w:rsidR="00BB65DF" w:rsidRDefault="00000000">
      <w:pPr>
        <w:pStyle w:val="1"/>
        <w:spacing w:before="0" w:after="0" w:line="240" w:lineRule="auto"/>
        <w:rPr>
          <w:rFonts w:eastAsia="宋体" w:cs="Times New Roman"/>
          <w:b w:val="0"/>
          <w:bCs w:val="0"/>
          <w:color w:val="000000" w:themeColor="text1"/>
          <w:kern w:val="0"/>
          <w:sz w:val="24"/>
          <w:szCs w:val="24"/>
          <w:lang w:bidi="ar"/>
        </w:rPr>
      </w:pPr>
      <w:r>
        <w:rPr>
          <w:rFonts w:eastAsia="宋体" w:cs="Times New Roman" w:hint="eastAsia"/>
          <w:color w:val="000000" w:themeColor="text1"/>
          <w:kern w:val="0"/>
          <w:sz w:val="24"/>
          <w:szCs w:val="24"/>
          <w:lang w:bidi="ar"/>
        </w:rPr>
        <w:t xml:space="preserve">Appendix C </w:t>
      </w:r>
      <w:r>
        <w:rPr>
          <w:rFonts w:eastAsia="宋体" w:cs="Times New Roman"/>
          <w:b w:val="0"/>
          <w:bCs w:val="0"/>
          <w:color w:val="000000" w:themeColor="text1"/>
          <w:kern w:val="0"/>
          <w:sz w:val="24"/>
          <w:szCs w:val="24"/>
          <w:lang w:bidi="ar"/>
        </w:rPr>
        <w:t>Clinical scenario: a typical middle-aged undiagnosed type 2 diabetes Unannounced Standardized Patient (USP)</w:t>
      </w:r>
    </w:p>
    <w:p w14:paraId="34D171BE" w14:textId="77777777" w:rsidR="00BB65DF" w:rsidRDefault="00BB65DF"/>
    <w:p w14:paraId="62054C4E" w14:textId="77777777" w:rsidR="00BB65DF" w:rsidRDefault="00000000">
      <w:pPr>
        <w:pStyle w:val="1"/>
        <w:spacing w:before="0" w:after="0" w:line="360" w:lineRule="auto"/>
        <w:rPr>
          <w:rFonts w:eastAsia="宋体" w:cs="Times New Roman"/>
          <w:b w:val="0"/>
          <w:bCs w:val="0"/>
          <w:color w:val="000000" w:themeColor="text1"/>
          <w:kern w:val="0"/>
          <w:sz w:val="24"/>
          <w:szCs w:val="24"/>
          <w:lang w:bidi="ar"/>
        </w:rPr>
      </w:pPr>
      <w:r>
        <w:rPr>
          <w:rFonts w:eastAsia="宋体" w:cs="Times New Roman" w:hint="eastAsia"/>
          <w:color w:val="000000" w:themeColor="text1"/>
          <w:kern w:val="0"/>
          <w:sz w:val="24"/>
          <w:szCs w:val="24"/>
          <w:lang w:bidi="ar"/>
        </w:rPr>
        <w:t>Appendix D</w:t>
      </w:r>
      <w:r>
        <w:rPr>
          <w:rFonts w:eastAsia="宋体" w:cs="Times New Roman"/>
          <w:color w:val="000000" w:themeColor="text1"/>
          <w:kern w:val="0"/>
          <w:sz w:val="24"/>
          <w:szCs w:val="24"/>
          <w:lang w:bidi="ar"/>
        </w:rPr>
        <w:t xml:space="preserve"> </w:t>
      </w:r>
      <w:r>
        <w:rPr>
          <w:rFonts w:eastAsia="宋体" w:cs="Times New Roman"/>
          <w:b w:val="0"/>
          <w:bCs w:val="0"/>
          <w:color w:val="000000" w:themeColor="text1"/>
          <w:kern w:val="0"/>
          <w:sz w:val="24"/>
          <w:szCs w:val="24"/>
          <w:lang w:bidi="ar"/>
        </w:rPr>
        <w:t>Quality assessment checklist: a typical middle-aged undiagnosed type 2 diabetes USP</w:t>
      </w:r>
    </w:p>
    <w:p w14:paraId="004D34B7" w14:textId="77777777" w:rsidR="00BB65DF" w:rsidRDefault="00BB65DF"/>
    <w:p w14:paraId="2CEC04EF" w14:textId="77777777" w:rsidR="00BB65DF" w:rsidRDefault="00000000">
      <w:pPr>
        <w:pStyle w:val="1"/>
        <w:spacing w:before="0" w:after="0" w:line="360" w:lineRule="auto"/>
        <w:rPr>
          <w:rFonts w:cs="Times New Roman"/>
          <w:b w:val="0"/>
          <w:bCs w:val="0"/>
          <w:color w:val="000000" w:themeColor="text1"/>
          <w:sz w:val="24"/>
          <w:szCs w:val="24"/>
        </w:rPr>
      </w:pPr>
      <w:r>
        <w:rPr>
          <w:rFonts w:eastAsia="宋体" w:cs="Times New Roman" w:hint="eastAsia"/>
          <w:color w:val="000000" w:themeColor="text1"/>
          <w:kern w:val="0"/>
          <w:sz w:val="24"/>
          <w:szCs w:val="24"/>
          <w:lang w:bidi="ar"/>
        </w:rPr>
        <w:t>Appendix E</w:t>
      </w:r>
      <w:r>
        <w:rPr>
          <w:rFonts w:eastAsia="宋体" w:cs="Times New Roman"/>
          <w:color w:val="000000" w:themeColor="text1"/>
          <w:kern w:val="0"/>
          <w:sz w:val="24"/>
          <w:szCs w:val="24"/>
          <w:lang w:bidi="ar"/>
        </w:rPr>
        <w:t xml:space="preserve"> </w:t>
      </w:r>
      <w:r>
        <w:rPr>
          <w:rFonts w:eastAsia="宋体" w:cs="Times New Roman"/>
          <w:b w:val="0"/>
          <w:bCs w:val="0"/>
          <w:color w:val="000000" w:themeColor="text1"/>
          <w:kern w:val="0"/>
          <w:sz w:val="24"/>
          <w:szCs w:val="24"/>
          <w:lang w:bidi="ar"/>
        </w:rPr>
        <w:t>Questionnaire on the degree of implementation of regularization of BISC based on NPT</w:t>
      </w:r>
    </w:p>
    <w:p w14:paraId="7585FDFE" w14:textId="77777777" w:rsidR="00BB65DF" w:rsidRDefault="00BB65DF">
      <w:pPr>
        <w:pStyle w:val="a0"/>
        <w:ind w:left="480"/>
      </w:pPr>
    </w:p>
    <w:p w14:paraId="306DF834" w14:textId="77777777" w:rsidR="00BB65DF" w:rsidRDefault="00BB65DF">
      <w:pPr>
        <w:pStyle w:val="aa"/>
        <w:widowControl/>
        <w:spacing w:beforeAutospacing="0" w:afterAutospacing="0" w:line="240" w:lineRule="auto"/>
        <w:ind w:firstLineChars="0" w:firstLine="0"/>
        <w:rPr>
          <w:color w:val="000000" w:themeColor="text1"/>
        </w:rPr>
        <w:sectPr w:rsidR="00BB65D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0"/>
          <w:docGrid w:type="lines" w:linePitch="326"/>
        </w:sectPr>
      </w:pPr>
    </w:p>
    <w:p w14:paraId="05D7B158" w14:textId="77777777" w:rsidR="00BB65DF" w:rsidRDefault="00000000">
      <w:pPr>
        <w:pStyle w:val="2"/>
        <w:spacing w:line="480" w:lineRule="auto"/>
        <w:rPr>
          <w:rFonts w:eastAsiaTheme="minorEastAsia" w:cs="Times New Roman"/>
          <w:kern w:val="0"/>
        </w:rPr>
      </w:pPr>
      <w:r>
        <w:rPr>
          <w:rFonts w:eastAsia="宋体" w:cs="Times New Roman" w:hint="eastAsia"/>
          <w:color w:val="000000" w:themeColor="text1"/>
          <w:kern w:val="0"/>
          <w:szCs w:val="24"/>
          <w:lang w:bidi="ar"/>
        </w:rPr>
        <w:lastRenderedPageBreak/>
        <w:t xml:space="preserve">Appendix A </w:t>
      </w:r>
      <w:r>
        <w:rPr>
          <w:rFonts w:eastAsiaTheme="minorEastAsia" w:cs="Times New Roman" w:hint="eastAsia"/>
          <w:kern w:val="0"/>
        </w:rPr>
        <w:t>Implementation</w:t>
      </w:r>
      <w:r>
        <w:rPr>
          <w:rFonts w:eastAsiaTheme="minorEastAsia" w:cs="Times New Roman"/>
          <w:kern w:val="0"/>
        </w:rPr>
        <w:t xml:space="preserve"> Strategy </w:t>
      </w:r>
      <w:r>
        <w:rPr>
          <w:rFonts w:eastAsiaTheme="minorEastAsia" w:cs="Times New Roman" w:hint="eastAsia"/>
          <w:kern w:val="0"/>
        </w:rPr>
        <w:t>Function</w:t>
      </w:r>
    </w:p>
    <w:p w14:paraId="3EBB3743" w14:textId="6CEAE90D" w:rsidR="00BB65DF" w:rsidRDefault="00000000">
      <w:pPr>
        <w:spacing w:before="100" w:beforeAutospacing="1" w:after="100" w:afterAutospacing="1" w:line="480" w:lineRule="auto"/>
        <w:ind w:firstLine="560"/>
        <w:rPr>
          <w:rFonts w:cs="Times New Roman"/>
          <w:sz w:val="28"/>
          <w:szCs w:val="28"/>
        </w:rPr>
      </w:pPr>
      <w:r>
        <w:rPr>
          <w:rFonts w:cs="Times New Roman"/>
          <w:sz w:val="28"/>
          <w:szCs w:val="28"/>
        </w:rPr>
        <w:t>This process, guided by a scoping review</w:t>
      </w:r>
      <w:r>
        <w:rPr>
          <w:rFonts w:cs="Times New Roman"/>
          <w:sz w:val="28"/>
          <w:szCs w:val="28"/>
          <w:lang w:bidi="ar"/>
        </w:rPr>
        <w:fldChar w:fldCharType="begin"/>
      </w:r>
      <w:r w:rsidR="000424F9">
        <w:rPr>
          <w:rFonts w:cs="Times New Roman"/>
          <w:sz w:val="28"/>
          <w:szCs w:val="28"/>
          <w:lang w:bidi="ar"/>
        </w:rPr>
        <w:instrText xml:space="preserve"> ADDIN EN.CITE &lt;EndNote&gt;&lt;Cite&gt;&lt;Author&gt;Siyuan&lt;/Author&gt;&lt;Year&gt;2025&lt;/Year&gt;&lt;RecNum&gt;48093&lt;/RecNum&gt;&lt;DisplayText&gt;(1)&lt;/DisplayText&gt;&lt;record&gt;&lt;rec-number&gt;48093&lt;/rec-number&gt;&lt;foreign-keys&gt;&lt;key app="EN" db-id="zfs2dsset25afdefzf1xptxk20xp5srtzs0t" timestamp="1756909543"&gt;48093&lt;/key&gt;&lt;/foreign-keys&gt;&lt;ref-type name="Book"&gt;6&lt;/ref-type&gt;&lt;contributors&gt;&lt;authors&gt;&lt;author&gt;Siyuan, Liu&lt;/author&gt;&lt;author&gt;Chen, Jiangyun&lt;/author&gt;&lt;/authors&gt;&lt;/contributors&gt;&lt;titles&gt;&lt;title&gt;Using Consolidated Framework for Implementation Research to investigate facilitators and barriers of implementing Brief Intervention for Smoking Cessation among healthcare providers: a scoping review&lt;/title&gt;&lt;/titles&gt;&lt;dates&gt;&lt;year&gt;2025&lt;/year&gt;&lt;/dates&gt;&lt;urls&gt;&lt;/urls&gt;&lt;electronic-resource-num&gt;10.13140/RG.2.2.14263.18083&lt;/electronic-resource-num&gt;&lt;/record&gt;&lt;/Cite&gt;&lt;/EndNote&gt;</w:instrText>
      </w:r>
      <w:r>
        <w:rPr>
          <w:rFonts w:cs="Times New Roman"/>
          <w:sz w:val="28"/>
          <w:szCs w:val="28"/>
          <w:lang w:bidi="ar"/>
        </w:rPr>
        <w:fldChar w:fldCharType="separate"/>
      </w:r>
      <w:r w:rsidR="000424F9">
        <w:rPr>
          <w:rFonts w:cs="Times New Roman"/>
          <w:noProof/>
          <w:sz w:val="28"/>
          <w:szCs w:val="28"/>
          <w:lang w:bidi="ar"/>
        </w:rPr>
        <w:t>(1)</w:t>
      </w:r>
      <w:r>
        <w:rPr>
          <w:rFonts w:cs="Times New Roman"/>
          <w:sz w:val="28"/>
          <w:szCs w:val="28"/>
          <w:lang w:bidi="ar"/>
        </w:rPr>
        <w:fldChar w:fldCharType="end"/>
      </w:r>
      <w:r>
        <w:rPr>
          <w:rFonts w:cs="Times New Roman"/>
          <w:sz w:val="28"/>
          <w:szCs w:val="28"/>
        </w:rPr>
        <w:t>, stakeholder consultations, and a Best-Worst Scaling (BWS) online survey</w:t>
      </w:r>
      <w:r>
        <w:rPr>
          <w:rFonts w:cs="Times New Roman"/>
          <w:sz w:val="28"/>
          <w:szCs w:val="28"/>
          <w:lang w:bidi="ar"/>
        </w:rPr>
        <w:fldChar w:fldCharType="begin"/>
      </w:r>
      <w:r w:rsidR="000424F9">
        <w:rPr>
          <w:rFonts w:cs="Times New Roman"/>
          <w:sz w:val="28"/>
          <w:szCs w:val="28"/>
          <w:lang w:bidi="ar"/>
        </w:rPr>
        <w:instrText xml:space="preserve"> ADDIN EN.CITE &lt;EndNote&gt;&lt;Cite&gt;&lt;Author&gt;Chen&lt;/Author&gt;&lt;Year&gt;2025&lt;/Year&gt;&lt;RecNum&gt;48094&lt;/RecNum&gt;&lt;DisplayText&gt;(2)&lt;/DisplayText&gt;&lt;record&gt;&lt;rec-number&gt;48094&lt;/rec-number&gt;&lt;foreign-keys&gt;&lt;key app="EN" db-id="zfs2dsset25afdefzf1xptxk20xp5srtzs0t" timestamp="1756909597"&gt;48094&lt;/key&gt;&lt;/foreign-keys&gt;&lt;ref-type name="Book"&gt;6&lt;/ref-type&gt;&lt;contributors&gt;&lt;authors&gt;&lt;author&gt;Chen, Jiangyun&lt;/author&gt;&lt;author&gt;Wang, Lizhi&lt;/author&gt;&lt;/authors&gt;&lt;/contributors&gt;&lt;titles&gt;&lt;title&gt;Stakeholder-Driven Priorities for Implementing Brief Smoking Cessation Interventions: A Best-Worst Scaling Approach&lt;/title&gt;&lt;/titles&gt;&lt;dates&gt;&lt;year&gt;2025&lt;/year&gt;&lt;/dates&gt;&lt;urls&gt;&lt;/urls&gt;&lt;electronic-resource-num&gt;10.13140/RG.2.2.33478.33609&lt;/electronic-resource-num&gt;&lt;/record&gt;&lt;/Cite&gt;&lt;/EndNote&gt;</w:instrText>
      </w:r>
      <w:r>
        <w:rPr>
          <w:rFonts w:cs="Times New Roman"/>
          <w:sz w:val="28"/>
          <w:szCs w:val="28"/>
          <w:lang w:bidi="ar"/>
        </w:rPr>
        <w:fldChar w:fldCharType="separate"/>
      </w:r>
      <w:r w:rsidR="000424F9">
        <w:rPr>
          <w:rFonts w:cs="Times New Roman"/>
          <w:noProof/>
          <w:sz w:val="28"/>
          <w:szCs w:val="28"/>
          <w:lang w:bidi="ar"/>
        </w:rPr>
        <w:t>(2)</w:t>
      </w:r>
      <w:r>
        <w:rPr>
          <w:rFonts w:cs="Times New Roman"/>
          <w:sz w:val="28"/>
          <w:szCs w:val="28"/>
          <w:lang w:bidi="ar"/>
        </w:rPr>
        <w:fldChar w:fldCharType="end"/>
      </w:r>
      <w:r>
        <w:rPr>
          <w:rFonts w:cs="Times New Roman"/>
          <w:sz w:val="28"/>
          <w:szCs w:val="28"/>
        </w:rPr>
        <w:t>, identified four key strategy functions to be included in the factorial trial: altering incentive/allowance structures, identifying and preparing champions, conducting educational meetings, and assessing readiness and identifying barriers and facilitators.. Based on ethical and logistical considerations, the " assessing readiness and identifying barriers and facilitators " strategy will be a constant component, while the other three will serve as the optional components to be tested for their main and interaction effects.</w:t>
      </w:r>
    </w:p>
    <w:p w14:paraId="2F43EB52" w14:textId="77777777" w:rsidR="00BB65DF" w:rsidRDefault="00000000">
      <w:pPr>
        <w:spacing w:before="100" w:beforeAutospacing="1" w:after="100" w:afterAutospacing="1" w:line="480" w:lineRule="auto"/>
        <w:ind w:firstLine="560"/>
        <w:rPr>
          <w:rFonts w:eastAsiaTheme="minorEastAsia" w:cs="Times New Roman"/>
          <w:sz w:val="28"/>
          <w:szCs w:val="28"/>
        </w:rPr>
      </w:pPr>
      <w:r>
        <w:rPr>
          <w:rFonts w:cs="Times New Roman"/>
          <w:sz w:val="28"/>
          <w:szCs w:val="28"/>
        </w:rPr>
        <w:t>The optimization objectives for this study were definitively established, based on the specific implementation outcomes and constraints. The objective was to identify the most effective implementation strategy by balancing optimal outcomes with the established limitations, rather than solely maximizing outcomes. Through a stakeholder focus group, the barriers to BISC implementation were identified. These non-modifiable or difficult-to-modify barriers were then directly translated into the optimization constraints for the trial, with a specific focus on a cost constraint of 100 RMB and a time constraint of 3 minutes.</w:t>
      </w:r>
    </w:p>
    <w:p w14:paraId="27BB37D8" w14:textId="342F8EC7" w:rsidR="00FB7FCB" w:rsidRPr="00FB7FCB" w:rsidRDefault="00FB7FCB" w:rsidP="00FC5A6A">
      <w:pPr>
        <w:pStyle w:val="a0"/>
        <w:spacing w:after="0"/>
        <w:ind w:leftChars="0" w:left="0" w:firstLineChars="0" w:firstLine="0"/>
        <w:jc w:val="center"/>
        <w:rPr>
          <w:rFonts w:eastAsiaTheme="minorEastAsia" w:hint="eastAsia"/>
        </w:rPr>
      </w:pPr>
      <w:r>
        <w:rPr>
          <w:rFonts w:eastAsiaTheme="minorEastAsia" w:hint="eastAsia"/>
        </w:rPr>
        <w:t>Reference</w:t>
      </w:r>
    </w:p>
    <w:p w14:paraId="4348CEBC" w14:textId="77777777" w:rsidR="00FB7FCB" w:rsidRPr="00FB7FCB" w:rsidRDefault="00FB7FCB" w:rsidP="00FB7FCB">
      <w:pPr>
        <w:pStyle w:val="EndNoteBibliography"/>
        <w:ind w:firstLine="400"/>
        <w:rPr>
          <w:noProof/>
        </w:rPr>
      </w:pPr>
      <w:r>
        <w:rPr>
          <w:color w:val="000000" w:themeColor="text1"/>
        </w:rPr>
        <w:fldChar w:fldCharType="begin"/>
      </w:r>
      <w:r>
        <w:rPr>
          <w:color w:val="000000" w:themeColor="text1"/>
        </w:rPr>
        <w:instrText xml:space="preserve"> ADDIN EN.REFLIST </w:instrText>
      </w:r>
      <w:r>
        <w:rPr>
          <w:color w:val="000000" w:themeColor="text1"/>
        </w:rPr>
        <w:fldChar w:fldCharType="separate"/>
      </w:r>
      <w:r w:rsidRPr="00FB7FCB">
        <w:rPr>
          <w:noProof/>
        </w:rPr>
        <w:t>1.</w:t>
      </w:r>
      <w:r w:rsidRPr="00FB7FCB">
        <w:rPr>
          <w:noProof/>
        </w:rPr>
        <w:tab/>
        <w:t>Siyuan L, Chen J. Using Consolidated Framework for Implementation Research to investigate facilitators and barriers of implementing Brief Intervention for Smoking Cessation among healthcare providers: a scoping review2025.</w:t>
      </w:r>
    </w:p>
    <w:p w14:paraId="5B2FE9B2" w14:textId="77777777" w:rsidR="00FB7FCB" w:rsidRPr="00FB7FCB" w:rsidRDefault="00FB7FCB" w:rsidP="00FB7FCB">
      <w:pPr>
        <w:pStyle w:val="EndNoteBibliography"/>
        <w:ind w:firstLine="400"/>
        <w:rPr>
          <w:noProof/>
        </w:rPr>
      </w:pPr>
      <w:r w:rsidRPr="00FB7FCB">
        <w:rPr>
          <w:noProof/>
        </w:rPr>
        <w:t>2.</w:t>
      </w:r>
      <w:r w:rsidRPr="00FB7FCB">
        <w:rPr>
          <w:noProof/>
        </w:rPr>
        <w:tab/>
        <w:t>Chen J, Wang L. Stakeholder-Driven Priorities for Implementing Brief Smoking Cessation Interventions: A Best-Worst Scaling Approach2025.</w:t>
      </w:r>
    </w:p>
    <w:p w14:paraId="2D1DB4CA" w14:textId="582544FA" w:rsidR="00BB65DF" w:rsidRDefault="00FB7FCB" w:rsidP="00FB7FCB">
      <w:pPr>
        <w:rPr>
          <w:rFonts w:eastAsiaTheme="minorEastAsia" w:cs="Times New Roman"/>
          <w:sz w:val="28"/>
          <w:szCs w:val="28"/>
        </w:rPr>
      </w:pPr>
      <w:r>
        <w:rPr>
          <w:color w:val="000000" w:themeColor="text1"/>
        </w:rPr>
        <w:fldChar w:fldCharType="end"/>
      </w:r>
    </w:p>
    <w:p w14:paraId="01ECC8CB" w14:textId="77777777" w:rsidR="00FB7FCB" w:rsidRDefault="00FB7FCB" w:rsidP="00FB7FCB">
      <w:pPr>
        <w:pStyle w:val="a0"/>
        <w:ind w:left="480"/>
        <w:rPr>
          <w:rFonts w:eastAsiaTheme="minorEastAsia"/>
        </w:rPr>
      </w:pPr>
    </w:p>
    <w:p w14:paraId="5BA7646E" w14:textId="77777777" w:rsidR="00FB7FCB" w:rsidRPr="00FB7FCB" w:rsidRDefault="00FB7FCB" w:rsidP="00FB7FCB">
      <w:pPr>
        <w:pStyle w:val="a0"/>
        <w:ind w:leftChars="0" w:left="0" w:firstLineChars="0" w:firstLine="0"/>
        <w:rPr>
          <w:rFonts w:eastAsiaTheme="minorEastAsia" w:hint="eastAsia"/>
        </w:rPr>
        <w:sectPr w:rsidR="00FB7FCB" w:rsidRPr="00FB7FCB">
          <w:pgSz w:w="12587" w:h="17861"/>
          <w:pgMar w:top="1440" w:right="1080" w:bottom="1440" w:left="1080" w:header="851" w:footer="680" w:gutter="0"/>
          <w:cols w:space="0"/>
          <w:docGrid w:type="lines" w:linePitch="326"/>
        </w:sectPr>
      </w:pPr>
    </w:p>
    <w:p w14:paraId="3FC4C047" w14:textId="77777777" w:rsidR="00BB65DF" w:rsidRDefault="00BB65DF">
      <w:pPr>
        <w:pStyle w:val="a0"/>
        <w:ind w:leftChars="0" w:left="0" w:firstLineChars="0" w:firstLine="0"/>
      </w:pPr>
    </w:p>
    <w:p w14:paraId="7A114858" w14:textId="77777777" w:rsidR="00BB65DF" w:rsidRDefault="00000000">
      <w:pPr>
        <w:ind w:firstLine="482"/>
        <w:rPr>
          <w:rFonts w:ascii="Calibri" w:eastAsia="宋体" w:hAnsi="Calibri" w:cs="Times New Roman"/>
          <w:szCs w:val="24"/>
        </w:rPr>
      </w:pPr>
      <w:r>
        <w:rPr>
          <w:rFonts w:eastAsia="宋体" w:cs="Times New Roman" w:hint="eastAsia"/>
          <w:b/>
          <w:bCs/>
          <w:color w:val="000000" w:themeColor="text1"/>
          <w:kern w:val="0"/>
          <w:szCs w:val="24"/>
          <w:lang w:bidi="ar"/>
        </w:rPr>
        <w:t>Appendix B</w:t>
      </w:r>
      <w:r>
        <w:rPr>
          <w:rFonts w:eastAsia="宋体" w:cs="Times New Roman"/>
          <w:b/>
          <w:bCs/>
          <w:szCs w:val="24"/>
          <w:lang w:bidi="ar"/>
        </w:rPr>
        <w:t xml:space="preserve"> Core implementation strategies for brief smoking cessation intervention </w:t>
      </w:r>
      <w:proofErr w:type="spellStart"/>
      <w:r>
        <w:rPr>
          <w:rFonts w:eastAsia="宋体" w:cs="Times New Roman"/>
          <w:b/>
          <w:bCs/>
          <w:szCs w:val="24"/>
          <w:lang w:bidi="ar"/>
        </w:rPr>
        <w:t>programmes</w:t>
      </w:r>
      <w:proofErr w:type="spellEnd"/>
      <w:r>
        <w:rPr>
          <w:rFonts w:eastAsia="宋体" w:cs="Times New Roman"/>
          <w:b/>
          <w:bCs/>
          <w:szCs w:val="24"/>
          <w:lang w:bidi="ar"/>
        </w:rPr>
        <w:t xml:space="preserve"> based on the Proctor report specifications</w:t>
      </w:r>
    </w:p>
    <w:tbl>
      <w:tblPr>
        <w:tblW w:w="4998" w:type="pct"/>
        <w:tblBorders>
          <w:top w:val="outset" w:sz="0" w:space="0" w:color="auto"/>
          <w:left w:val="outset" w:sz="0" w:space="0" w:color="auto"/>
          <w:bottom w:val="outset" w:sz="0" w:space="0" w:color="auto"/>
          <w:right w:val="outset" w:sz="0"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1299"/>
        <w:gridCol w:w="2522"/>
        <w:gridCol w:w="1815"/>
        <w:gridCol w:w="1402"/>
        <w:gridCol w:w="1608"/>
        <w:gridCol w:w="1959"/>
        <w:gridCol w:w="1881"/>
        <w:gridCol w:w="2489"/>
      </w:tblGrid>
      <w:tr w:rsidR="00BB65DF" w14:paraId="5381D159" w14:textId="77777777">
        <w:trPr>
          <w:trHeight w:val="777"/>
        </w:trPr>
        <w:tc>
          <w:tcPr>
            <w:tcW w:w="434" w:type="pct"/>
            <w:tcBorders>
              <w:top w:val="single" w:sz="12" w:space="0" w:color="auto"/>
              <w:left w:val="nil"/>
              <w:bottom w:val="single" w:sz="4" w:space="0" w:color="000000"/>
              <w:right w:val="nil"/>
            </w:tcBorders>
            <w:shd w:val="clear" w:color="auto" w:fill="FFFFFF"/>
            <w:tcMar>
              <w:top w:w="0" w:type="dxa"/>
              <w:left w:w="108" w:type="dxa"/>
              <w:bottom w:w="0" w:type="dxa"/>
              <w:right w:w="108" w:type="dxa"/>
            </w:tcMar>
            <w:vAlign w:val="center"/>
          </w:tcPr>
          <w:p w14:paraId="04114F09" w14:textId="77777777" w:rsidR="00BB65DF" w:rsidRDefault="00000000">
            <w:pPr>
              <w:autoSpaceDE w:val="0"/>
              <w:snapToGrid w:val="0"/>
              <w:spacing w:line="240" w:lineRule="auto"/>
              <w:ind w:firstLineChars="0" w:firstLine="0"/>
              <w:jc w:val="center"/>
              <w:rPr>
                <w:rFonts w:eastAsia="宋体" w:cs="Times New Roman"/>
                <w:b/>
                <w:sz w:val="20"/>
                <w:szCs w:val="20"/>
              </w:rPr>
            </w:pPr>
            <w:r>
              <w:rPr>
                <w:rFonts w:eastAsia="宋体" w:cs="Times New Roman"/>
                <w:b/>
                <w:color w:val="000000"/>
                <w:kern w:val="0"/>
                <w:sz w:val="18"/>
                <w:szCs w:val="18"/>
                <w:lang w:bidi="ar"/>
              </w:rPr>
              <w:t>Strategy</w:t>
            </w:r>
          </w:p>
        </w:tc>
        <w:tc>
          <w:tcPr>
            <w:tcW w:w="841" w:type="pct"/>
            <w:tcBorders>
              <w:top w:val="single" w:sz="12" w:space="0" w:color="auto"/>
              <w:left w:val="nil"/>
              <w:bottom w:val="single" w:sz="4" w:space="0" w:color="000000"/>
              <w:right w:val="nil"/>
            </w:tcBorders>
            <w:shd w:val="clear" w:color="auto" w:fill="FFFFFF"/>
            <w:tcMar>
              <w:top w:w="0" w:type="dxa"/>
              <w:left w:w="108" w:type="dxa"/>
              <w:bottom w:w="0" w:type="dxa"/>
              <w:right w:w="108" w:type="dxa"/>
            </w:tcMar>
            <w:vAlign w:val="center"/>
          </w:tcPr>
          <w:p w14:paraId="2711B183" w14:textId="77777777" w:rsidR="00BB65DF" w:rsidRDefault="00000000">
            <w:pPr>
              <w:widowControl/>
              <w:autoSpaceDE w:val="0"/>
              <w:snapToGrid w:val="0"/>
              <w:spacing w:line="240" w:lineRule="auto"/>
              <w:ind w:firstLineChars="0" w:firstLine="0"/>
              <w:jc w:val="center"/>
              <w:textAlignment w:val="center"/>
              <w:rPr>
                <w:rFonts w:eastAsia="宋体" w:cs="Times New Roman"/>
                <w:sz w:val="20"/>
                <w:szCs w:val="20"/>
              </w:rPr>
            </w:pPr>
            <w:r>
              <w:rPr>
                <w:rFonts w:eastAsia="宋体" w:cs="Times New Roman"/>
                <w:b/>
                <w:kern w:val="0"/>
                <w:sz w:val="20"/>
                <w:szCs w:val="20"/>
                <w:lang w:bidi="ar"/>
              </w:rPr>
              <w:t>Action</w:t>
            </w:r>
          </w:p>
        </w:tc>
        <w:tc>
          <w:tcPr>
            <w:tcW w:w="606" w:type="pct"/>
            <w:tcBorders>
              <w:top w:val="single" w:sz="12" w:space="0" w:color="auto"/>
              <w:left w:val="nil"/>
              <w:bottom w:val="single" w:sz="4" w:space="0" w:color="auto"/>
              <w:right w:val="nil"/>
            </w:tcBorders>
            <w:shd w:val="clear" w:color="auto" w:fill="FFFFFF"/>
            <w:tcMar>
              <w:top w:w="0" w:type="dxa"/>
              <w:left w:w="108" w:type="dxa"/>
              <w:bottom w:w="0" w:type="dxa"/>
              <w:right w:w="108" w:type="dxa"/>
            </w:tcMar>
            <w:vAlign w:val="center"/>
          </w:tcPr>
          <w:p w14:paraId="6CD3ACA1" w14:textId="77777777" w:rsidR="00BB65DF" w:rsidRDefault="00000000">
            <w:pPr>
              <w:widowControl/>
              <w:autoSpaceDE w:val="0"/>
              <w:snapToGrid w:val="0"/>
              <w:spacing w:line="240" w:lineRule="auto"/>
              <w:ind w:firstLineChars="0" w:firstLine="0"/>
              <w:jc w:val="center"/>
              <w:textAlignment w:val="center"/>
              <w:rPr>
                <w:rFonts w:eastAsia="宋体" w:cs="Times New Roman"/>
                <w:sz w:val="20"/>
                <w:szCs w:val="20"/>
              </w:rPr>
            </w:pPr>
            <w:r>
              <w:rPr>
                <w:rFonts w:eastAsia="宋体" w:cs="Times New Roman"/>
                <w:b/>
                <w:kern w:val="0"/>
                <w:sz w:val="20"/>
                <w:szCs w:val="20"/>
                <w:lang w:bidi="ar"/>
              </w:rPr>
              <w:t>Actor</w:t>
            </w:r>
          </w:p>
        </w:tc>
        <w:tc>
          <w:tcPr>
            <w:tcW w:w="468" w:type="pct"/>
            <w:tcBorders>
              <w:top w:val="single" w:sz="12" w:space="0" w:color="auto"/>
              <w:left w:val="nil"/>
              <w:bottom w:val="single" w:sz="4" w:space="0" w:color="000000"/>
              <w:right w:val="nil"/>
            </w:tcBorders>
            <w:shd w:val="clear" w:color="auto" w:fill="FFFFFF"/>
            <w:tcMar>
              <w:top w:w="0" w:type="dxa"/>
              <w:left w:w="108" w:type="dxa"/>
              <w:bottom w:w="0" w:type="dxa"/>
              <w:right w:w="108" w:type="dxa"/>
            </w:tcMar>
            <w:vAlign w:val="center"/>
          </w:tcPr>
          <w:p w14:paraId="0F92859E" w14:textId="77777777" w:rsidR="00BB65DF" w:rsidRDefault="00000000">
            <w:pPr>
              <w:widowControl/>
              <w:autoSpaceDE w:val="0"/>
              <w:snapToGrid w:val="0"/>
              <w:spacing w:line="240" w:lineRule="auto"/>
              <w:ind w:firstLineChars="0" w:firstLine="0"/>
              <w:jc w:val="center"/>
              <w:textAlignment w:val="center"/>
              <w:rPr>
                <w:rFonts w:eastAsia="宋体" w:cs="Times New Roman"/>
                <w:sz w:val="20"/>
                <w:szCs w:val="20"/>
              </w:rPr>
            </w:pPr>
            <w:r>
              <w:rPr>
                <w:rFonts w:eastAsia="宋体" w:cs="Times New Roman"/>
                <w:b/>
                <w:kern w:val="0"/>
                <w:sz w:val="20"/>
                <w:szCs w:val="20"/>
                <w:lang w:bidi="ar"/>
              </w:rPr>
              <w:t>Action Target</w:t>
            </w:r>
          </w:p>
        </w:tc>
        <w:tc>
          <w:tcPr>
            <w:tcW w:w="537" w:type="pct"/>
            <w:tcBorders>
              <w:top w:val="single" w:sz="12" w:space="0" w:color="auto"/>
              <w:left w:val="nil"/>
              <w:bottom w:val="single" w:sz="4" w:space="0" w:color="000000"/>
              <w:right w:val="nil"/>
            </w:tcBorders>
            <w:shd w:val="clear" w:color="auto" w:fill="FFFFFF"/>
            <w:tcMar>
              <w:top w:w="0" w:type="dxa"/>
              <w:left w:w="108" w:type="dxa"/>
              <w:bottom w:w="0" w:type="dxa"/>
              <w:right w:w="108" w:type="dxa"/>
            </w:tcMar>
            <w:vAlign w:val="center"/>
          </w:tcPr>
          <w:p w14:paraId="031CABE2" w14:textId="77777777" w:rsidR="00BB65DF" w:rsidRDefault="00000000">
            <w:pPr>
              <w:widowControl/>
              <w:autoSpaceDE w:val="0"/>
              <w:snapToGrid w:val="0"/>
              <w:spacing w:line="240" w:lineRule="auto"/>
              <w:ind w:firstLineChars="0" w:firstLine="0"/>
              <w:jc w:val="center"/>
              <w:textAlignment w:val="center"/>
              <w:rPr>
                <w:rFonts w:eastAsia="宋体" w:cs="Times New Roman"/>
                <w:sz w:val="20"/>
                <w:szCs w:val="20"/>
              </w:rPr>
            </w:pPr>
            <w:r>
              <w:rPr>
                <w:rFonts w:eastAsia="宋体" w:cs="Times New Roman"/>
                <w:b/>
                <w:kern w:val="0"/>
                <w:sz w:val="20"/>
                <w:szCs w:val="20"/>
                <w:lang w:bidi="ar"/>
              </w:rPr>
              <w:t>Temporality</w:t>
            </w:r>
          </w:p>
        </w:tc>
        <w:tc>
          <w:tcPr>
            <w:tcW w:w="653" w:type="pct"/>
            <w:tcBorders>
              <w:top w:val="single" w:sz="12" w:space="0" w:color="auto"/>
              <w:left w:val="nil"/>
              <w:bottom w:val="single" w:sz="4" w:space="0" w:color="000000"/>
              <w:right w:val="nil"/>
            </w:tcBorders>
            <w:shd w:val="clear" w:color="auto" w:fill="FFFFFF"/>
            <w:tcMar>
              <w:top w:w="0" w:type="dxa"/>
              <w:left w:w="108" w:type="dxa"/>
              <w:bottom w:w="0" w:type="dxa"/>
              <w:right w:w="108" w:type="dxa"/>
            </w:tcMar>
            <w:vAlign w:val="center"/>
          </w:tcPr>
          <w:p w14:paraId="7DFABA64" w14:textId="77777777" w:rsidR="00BB65DF" w:rsidRDefault="00000000">
            <w:pPr>
              <w:widowControl/>
              <w:autoSpaceDE w:val="0"/>
              <w:snapToGrid w:val="0"/>
              <w:spacing w:line="240" w:lineRule="auto"/>
              <w:ind w:firstLineChars="0" w:firstLine="0"/>
              <w:jc w:val="center"/>
              <w:textAlignment w:val="center"/>
              <w:rPr>
                <w:rFonts w:eastAsia="宋体" w:cs="Times New Roman"/>
                <w:sz w:val="20"/>
                <w:szCs w:val="20"/>
              </w:rPr>
            </w:pPr>
            <w:r>
              <w:rPr>
                <w:rFonts w:eastAsia="宋体" w:cs="Times New Roman"/>
                <w:b/>
                <w:kern w:val="0"/>
                <w:sz w:val="20"/>
                <w:szCs w:val="20"/>
                <w:lang w:bidi="ar"/>
              </w:rPr>
              <w:t>Dose</w:t>
            </w:r>
          </w:p>
        </w:tc>
        <w:tc>
          <w:tcPr>
            <w:tcW w:w="627" w:type="pct"/>
            <w:tcBorders>
              <w:top w:val="single" w:sz="12" w:space="0" w:color="auto"/>
              <w:left w:val="nil"/>
              <w:bottom w:val="single" w:sz="4" w:space="0" w:color="auto"/>
              <w:right w:val="nil"/>
            </w:tcBorders>
            <w:shd w:val="clear" w:color="auto" w:fill="FFFFFF"/>
            <w:tcMar>
              <w:top w:w="0" w:type="dxa"/>
              <w:left w:w="108" w:type="dxa"/>
              <w:bottom w:w="0" w:type="dxa"/>
              <w:right w:w="108" w:type="dxa"/>
            </w:tcMar>
          </w:tcPr>
          <w:p w14:paraId="16CD7E80" w14:textId="77777777" w:rsidR="00BB65DF" w:rsidRDefault="00000000">
            <w:pPr>
              <w:snapToGrid w:val="0"/>
              <w:spacing w:line="240" w:lineRule="auto"/>
              <w:ind w:firstLineChars="0" w:firstLine="0"/>
              <w:jc w:val="center"/>
              <w:textAlignment w:val="center"/>
              <w:rPr>
                <w:rFonts w:eastAsia="宋体" w:cs="Times New Roman"/>
                <w:b/>
                <w:sz w:val="20"/>
                <w:szCs w:val="20"/>
              </w:rPr>
            </w:pPr>
            <w:r>
              <w:rPr>
                <w:rFonts w:eastAsia="宋体" w:cs="Times New Roman"/>
                <w:b/>
                <w:sz w:val="20"/>
                <w:szCs w:val="20"/>
                <w:lang w:bidi="ar"/>
              </w:rPr>
              <w:t>Affected implementation outcomes</w:t>
            </w:r>
          </w:p>
        </w:tc>
        <w:tc>
          <w:tcPr>
            <w:tcW w:w="830" w:type="pct"/>
            <w:tcBorders>
              <w:top w:val="single" w:sz="12" w:space="0" w:color="auto"/>
              <w:left w:val="nil"/>
              <w:bottom w:val="single" w:sz="4" w:space="0" w:color="auto"/>
              <w:right w:val="nil"/>
            </w:tcBorders>
            <w:shd w:val="clear" w:color="auto" w:fill="FFFFFF"/>
            <w:tcMar>
              <w:top w:w="0" w:type="dxa"/>
              <w:left w:w="108" w:type="dxa"/>
              <w:bottom w:w="0" w:type="dxa"/>
              <w:right w:w="108" w:type="dxa"/>
            </w:tcMar>
            <w:vAlign w:val="center"/>
          </w:tcPr>
          <w:p w14:paraId="647ABBC1" w14:textId="77777777" w:rsidR="00BB65DF" w:rsidRDefault="00000000">
            <w:pPr>
              <w:widowControl/>
              <w:autoSpaceDE w:val="0"/>
              <w:snapToGrid w:val="0"/>
              <w:spacing w:line="240" w:lineRule="auto"/>
              <w:ind w:firstLineChars="0" w:firstLine="0"/>
              <w:jc w:val="center"/>
              <w:textAlignment w:val="center"/>
              <w:rPr>
                <w:rFonts w:eastAsia="宋体" w:cs="Times New Roman"/>
                <w:b/>
                <w:sz w:val="20"/>
                <w:szCs w:val="20"/>
              </w:rPr>
            </w:pPr>
            <w:r>
              <w:rPr>
                <w:rFonts w:eastAsia="宋体" w:cs="Times New Roman"/>
                <w:b/>
                <w:kern w:val="0"/>
                <w:sz w:val="20"/>
                <w:szCs w:val="20"/>
                <w:lang w:bidi="ar"/>
              </w:rPr>
              <w:t>Reason</w:t>
            </w:r>
          </w:p>
        </w:tc>
      </w:tr>
      <w:tr w:rsidR="00BB65DF" w14:paraId="217EE43F" w14:textId="77777777">
        <w:trPr>
          <w:trHeight w:val="2411"/>
        </w:trPr>
        <w:tc>
          <w:tcPr>
            <w:tcW w:w="434" w:type="pct"/>
            <w:vMerge w:val="restart"/>
            <w:tcBorders>
              <w:top w:val="nil"/>
              <w:left w:val="nil"/>
              <w:bottom w:val="nil"/>
              <w:right w:val="nil"/>
            </w:tcBorders>
            <w:shd w:val="clear" w:color="auto" w:fill="FFFFFF"/>
            <w:tcMar>
              <w:top w:w="0" w:type="dxa"/>
              <w:left w:w="108" w:type="dxa"/>
              <w:bottom w:w="0" w:type="dxa"/>
              <w:right w:w="108" w:type="dxa"/>
            </w:tcMar>
          </w:tcPr>
          <w:p w14:paraId="3649354D" w14:textId="77777777" w:rsidR="00BB65DF" w:rsidRDefault="00000000">
            <w:pPr>
              <w:snapToGrid w:val="0"/>
              <w:spacing w:line="240" w:lineRule="auto"/>
              <w:ind w:firstLineChars="0" w:firstLine="0"/>
              <w:rPr>
                <w:rFonts w:eastAsia="宋体" w:cs="Times New Roman"/>
                <w:b/>
                <w:color w:val="000000"/>
                <w:sz w:val="18"/>
                <w:szCs w:val="18"/>
              </w:rPr>
            </w:pPr>
            <w:proofErr w:type="spellStart"/>
            <w:proofErr w:type="gramStart"/>
            <w:r>
              <w:rPr>
                <w:rFonts w:eastAsia="宋体" w:cs="Times New Roman"/>
                <w:b/>
                <w:color w:val="000000"/>
                <w:sz w:val="18"/>
                <w:szCs w:val="18"/>
                <w:lang w:bidi="ar"/>
              </w:rPr>
              <w:t>A.Assessing</w:t>
            </w:r>
            <w:proofErr w:type="spellEnd"/>
            <w:proofErr w:type="gramEnd"/>
            <w:r>
              <w:rPr>
                <w:rFonts w:eastAsia="宋体" w:cs="Times New Roman"/>
                <w:b/>
                <w:color w:val="000000"/>
                <w:sz w:val="18"/>
                <w:szCs w:val="18"/>
                <w:lang w:bidi="ar"/>
              </w:rPr>
              <w:t xml:space="preserve"> Readiness and Identifying Barriers and Facilitators</w:t>
            </w:r>
          </w:p>
          <w:p w14:paraId="318E8904" w14:textId="77777777" w:rsidR="00BB65DF" w:rsidRDefault="00BB65DF">
            <w:pPr>
              <w:snapToGrid w:val="0"/>
              <w:spacing w:line="240" w:lineRule="auto"/>
              <w:ind w:firstLineChars="0" w:firstLine="0"/>
              <w:rPr>
                <w:rFonts w:eastAsia="宋体" w:cs="Times New Roman"/>
                <w:b/>
                <w:color w:val="000000"/>
                <w:sz w:val="18"/>
                <w:szCs w:val="18"/>
              </w:rPr>
            </w:pPr>
          </w:p>
        </w:tc>
        <w:tc>
          <w:tcPr>
            <w:tcW w:w="841" w:type="pct"/>
            <w:tcBorders>
              <w:top w:val="single" w:sz="4" w:space="0" w:color="000000"/>
              <w:left w:val="nil"/>
              <w:bottom w:val="nil"/>
              <w:right w:val="nil"/>
            </w:tcBorders>
            <w:shd w:val="clear" w:color="auto" w:fill="FFFFFF"/>
            <w:tcMar>
              <w:top w:w="0" w:type="dxa"/>
              <w:left w:w="108" w:type="dxa"/>
              <w:bottom w:w="0" w:type="dxa"/>
              <w:right w:w="108" w:type="dxa"/>
            </w:tcMar>
          </w:tcPr>
          <w:p w14:paraId="442B2137" w14:textId="77777777" w:rsidR="00BB65DF" w:rsidRDefault="00000000">
            <w:pPr>
              <w:snapToGrid w:val="0"/>
              <w:spacing w:line="240" w:lineRule="auto"/>
              <w:ind w:rightChars="-100" w:right="-240" w:firstLineChars="0" w:firstLine="0"/>
              <w:rPr>
                <w:rFonts w:eastAsia="宋体" w:cs="Times New Roman"/>
                <w:b/>
                <w:color w:val="000000"/>
                <w:sz w:val="18"/>
                <w:szCs w:val="18"/>
              </w:rPr>
            </w:pPr>
            <w:r>
              <w:rPr>
                <w:rFonts w:eastAsia="宋体" w:cs="Times New Roman"/>
                <w:b/>
                <w:color w:val="000000"/>
                <w:sz w:val="18"/>
                <w:szCs w:val="18"/>
                <w:lang w:bidi="ar"/>
              </w:rPr>
              <w:t xml:space="preserve">A1. Assessing readiness: </w:t>
            </w:r>
            <w:r>
              <w:rPr>
                <w:rFonts w:eastAsia="宋体" w:cs="Times New Roman"/>
                <w:color w:val="000000"/>
                <w:sz w:val="18"/>
                <w:szCs w:val="18"/>
                <w:lang w:bidi="ar"/>
              </w:rPr>
              <w:t xml:space="preserve">Employ the validated, Chinese-translated </w:t>
            </w:r>
            <w:proofErr w:type="spellStart"/>
            <w:r>
              <w:rPr>
                <w:rFonts w:eastAsia="宋体" w:cs="Times New Roman"/>
                <w:color w:val="000000"/>
                <w:sz w:val="18"/>
                <w:szCs w:val="18"/>
                <w:lang w:bidi="ar"/>
              </w:rPr>
              <w:t>Organisation</w:t>
            </w:r>
            <w:proofErr w:type="spellEnd"/>
            <w:r>
              <w:rPr>
                <w:rFonts w:eastAsia="宋体" w:cs="Times New Roman"/>
                <w:color w:val="000000"/>
                <w:sz w:val="18"/>
                <w:szCs w:val="18"/>
                <w:lang w:bidi="ar"/>
              </w:rPr>
              <w:t xml:space="preserve"> Readiness for Evidence-Based Practice (ORIEBP) assessment tool (5 dimensions, 32 items, 5-point Likert scale plus 0/1 binary scoring). Collect data from all clinicians and managers within each </w:t>
            </w:r>
            <w:proofErr w:type="spellStart"/>
            <w:r>
              <w:rPr>
                <w:rFonts w:eastAsia="宋体" w:cs="Times New Roman"/>
                <w:color w:val="000000"/>
                <w:sz w:val="18"/>
                <w:szCs w:val="18"/>
                <w:lang w:bidi="ar"/>
              </w:rPr>
              <w:t>organisation</w:t>
            </w:r>
            <w:proofErr w:type="spellEnd"/>
            <w:r>
              <w:rPr>
                <w:rFonts w:eastAsia="宋体" w:cs="Times New Roman"/>
                <w:color w:val="000000"/>
                <w:sz w:val="18"/>
                <w:szCs w:val="18"/>
                <w:lang w:bidi="ar"/>
              </w:rPr>
              <w:t xml:space="preserve"> to calculate the institutional-level score (total item score divided by 32).</w:t>
            </w:r>
          </w:p>
        </w:tc>
        <w:tc>
          <w:tcPr>
            <w:tcW w:w="606" w:type="pct"/>
            <w:tcBorders>
              <w:top w:val="single" w:sz="4" w:space="0" w:color="auto"/>
              <w:left w:val="nil"/>
              <w:bottom w:val="nil"/>
              <w:right w:val="nil"/>
            </w:tcBorders>
            <w:shd w:val="clear" w:color="auto" w:fill="FFFFFF"/>
            <w:tcMar>
              <w:top w:w="0" w:type="dxa"/>
              <w:left w:w="108" w:type="dxa"/>
              <w:bottom w:w="0" w:type="dxa"/>
              <w:right w:w="108" w:type="dxa"/>
            </w:tcMar>
          </w:tcPr>
          <w:p w14:paraId="45A60EC0"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Project team assessors and institutional information officers working in pairs.</w:t>
            </w:r>
          </w:p>
        </w:tc>
        <w:tc>
          <w:tcPr>
            <w:tcW w:w="468" w:type="pct"/>
            <w:tcBorders>
              <w:top w:val="single" w:sz="4" w:space="0" w:color="000000"/>
              <w:left w:val="nil"/>
              <w:bottom w:val="nil"/>
              <w:right w:val="nil"/>
            </w:tcBorders>
            <w:shd w:val="clear" w:color="auto" w:fill="FFFFFF"/>
            <w:tcMar>
              <w:top w:w="0" w:type="dxa"/>
              <w:left w:w="108" w:type="dxa"/>
              <w:bottom w:w="0" w:type="dxa"/>
              <w:right w:w="108" w:type="dxa"/>
            </w:tcMar>
          </w:tcPr>
          <w:p w14:paraId="0E90B871" w14:textId="77777777" w:rsidR="00BB65DF" w:rsidRDefault="00000000">
            <w:pPr>
              <w:snapToGrid w:val="0"/>
              <w:spacing w:line="240" w:lineRule="auto"/>
              <w:ind w:firstLineChars="0" w:firstLine="0"/>
              <w:rPr>
                <w:rFonts w:eastAsia="宋体" w:cs="Times New Roman"/>
                <w:bCs/>
                <w:color w:val="000000"/>
                <w:sz w:val="18"/>
                <w:szCs w:val="18"/>
              </w:rPr>
            </w:pPr>
            <w:r>
              <w:rPr>
                <w:rFonts w:eastAsia="宋体" w:cs="Times New Roman"/>
                <w:bCs/>
                <w:color w:val="000000"/>
                <w:sz w:val="18"/>
                <w:szCs w:val="18"/>
                <w:lang w:bidi="ar"/>
              </w:rPr>
              <w:t>All medical staff in clinical departments, including doctors and nurses.</w:t>
            </w:r>
          </w:p>
        </w:tc>
        <w:tc>
          <w:tcPr>
            <w:tcW w:w="537" w:type="pct"/>
            <w:tcBorders>
              <w:top w:val="single" w:sz="4" w:space="0" w:color="000000"/>
              <w:left w:val="nil"/>
              <w:bottom w:val="nil"/>
              <w:right w:val="nil"/>
            </w:tcBorders>
            <w:shd w:val="clear" w:color="auto" w:fill="FFFFFF"/>
            <w:tcMar>
              <w:top w:w="0" w:type="dxa"/>
              <w:left w:w="108" w:type="dxa"/>
              <w:bottom w:w="0" w:type="dxa"/>
              <w:right w:w="108" w:type="dxa"/>
            </w:tcMar>
          </w:tcPr>
          <w:p w14:paraId="61006E9C"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Completed within the first week of project commencement; Online questionnaire: 3 days; Paper-based follow-up: 2 days.</w:t>
            </w:r>
          </w:p>
        </w:tc>
        <w:tc>
          <w:tcPr>
            <w:tcW w:w="653" w:type="pct"/>
            <w:tcBorders>
              <w:top w:val="single" w:sz="4" w:space="0" w:color="000000"/>
              <w:left w:val="nil"/>
              <w:bottom w:val="nil"/>
              <w:right w:val="nil"/>
            </w:tcBorders>
            <w:shd w:val="clear" w:color="auto" w:fill="FFFFFF"/>
            <w:tcMar>
              <w:top w:w="0" w:type="dxa"/>
              <w:left w:w="108" w:type="dxa"/>
              <w:bottom w:w="0" w:type="dxa"/>
              <w:right w:w="108" w:type="dxa"/>
            </w:tcMar>
          </w:tcPr>
          <w:p w14:paraId="68A05347"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 xml:space="preserve">One-off comprehensive assessment for all staff; each institution must achieve a response rate of </w:t>
            </w:r>
            <w:r>
              <w:rPr>
                <w:rFonts w:ascii="宋体" w:eastAsia="宋体" w:hAnsi="宋体" w:cs="宋体" w:hint="eastAsia"/>
                <w:bCs/>
                <w:sz w:val="18"/>
                <w:szCs w:val="18"/>
                <w:lang w:bidi="ar"/>
              </w:rPr>
              <w:t>≥</w:t>
            </w:r>
            <w:r>
              <w:rPr>
                <w:rFonts w:eastAsia="宋体" w:cs="Times New Roman"/>
                <w:bCs/>
                <w:sz w:val="18"/>
                <w:szCs w:val="18"/>
                <w:lang w:bidi="ar"/>
              </w:rPr>
              <w:t>80%.</w:t>
            </w:r>
          </w:p>
        </w:tc>
        <w:tc>
          <w:tcPr>
            <w:tcW w:w="627" w:type="pct"/>
            <w:tcBorders>
              <w:top w:val="nil"/>
              <w:left w:val="nil"/>
              <w:bottom w:val="nil"/>
              <w:right w:val="nil"/>
            </w:tcBorders>
            <w:shd w:val="clear" w:color="auto" w:fill="FFFFFF"/>
            <w:tcMar>
              <w:top w:w="0" w:type="dxa"/>
              <w:left w:w="108" w:type="dxa"/>
              <w:bottom w:w="0" w:type="dxa"/>
              <w:right w:w="108" w:type="dxa"/>
            </w:tcMar>
          </w:tcPr>
          <w:p w14:paraId="69A7A741"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The likelihood of brief smoking cessation interventions being adopted by </w:t>
            </w:r>
            <w:proofErr w:type="spellStart"/>
            <w:r>
              <w:rPr>
                <w:rFonts w:eastAsia="宋体" w:cs="Times New Roman"/>
                <w:sz w:val="18"/>
                <w:szCs w:val="18"/>
                <w:lang w:bidi="ar"/>
              </w:rPr>
              <w:t>organisations</w:t>
            </w:r>
            <w:proofErr w:type="spellEnd"/>
            <w:r>
              <w:rPr>
                <w:rFonts w:eastAsia="宋体" w:cs="Times New Roman"/>
                <w:sz w:val="18"/>
                <w:szCs w:val="18"/>
                <w:lang w:bidi="ar"/>
              </w:rPr>
              <w:t xml:space="preserve">, implemented faithfully, and sustained over time to enhance institutional uptake, </w:t>
            </w:r>
            <w:proofErr w:type="spellStart"/>
            <w:r>
              <w:rPr>
                <w:rFonts w:eastAsia="宋体" w:cs="Times New Roman"/>
                <w:sz w:val="18"/>
                <w:szCs w:val="18"/>
                <w:lang w:bidi="ar"/>
              </w:rPr>
              <w:t>standardised</w:t>
            </w:r>
            <w:proofErr w:type="spellEnd"/>
            <w:r>
              <w:rPr>
                <w:rFonts w:eastAsia="宋体" w:cs="Times New Roman"/>
                <w:sz w:val="18"/>
                <w:szCs w:val="18"/>
                <w:lang w:bidi="ar"/>
              </w:rPr>
              <w:t xml:space="preserve"> implementation, and long-term execution.</w:t>
            </w:r>
          </w:p>
        </w:tc>
        <w:tc>
          <w:tcPr>
            <w:tcW w:w="830" w:type="pct"/>
            <w:tcBorders>
              <w:top w:val="nil"/>
              <w:left w:val="nil"/>
              <w:bottom w:val="nil"/>
              <w:right w:val="nil"/>
            </w:tcBorders>
            <w:shd w:val="clear" w:color="auto" w:fill="FFFFFF"/>
            <w:tcMar>
              <w:top w:w="0" w:type="dxa"/>
              <w:left w:w="108" w:type="dxa"/>
              <w:bottom w:w="0" w:type="dxa"/>
              <w:right w:w="108" w:type="dxa"/>
            </w:tcMar>
          </w:tcPr>
          <w:p w14:paraId="5FC847FF" w14:textId="77777777" w:rsidR="00BB65DF" w:rsidRDefault="00000000">
            <w:pPr>
              <w:snapToGrid w:val="0"/>
              <w:spacing w:line="240" w:lineRule="auto"/>
              <w:ind w:firstLineChars="0" w:firstLine="0"/>
              <w:rPr>
                <w:rFonts w:eastAsia="宋体" w:cs="Times New Roman"/>
                <w:sz w:val="18"/>
                <w:szCs w:val="18"/>
              </w:rPr>
            </w:pPr>
            <w:proofErr w:type="spellStart"/>
            <w:r>
              <w:rPr>
                <w:rFonts w:eastAsia="宋体" w:cs="Times New Roman"/>
                <w:sz w:val="18"/>
                <w:szCs w:val="18"/>
                <w:lang w:bidi="ar"/>
              </w:rPr>
              <w:t>Standardised</w:t>
            </w:r>
            <w:proofErr w:type="spellEnd"/>
            <w:r>
              <w:rPr>
                <w:rFonts w:eastAsia="宋体" w:cs="Times New Roman"/>
                <w:sz w:val="18"/>
                <w:szCs w:val="18"/>
                <w:lang w:bidi="ar"/>
              </w:rPr>
              <w:t xml:space="preserve"> measurement tools enable the swift acquisition of comparable data, allowing management to rapidly identify shortcomings and make resource allocation decisions.</w:t>
            </w:r>
          </w:p>
        </w:tc>
      </w:tr>
      <w:tr w:rsidR="00BB65DF" w14:paraId="729279DF" w14:textId="77777777">
        <w:trPr>
          <w:trHeight w:val="2391"/>
        </w:trPr>
        <w:tc>
          <w:tcPr>
            <w:tcW w:w="434" w:type="pct"/>
            <w:vMerge/>
            <w:tcBorders>
              <w:top w:val="nil"/>
              <w:left w:val="nil"/>
              <w:bottom w:val="nil"/>
              <w:right w:val="nil"/>
            </w:tcBorders>
            <w:shd w:val="clear" w:color="auto" w:fill="FFFFFF"/>
            <w:tcMar>
              <w:top w:w="0" w:type="dxa"/>
              <w:left w:w="108" w:type="dxa"/>
              <w:bottom w:w="0" w:type="dxa"/>
              <w:right w:w="108" w:type="dxa"/>
            </w:tcMar>
          </w:tcPr>
          <w:p w14:paraId="1C06F9DD"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52AC56DF" w14:textId="77777777" w:rsidR="00BB65DF" w:rsidRDefault="00000000">
            <w:pPr>
              <w:snapToGrid w:val="0"/>
              <w:spacing w:line="240" w:lineRule="auto"/>
              <w:ind w:firstLineChars="0" w:firstLine="0"/>
              <w:rPr>
                <w:rFonts w:eastAsia="宋体" w:cs="Times New Roman"/>
                <w:b/>
                <w:color w:val="000000"/>
                <w:sz w:val="18"/>
                <w:szCs w:val="18"/>
              </w:rPr>
            </w:pPr>
            <w:r>
              <w:rPr>
                <w:rFonts w:eastAsia="宋体" w:cs="Times New Roman"/>
                <w:b/>
                <w:bCs/>
                <w:color w:val="000000"/>
                <w:sz w:val="18"/>
                <w:szCs w:val="18"/>
                <w:lang w:bidi="ar"/>
              </w:rPr>
              <w:t>A2. Identification of Barriers and Facilitating Factors:</w:t>
            </w:r>
            <w:r>
              <w:rPr>
                <w:rFonts w:eastAsia="宋体" w:cs="Times New Roman"/>
                <w:color w:val="000000"/>
                <w:sz w:val="18"/>
                <w:szCs w:val="18"/>
                <w:lang w:bidi="ar"/>
              </w:rPr>
              <w:t xml:space="preserve"> Establish a ‘Barriers-Facilitators Rapid Reporting Form’ mini-</w:t>
            </w:r>
            <w:proofErr w:type="spellStart"/>
            <w:r>
              <w:rPr>
                <w:rFonts w:eastAsia="宋体" w:cs="Times New Roman"/>
                <w:color w:val="000000"/>
                <w:sz w:val="18"/>
                <w:szCs w:val="18"/>
                <w:lang w:bidi="ar"/>
              </w:rPr>
              <w:t>programme</w:t>
            </w:r>
            <w:proofErr w:type="spellEnd"/>
            <w:r>
              <w:rPr>
                <w:rFonts w:eastAsia="宋体" w:cs="Times New Roman"/>
                <w:color w:val="000000"/>
                <w:sz w:val="18"/>
                <w:szCs w:val="18"/>
                <w:lang w:bidi="ar"/>
              </w:rPr>
              <w:t>, enabling doctors and nurses to instantly tick boxes or upload text detailing implementation barriers (e.g., time conflicts, patient resistance) and facilitating conditions (e.g., departmental support, bonus incentives). Conduct monthly 30-minute online focus group discussions (6–8 participants per group) for in-depth interviews.</w:t>
            </w:r>
          </w:p>
        </w:tc>
        <w:tc>
          <w:tcPr>
            <w:tcW w:w="606" w:type="pct"/>
            <w:tcBorders>
              <w:top w:val="nil"/>
              <w:left w:val="nil"/>
              <w:bottom w:val="nil"/>
              <w:right w:val="nil"/>
            </w:tcBorders>
            <w:shd w:val="clear" w:color="auto" w:fill="FFFFFF"/>
            <w:tcMar>
              <w:top w:w="0" w:type="dxa"/>
              <w:left w:w="108" w:type="dxa"/>
              <w:bottom w:w="0" w:type="dxa"/>
              <w:right w:w="108" w:type="dxa"/>
            </w:tcMar>
          </w:tcPr>
          <w:p w14:paraId="388D7CB5"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color w:val="000000"/>
                <w:sz w:val="18"/>
                <w:szCs w:val="18"/>
                <w:lang w:bidi="ar"/>
              </w:rPr>
              <w:t>Medical Department or third-party assessment agency.</w:t>
            </w:r>
          </w:p>
        </w:tc>
        <w:tc>
          <w:tcPr>
            <w:tcW w:w="468" w:type="pct"/>
            <w:tcBorders>
              <w:top w:val="nil"/>
              <w:left w:val="nil"/>
              <w:bottom w:val="nil"/>
              <w:right w:val="nil"/>
            </w:tcBorders>
            <w:shd w:val="clear" w:color="auto" w:fill="FFFFFF"/>
            <w:tcMar>
              <w:top w:w="0" w:type="dxa"/>
              <w:left w:w="108" w:type="dxa"/>
              <w:bottom w:w="0" w:type="dxa"/>
              <w:right w:w="108" w:type="dxa"/>
            </w:tcMar>
          </w:tcPr>
          <w:p w14:paraId="26F60179" w14:textId="77777777" w:rsidR="00BB65DF" w:rsidRDefault="00000000">
            <w:pPr>
              <w:snapToGrid w:val="0"/>
              <w:spacing w:line="240" w:lineRule="auto"/>
              <w:ind w:firstLineChars="0" w:firstLine="0"/>
              <w:rPr>
                <w:rFonts w:eastAsia="宋体" w:cs="Times New Roman"/>
                <w:bCs/>
                <w:color w:val="000000"/>
                <w:sz w:val="18"/>
                <w:szCs w:val="18"/>
              </w:rPr>
            </w:pPr>
            <w:r>
              <w:rPr>
                <w:rFonts w:eastAsia="宋体" w:cs="Times New Roman"/>
                <w:bCs/>
                <w:color w:val="000000"/>
                <w:sz w:val="18"/>
                <w:szCs w:val="18"/>
                <w:lang w:bidi="ar"/>
              </w:rPr>
              <w:t>All medical staff in clinical departments, including doctors and nurses.</w:t>
            </w:r>
          </w:p>
        </w:tc>
        <w:tc>
          <w:tcPr>
            <w:tcW w:w="537" w:type="pct"/>
            <w:tcBorders>
              <w:top w:val="nil"/>
              <w:left w:val="nil"/>
              <w:bottom w:val="nil"/>
              <w:right w:val="nil"/>
            </w:tcBorders>
            <w:shd w:val="clear" w:color="auto" w:fill="FFFFFF"/>
            <w:tcMar>
              <w:top w:w="0" w:type="dxa"/>
              <w:left w:w="108" w:type="dxa"/>
              <w:bottom w:w="0" w:type="dxa"/>
              <w:right w:w="108" w:type="dxa"/>
            </w:tcMar>
          </w:tcPr>
          <w:p w14:paraId="46A35101"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The intervention is ongoing throughout the entire process; data from the previous month is collected on the first working day of each month, with interviews completed during the second week.</w:t>
            </w:r>
          </w:p>
        </w:tc>
        <w:tc>
          <w:tcPr>
            <w:tcW w:w="653" w:type="pct"/>
            <w:tcBorders>
              <w:top w:val="nil"/>
              <w:left w:val="nil"/>
              <w:bottom w:val="nil"/>
              <w:right w:val="nil"/>
            </w:tcBorders>
            <w:shd w:val="clear" w:color="auto" w:fill="FFFFFF"/>
            <w:tcMar>
              <w:top w:w="0" w:type="dxa"/>
              <w:left w:w="108" w:type="dxa"/>
              <w:bottom w:w="0" w:type="dxa"/>
              <w:right w:w="108" w:type="dxa"/>
            </w:tcMar>
          </w:tcPr>
          <w:p w14:paraId="0267693C"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One online questionnaire per month (2 minutes) + one focus group session per month (30 minutes).</w:t>
            </w:r>
          </w:p>
        </w:tc>
        <w:tc>
          <w:tcPr>
            <w:tcW w:w="627" w:type="pct"/>
            <w:tcBorders>
              <w:top w:val="nil"/>
              <w:left w:val="nil"/>
              <w:bottom w:val="nil"/>
              <w:right w:val="nil"/>
            </w:tcBorders>
            <w:shd w:val="clear" w:color="auto" w:fill="FFFFFF"/>
            <w:tcMar>
              <w:top w:w="0" w:type="dxa"/>
              <w:left w:w="108" w:type="dxa"/>
              <w:bottom w:w="0" w:type="dxa"/>
              <w:right w:w="108" w:type="dxa"/>
            </w:tcMar>
          </w:tcPr>
          <w:p w14:paraId="543CDC6A"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Ensure real-time correction and </w:t>
            </w:r>
            <w:proofErr w:type="spellStart"/>
            <w:r>
              <w:rPr>
                <w:rFonts w:eastAsia="宋体" w:cs="Times New Roman"/>
                <w:sz w:val="18"/>
                <w:szCs w:val="18"/>
                <w:lang w:bidi="ar"/>
              </w:rPr>
              <w:t>optimisation</w:t>
            </w:r>
            <w:proofErr w:type="spellEnd"/>
            <w:r>
              <w:rPr>
                <w:rFonts w:eastAsia="宋体" w:cs="Times New Roman"/>
                <w:sz w:val="18"/>
                <w:szCs w:val="18"/>
                <w:lang w:bidi="ar"/>
              </w:rPr>
              <w:t xml:space="preserve"> of the intervention process to enhance long-term adherence.</w:t>
            </w:r>
          </w:p>
        </w:tc>
        <w:tc>
          <w:tcPr>
            <w:tcW w:w="830" w:type="pct"/>
            <w:tcBorders>
              <w:top w:val="nil"/>
              <w:left w:val="nil"/>
              <w:bottom w:val="nil"/>
              <w:right w:val="nil"/>
            </w:tcBorders>
            <w:shd w:val="clear" w:color="auto" w:fill="FFFFFF"/>
            <w:tcMar>
              <w:top w:w="0" w:type="dxa"/>
              <w:left w:w="108" w:type="dxa"/>
              <w:bottom w:w="0" w:type="dxa"/>
              <w:right w:w="108" w:type="dxa"/>
            </w:tcMar>
          </w:tcPr>
          <w:p w14:paraId="3DE0C280"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Dynamic identification of obstacles and timely iteration of strategies can significantly enhance the sustainability of interventions.</w:t>
            </w:r>
          </w:p>
        </w:tc>
      </w:tr>
      <w:tr w:rsidR="00BB65DF" w14:paraId="16DD9EA0" w14:textId="77777777">
        <w:trPr>
          <w:trHeight w:val="1040"/>
        </w:trPr>
        <w:tc>
          <w:tcPr>
            <w:tcW w:w="434" w:type="pct"/>
            <w:vMerge w:val="restart"/>
            <w:tcBorders>
              <w:top w:val="nil"/>
              <w:left w:val="nil"/>
              <w:bottom w:val="nil"/>
              <w:right w:val="nil"/>
            </w:tcBorders>
            <w:shd w:val="clear" w:color="auto" w:fill="FFFFFF"/>
            <w:tcMar>
              <w:top w:w="0" w:type="dxa"/>
              <w:left w:w="108" w:type="dxa"/>
              <w:bottom w:w="0" w:type="dxa"/>
              <w:right w:w="108" w:type="dxa"/>
            </w:tcMar>
          </w:tcPr>
          <w:p w14:paraId="785A43E3" w14:textId="77777777" w:rsidR="00BB65DF" w:rsidRDefault="00000000">
            <w:pPr>
              <w:snapToGrid w:val="0"/>
              <w:spacing w:line="240" w:lineRule="auto"/>
              <w:ind w:firstLineChars="0" w:firstLine="0"/>
              <w:rPr>
                <w:rFonts w:eastAsia="宋体" w:cs="Times New Roman"/>
                <w:b/>
                <w:color w:val="000000"/>
                <w:sz w:val="18"/>
                <w:szCs w:val="18"/>
              </w:rPr>
            </w:pPr>
            <w:proofErr w:type="spellStart"/>
            <w:proofErr w:type="gramStart"/>
            <w:r>
              <w:rPr>
                <w:rFonts w:eastAsia="宋体" w:cs="Times New Roman"/>
                <w:b/>
                <w:color w:val="000000"/>
                <w:sz w:val="18"/>
                <w:szCs w:val="18"/>
                <w:lang w:bidi="ar"/>
              </w:rPr>
              <w:t>B.Incentives</w:t>
            </w:r>
            <w:proofErr w:type="spellEnd"/>
            <w:proofErr w:type="gramEnd"/>
          </w:p>
          <w:p w14:paraId="39EB609D" w14:textId="77777777" w:rsidR="00BB65DF" w:rsidRDefault="00BB65DF">
            <w:pPr>
              <w:snapToGrid w:val="0"/>
              <w:spacing w:line="240" w:lineRule="auto"/>
              <w:ind w:firstLineChars="0" w:firstLine="0"/>
              <w:rPr>
                <w:rFonts w:eastAsia="宋体" w:cs="Times New Roman"/>
                <w:b/>
                <w:sz w:val="18"/>
                <w:szCs w:val="18"/>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15E63856"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color w:val="000000"/>
                <w:sz w:val="18"/>
                <w:szCs w:val="18"/>
                <w:lang w:bidi="ar"/>
              </w:rPr>
              <w:t xml:space="preserve">B1. Foundational Training: </w:t>
            </w:r>
            <w:r>
              <w:rPr>
                <w:rFonts w:eastAsia="宋体" w:cs="Times New Roman"/>
                <w:color w:val="000000"/>
                <w:sz w:val="18"/>
                <w:szCs w:val="18"/>
                <w:lang w:bidi="ar"/>
              </w:rPr>
              <w:t xml:space="preserve">Training content includes the evidence-based medical rationale for brief smoking cessation interventions (e.g., the extent to which they reduce risk), case studies of successful outcomes (e.g., a clinician assisting a patient through brief cessation support), tobacco control policies and clinical </w:t>
            </w:r>
            <w:r>
              <w:rPr>
                <w:rFonts w:eastAsia="宋体" w:cs="Times New Roman"/>
                <w:color w:val="000000"/>
                <w:sz w:val="18"/>
                <w:szCs w:val="18"/>
                <w:lang w:bidi="ar"/>
              </w:rPr>
              <w:lastRenderedPageBreak/>
              <w:t>guidelines, and concise operational procedures (e.g., the 2A+R and 4A+R models).</w:t>
            </w:r>
          </w:p>
        </w:tc>
        <w:tc>
          <w:tcPr>
            <w:tcW w:w="606" w:type="pct"/>
            <w:tcBorders>
              <w:top w:val="nil"/>
              <w:left w:val="nil"/>
              <w:bottom w:val="nil"/>
              <w:right w:val="nil"/>
            </w:tcBorders>
            <w:shd w:val="clear" w:color="auto" w:fill="FFFFFF"/>
            <w:tcMar>
              <w:top w:w="0" w:type="dxa"/>
              <w:left w:w="108" w:type="dxa"/>
              <w:bottom w:w="0" w:type="dxa"/>
              <w:right w:w="108" w:type="dxa"/>
            </w:tcMar>
          </w:tcPr>
          <w:p w14:paraId="3C0BF1CA"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lastRenderedPageBreak/>
              <w:t>Third-party experts or project teams.</w:t>
            </w:r>
          </w:p>
        </w:tc>
        <w:tc>
          <w:tcPr>
            <w:tcW w:w="468" w:type="pct"/>
            <w:tcBorders>
              <w:top w:val="nil"/>
              <w:left w:val="nil"/>
              <w:bottom w:val="nil"/>
              <w:right w:val="nil"/>
            </w:tcBorders>
            <w:shd w:val="clear" w:color="auto" w:fill="FFFFFF"/>
            <w:tcMar>
              <w:top w:w="0" w:type="dxa"/>
              <w:left w:w="108" w:type="dxa"/>
              <w:bottom w:w="0" w:type="dxa"/>
              <w:right w:w="108" w:type="dxa"/>
            </w:tcMar>
          </w:tcPr>
          <w:p w14:paraId="3147B537"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color w:val="000000"/>
                <w:sz w:val="18"/>
                <w:szCs w:val="18"/>
                <w:lang w:bidi="ar"/>
              </w:rPr>
              <w:t>All medical staff in clinical departments, including doctors and nurses.</w:t>
            </w:r>
          </w:p>
        </w:tc>
        <w:tc>
          <w:tcPr>
            <w:tcW w:w="537" w:type="pct"/>
            <w:tcBorders>
              <w:top w:val="nil"/>
              <w:left w:val="nil"/>
              <w:bottom w:val="nil"/>
              <w:right w:val="nil"/>
            </w:tcBorders>
            <w:shd w:val="clear" w:color="auto" w:fill="FFFFFF"/>
            <w:tcMar>
              <w:top w:w="0" w:type="dxa"/>
              <w:left w:w="108" w:type="dxa"/>
              <w:bottom w:w="0" w:type="dxa"/>
              <w:right w:w="108" w:type="dxa"/>
            </w:tcMar>
          </w:tcPr>
          <w:p w14:paraId="26FFC8DD"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Within the first week of the project intervention commencing, prior to the issuance of administrative documents by B2.</w:t>
            </w:r>
          </w:p>
        </w:tc>
        <w:tc>
          <w:tcPr>
            <w:tcW w:w="653" w:type="pct"/>
            <w:tcBorders>
              <w:top w:val="nil"/>
              <w:left w:val="nil"/>
              <w:bottom w:val="nil"/>
              <w:right w:val="nil"/>
            </w:tcBorders>
            <w:shd w:val="clear" w:color="auto" w:fill="FFFFFF"/>
            <w:tcMar>
              <w:top w:w="0" w:type="dxa"/>
              <w:left w:w="108" w:type="dxa"/>
              <w:bottom w:w="0" w:type="dxa"/>
              <w:right w:w="108" w:type="dxa"/>
            </w:tcMar>
          </w:tcPr>
          <w:p w14:paraId="3DC97D82"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A one-off training session lasting 45 minutes, followed by a 15-minute Q&amp;A session, with a total duration not exceeding one hour.</w:t>
            </w:r>
          </w:p>
        </w:tc>
        <w:tc>
          <w:tcPr>
            <w:tcW w:w="627" w:type="pct"/>
            <w:tcBorders>
              <w:top w:val="nil"/>
              <w:left w:val="nil"/>
              <w:bottom w:val="nil"/>
              <w:right w:val="nil"/>
            </w:tcBorders>
            <w:shd w:val="clear" w:color="auto" w:fill="FFFFFF"/>
            <w:tcMar>
              <w:top w:w="0" w:type="dxa"/>
              <w:left w:w="108" w:type="dxa"/>
              <w:bottom w:w="0" w:type="dxa"/>
              <w:right w:w="108" w:type="dxa"/>
            </w:tcMar>
          </w:tcPr>
          <w:p w14:paraId="75E0B90B"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Enhance healthcare professionals' readiness for compliance and acceptance of interventions.</w:t>
            </w:r>
          </w:p>
        </w:tc>
        <w:tc>
          <w:tcPr>
            <w:tcW w:w="830" w:type="pct"/>
            <w:tcBorders>
              <w:top w:val="nil"/>
              <w:left w:val="nil"/>
              <w:bottom w:val="nil"/>
              <w:right w:val="nil"/>
            </w:tcBorders>
            <w:shd w:val="clear" w:color="auto" w:fill="FFFFFF"/>
            <w:tcMar>
              <w:top w:w="0" w:type="dxa"/>
              <w:left w:w="108" w:type="dxa"/>
              <w:bottom w:w="0" w:type="dxa"/>
              <w:right w:w="108" w:type="dxa"/>
            </w:tcMar>
          </w:tcPr>
          <w:p w14:paraId="4927CC83"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Communicating the evidence-based value of interventions to healthcare professionals to alter their negative perceptions regarding low cost-effectiveness. This constitutes a low-cost, high-efficiency initial intervention capable of rapidly reaching a large number of medical staff.</w:t>
            </w:r>
          </w:p>
        </w:tc>
      </w:tr>
      <w:tr w:rsidR="00BB65DF" w14:paraId="6EE14306" w14:textId="77777777">
        <w:trPr>
          <w:trHeight w:val="2175"/>
        </w:trPr>
        <w:tc>
          <w:tcPr>
            <w:tcW w:w="434" w:type="pct"/>
            <w:vMerge/>
            <w:tcBorders>
              <w:top w:val="nil"/>
              <w:left w:val="nil"/>
              <w:bottom w:val="outset" w:sz="6" w:space="0" w:color="auto"/>
              <w:right w:val="nil"/>
            </w:tcBorders>
            <w:shd w:val="clear" w:color="auto" w:fill="FFFFFF"/>
            <w:tcMar>
              <w:top w:w="0" w:type="dxa"/>
              <w:left w:w="108" w:type="dxa"/>
              <w:bottom w:w="0" w:type="dxa"/>
              <w:right w:w="108" w:type="dxa"/>
            </w:tcMar>
          </w:tcPr>
          <w:p w14:paraId="4F1B1C38"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5E165DBE"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color w:val="000000"/>
                <w:sz w:val="18"/>
                <w:szCs w:val="18"/>
                <w:lang w:bidi="ar"/>
              </w:rPr>
              <w:t xml:space="preserve">B2. Issue an Administrative Directive: </w:t>
            </w:r>
            <w:r>
              <w:rPr>
                <w:rFonts w:eastAsia="宋体" w:cs="Times New Roman"/>
                <w:color w:val="000000"/>
                <w:sz w:val="18"/>
                <w:szCs w:val="18"/>
                <w:lang w:bidi="ar"/>
              </w:rPr>
              <w:t>Issue a notice entitled</w:t>
            </w:r>
            <w:r>
              <w:rPr>
                <w:rFonts w:ascii="宋体" w:eastAsia="宋体" w:hAnsi="宋体" w:cs="宋体" w:hint="eastAsia"/>
                <w:color w:val="000000"/>
                <w:sz w:val="18"/>
                <w:szCs w:val="18"/>
                <w:lang w:bidi="ar"/>
              </w:rPr>
              <w:t>‘</w:t>
            </w:r>
            <w:r>
              <w:rPr>
                <w:rFonts w:eastAsia="宋体" w:cs="Times New Roman"/>
                <w:color w:val="000000"/>
                <w:sz w:val="18"/>
                <w:szCs w:val="18"/>
                <w:lang w:bidi="ar"/>
              </w:rPr>
              <w:t>Promoting Brief Smoking Cessation Interventions by Clinicians During Outpatient Consultations</w:t>
            </w:r>
            <w:r>
              <w:rPr>
                <w:rFonts w:ascii="宋体" w:eastAsia="宋体" w:hAnsi="宋体" w:cs="宋体" w:hint="eastAsia"/>
                <w:color w:val="000000"/>
                <w:sz w:val="18"/>
                <w:szCs w:val="18"/>
                <w:lang w:bidi="ar"/>
              </w:rPr>
              <w:t xml:space="preserve">’ </w:t>
            </w:r>
            <w:r>
              <w:rPr>
                <w:rFonts w:eastAsia="宋体" w:cs="Times New Roman"/>
                <w:color w:val="000000"/>
                <w:sz w:val="18"/>
                <w:szCs w:val="18"/>
                <w:lang w:bidi="ar"/>
              </w:rPr>
              <w:t>in the form of an administrative directive. This notice shall clarify that brief smoking cessation interventions constitute an integral part of routine clinical practice and specify that compliance will be subject to random inspections and public disclosure.</w:t>
            </w:r>
          </w:p>
        </w:tc>
        <w:tc>
          <w:tcPr>
            <w:tcW w:w="606" w:type="pct"/>
            <w:tcBorders>
              <w:top w:val="nil"/>
              <w:left w:val="nil"/>
              <w:bottom w:val="nil"/>
              <w:right w:val="nil"/>
            </w:tcBorders>
            <w:shd w:val="clear" w:color="auto" w:fill="FFFFFF"/>
            <w:tcMar>
              <w:top w:w="0" w:type="dxa"/>
              <w:left w:w="108" w:type="dxa"/>
              <w:bottom w:w="0" w:type="dxa"/>
              <w:right w:w="108" w:type="dxa"/>
            </w:tcMar>
          </w:tcPr>
          <w:p w14:paraId="1B173437"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color w:val="000000"/>
                <w:sz w:val="18"/>
                <w:szCs w:val="18"/>
                <w:lang w:bidi="ar"/>
              </w:rPr>
              <w:t>Hospital administrators, middle management, department heads, etc.</w:t>
            </w:r>
          </w:p>
        </w:tc>
        <w:tc>
          <w:tcPr>
            <w:tcW w:w="468" w:type="pct"/>
            <w:tcBorders>
              <w:top w:val="nil"/>
              <w:left w:val="nil"/>
              <w:bottom w:val="nil"/>
              <w:right w:val="nil"/>
            </w:tcBorders>
            <w:shd w:val="clear" w:color="auto" w:fill="FFFFFF"/>
            <w:tcMar>
              <w:top w:w="0" w:type="dxa"/>
              <w:left w:w="108" w:type="dxa"/>
              <w:bottom w:w="0" w:type="dxa"/>
              <w:right w:w="108" w:type="dxa"/>
            </w:tcMar>
          </w:tcPr>
          <w:p w14:paraId="643AF4ED"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color w:val="000000"/>
                <w:sz w:val="18"/>
                <w:szCs w:val="18"/>
                <w:lang w:bidi="ar"/>
              </w:rPr>
              <w:t>All clinicians.</w:t>
            </w:r>
          </w:p>
        </w:tc>
        <w:tc>
          <w:tcPr>
            <w:tcW w:w="537" w:type="pct"/>
            <w:tcBorders>
              <w:top w:val="nil"/>
              <w:left w:val="nil"/>
              <w:bottom w:val="nil"/>
              <w:right w:val="nil"/>
            </w:tcBorders>
            <w:shd w:val="clear" w:color="auto" w:fill="FFFFFF"/>
            <w:tcMar>
              <w:top w:w="0" w:type="dxa"/>
              <w:left w:w="108" w:type="dxa"/>
              <w:bottom w:w="0" w:type="dxa"/>
              <w:right w:w="108" w:type="dxa"/>
            </w:tcMar>
          </w:tcPr>
          <w:p w14:paraId="44D304DC"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Issued within 24 hours of B1 training.</w:t>
            </w:r>
          </w:p>
        </w:tc>
        <w:tc>
          <w:tcPr>
            <w:tcW w:w="653" w:type="pct"/>
            <w:tcBorders>
              <w:top w:val="nil"/>
              <w:left w:val="nil"/>
              <w:bottom w:val="nil"/>
              <w:right w:val="nil"/>
            </w:tcBorders>
            <w:shd w:val="clear" w:color="auto" w:fill="FFFFFF"/>
            <w:tcMar>
              <w:top w:w="0" w:type="dxa"/>
              <w:left w:w="108" w:type="dxa"/>
              <w:bottom w:w="0" w:type="dxa"/>
              <w:right w:w="108" w:type="dxa"/>
            </w:tcMar>
          </w:tcPr>
          <w:p w14:paraId="6E6E40D0" w14:textId="77777777" w:rsidR="00BB65DF" w:rsidRDefault="00000000">
            <w:pPr>
              <w:autoSpaceDN w:val="0"/>
              <w:snapToGrid w:val="0"/>
              <w:spacing w:line="240" w:lineRule="auto"/>
              <w:ind w:firstLineChars="0" w:firstLine="0"/>
              <w:rPr>
                <w:rFonts w:eastAsia="宋体" w:cs="Times New Roman"/>
                <w:bCs/>
                <w:sz w:val="18"/>
                <w:szCs w:val="18"/>
              </w:rPr>
            </w:pPr>
            <w:r>
              <w:rPr>
                <w:rFonts w:eastAsia="宋体" w:cs="Times New Roman"/>
                <w:bCs/>
                <w:sz w:val="18"/>
                <w:szCs w:val="18"/>
                <w:lang w:bidi="ar"/>
              </w:rPr>
              <w:t>A formal, clear administrative document accompanied by operational guidelines.</w:t>
            </w:r>
          </w:p>
        </w:tc>
        <w:tc>
          <w:tcPr>
            <w:tcW w:w="627" w:type="pct"/>
            <w:tcBorders>
              <w:top w:val="nil"/>
              <w:left w:val="nil"/>
              <w:bottom w:val="nil"/>
              <w:right w:val="nil"/>
            </w:tcBorders>
            <w:shd w:val="clear" w:color="auto" w:fill="FFFFFF"/>
            <w:tcMar>
              <w:top w:w="0" w:type="dxa"/>
              <w:left w:w="108" w:type="dxa"/>
              <w:bottom w:w="0" w:type="dxa"/>
              <w:right w:w="108" w:type="dxa"/>
            </w:tcMar>
          </w:tcPr>
          <w:p w14:paraId="16B9640D"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Ensure the initiation rate and initial adherence to brief smoking cessation interventions.</w:t>
            </w:r>
          </w:p>
        </w:tc>
        <w:tc>
          <w:tcPr>
            <w:tcW w:w="830" w:type="pct"/>
            <w:tcBorders>
              <w:top w:val="nil"/>
              <w:left w:val="nil"/>
              <w:bottom w:val="nil"/>
              <w:right w:val="nil"/>
            </w:tcBorders>
            <w:shd w:val="clear" w:color="auto" w:fill="FFFFFF"/>
            <w:tcMar>
              <w:top w:w="0" w:type="dxa"/>
              <w:left w:w="108" w:type="dxa"/>
              <w:bottom w:w="0" w:type="dxa"/>
              <w:right w:w="108" w:type="dxa"/>
            </w:tcMar>
          </w:tcPr>
          <w:p w14:paraId="613FFD32"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By leveraging the coercive force of institutional mechanisms, interventions are transformed from optional measures into mandatory requirements, thereby fundamentally eliminating implementation barriers stemming from physicians' lack of external motivation. This approach incurs no additional costs, relying solely on hospitals' existing administrative management systems, rendering it highly feasible.</w:t>
            </w:r>
          </w:p>
        </w:tc>
      </w:tr>
      <w:tr w:rsidR="00BB65DF" w14:paraId="6F5DBF4A" w14:textId="77777777">
        <w:trPr>
          <w:trHeight w:val="240"/>
        </w:trPr>
        <w:tc>
          <w:tcPr>
            <w:tcW w:w="434" w:type="pct"/>
            <w:vMerge/>
            <w:tcBorders>
              <w:top w:val="nil"/>
              <w:left w:val="nil"/>
              <w:bottom w:val="nil"/>
              <w:right w:val="nil"/>
            </w:tcBorders>
            <w:shd w:val="clear" w:color="auto" w:fill="FFFFFF"/>
            <w:tcMar>
              <w:top w:w="0" w:type="dxa"/>
              <w:left w:w="108" w:type="dxa"/>
              <w:bottom w:w="0" w:type="dxa"/>
              <w:right w:w="108" w:type="dxa"/>
            </w:tcMar>
          </w:tcPr>
          <w:p w14:paraId="52D5318B"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57DA7EC8"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color w:val="000000"/>
                <w:sz w:val="18"/>
                <w:szCs w:val="18"/>
                <w:lang w:bidi="ar"/>
              </w:rPr>
              <w:t xml:space="preserve">B3. Assessment and Public Disclosure: </w:t>
            </w:r>
            <w:r>
              <w:rPr>
                <w:rFonts w:eastAsia="宋体" w:cs="Times New Roman"/>
                <w:color w:val="000000"/>
                <w:sz w:val="18"/>
                <w:szCs w:val="18"/>
                <w:lang w:bidi="ar"/>
              </w:rPr>
              <w:t xml:space="preserve">Incorporated into existing grassroots healthcare service quality assessment </w:t>
            </w:r>
            <w:proofErr w:type="spellStart"/>
            <w:r>
              <w:rPr>
                <w:rFonts w:eastAsia="宋体" w:cs="Times New Roman"/>
                <w:color w:val="000000"/>
                <w:sz w:val="18"/>
                <w:szCs w:val="18"/>
                <w:lang w:bidi="ar"/>
              </w:rPr>
              <w:t>programmes</w:t>
            </w:r>
            <w:proofErr w:type="spellEnd"/>
            <w:r>
              <w:rPr>
                <w:rFonts w:eastAsia="宋体" w:cs="Times New Roman"/>
                <w:color w:val="000000"/>
                <w:sz w:val="18"/>
                <w:szCs w:val="18"/>
                <w:lang w:bidi="ar"/>
              </w:rPr>
              <w:t>, this involves conducting regular telephone follow-ups with patients to gauge satisfaction levels and monitor outpatient clinicians' implementation of brief smoking cessation interventions. Performance metrics for randomly selected departments and clinicians shall be published periodically.</w:t>
            </w:r>
          </w:p>
        </w:tc>
        <w:tc>
          <w:tcPr>
            <w:tcW w:w="606" w:type="pct"/>
            <w:tcBorders>
              <w:top w:val="nil"/>
              <w:left w:val="nil"/>
              <w:bottom w:val="nil"/>
              <w:right w:val="nil"/>
            </w:tcBorders>
            <w:shd w:val="clear" w:color="auto" w:fill="FFFFFF"/>
            <w:tcMar>
              <w:top w:w="0" w:type="dxa"/>
              <w:left w:w="108" w:type="dxa"/>
              <w:bottom w:w="0" w:type="dxa"/>
              <w:right w:w="108" w:type="dxa"/>
            </w:tcMar>
          </w:tcPr>
          <w:p w14:paraId="743E9DF6"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color w:val="000000"/>
                <w:sz w:val="18"/>
                <w:szCs w:val="18"/>
                <w:lang w:bidi="ar"/>
              </w:rPr>
              <w:t>Medical Department or third-party assessment agency.</w:t>
            </w:r>
          </w:p>
        </w:tc>
        <w:tc>
          <w:tcPr>
            <w:tcW w:w="468" w:type="pct"/>
            <w:tcBorders>
              <w:top w:val="nil"/>
              <w:left w:val="nil"/>
              <w:bottom w:val="nil"/>
              <w:right w:val="nil"/>
            </w:tcBorders>
            <w:shd w:val="clear" w:color="auto" w:fill="FFFFFF"/>
            <w:tcMar>
              <w:top w:w="0" w:type="dxa"/>
              <w:left w:w="108" w:type="dxa"/>
              <w:bottom w:w="0" w:type="dxa"/>
              <w:right w:w="108" w:type="dxa"/>
            </w:tcMar>
          </w:tcPr>
          <w:p w14:paraId="213EE85F"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color w:val="000000"/>
                <w:sz w:val="18"/>
                <w:szCs w:val="18"/>
                <w:lang w:bidi="ar"/>
              </w:rPr>
              <w:t>Departments and individual clinicians.</w:t>
            </w:r>
          </w:p>
        </w:tc>
        <w:tc>
          <w:tcPr>
            <w:tcW w:w="537" w:type="pct"/>
            <w:tcBorders>
              <w:top w:val="nil"/>
              <w:left w:val="nil"/>
              <w:bottom w:val="nil"/>
              <w:right w:val="nil"/>
            </w:tcBorders>
            <w:shd w:val="clear" w:color="auto" w:fill="FFFFFF"/>
            <w:tcMar>
              <w:top w:w="0" w:type="dxa"/>
              <w:left w:w="108" w:type="dxa"/>
              <w:bottom w:w="0" w:type="dxa"/>
              <w:right w:w="108" w:type="dxa"/>
            </w:tcMar>
          </w:tcPr>
          <w:p w14:paraId="05653DB0"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color w:val="000000"/>
                <w:sz w:val="18"/>
                <w:szCs w:val="18"/>
                <w:lang w:bidi="ar"/>
              </w:rPr>
              <w:t>Following the issuance of B2 administrative documents, random inspections shall be conducted every Sunday, with results published on Mondays, concurrently with medical quality investigations.</w:t>
            </w:r>
          </w:p>
        </w:tc>
        <w:tc>
          <w:tcPr>
            <w:tcW w:w="653" w:type="pct"/>
            <w:tcBorders>
              <w:top w:val="nil"/>
              <w:left w:val="nil"/>
              <w:bottom w:val="nil"/>
              <w:right w:val="nil"/>
            </w:tcBorders>
            <w:shd w:val="clear" w:color="auto" w:fill="FFFFFF"/>
            <w:tcMar>
              <w:top w:w="0" w:type="dxa"/>
              <w:left w:w="108" w:type="dxa"/>
              <w:bottom w:w="0" w:type="dxa"/>
              <w:right w:w="108" w:type="dxa"/>
            </w:tcMar>
          </w:tcPr>
          <w:p w14:paraId="17FC2CC2" w14:textId="77777777" w:rsidR="00BB65DF" w:rsidRDefault="00000000">
            <w:pPr>
              <w:autoSpaceDN w:val="0"/>
              <w:snapToGrid w:val="0"/>
              <w:spacing w:line="240" w:lineRule="auto"/>
              <w:ind w:firstLineChars="0" w:firstLine="0"/>
              <w:rPr>
                <w:rFonts w:eastAsia="宋体" w:cs="Times New Roman"/>
                <w:bCs/>
                <w:sz w:val="18"/>
                <w:szCs w:val="18"/>
              </w:rPr>
            </w:pPr>
            <w:r>
              <w:rPr>
                <w:rFonts w:eastAsia="宋体" w:cs="Times New Roman"/>
                <w:bCs/>
                <w:sz w:val="18"/>
                <w:szCs w:val="18"/>
                <w:lang w:bidi="ar"/>
              </w:rPr>
              <w:t xml:space="preserve">Each week, the departments with medical records failing random inspections shall be publicly announced, and the department heads shall be provided with specific lists of non-compliant doctors. Each month, no more than three doctors demonstrating outstanding performance shall be selected for the title of </w:t>
            </w:r>
            <w:r>
              <w:rPr>
                <w:rFonts w:ascii="宋体" w:eastAsia="宋体" w:hAnsi="宋体" w:cs="宋体" w:hint="eastAsia"/>
                <w:bCs/>
                <w:sz w:val="18"/>
                <w:szCs w:val="18"/>
                <w:lang w:bidi="ar"/>
              </w:rPr>
              <w:t>‘</w:t>
            </w:r>
            <w:r>
              <w:rPr>
                <w:rFonts w:eastAsia="宋体" w:cs="Times New Roman"/>
                <w:bCs/>
                <w:sz w:val="18"/>
                <w:szCs w:val="18"/>
                <w:lang w:bidi="ar"/>
              </w:rPr>
              <w:t>Smoking Control Pioneer</w:t>
            </w:r>
            <w:r>
              <w:rPr>
                <w:rFonts w:ascii="宋体" w:eastAsia="宋体" w:hAnsi="宋体" w:cs="宋体" w:hint="eastAsia"/>
                <w:bCs/>
                <w:sz w:val="18"/>
                <w:szCs w:val="18"/>
                <w:lang w:bidi="ar"/>
              </w:rPr>
              <w:t>’</w:t>
            </w:r>
            <w:r>
              <w:rPr>
                <w:rFonts w:eastAsia="宋体" w:cs="Times New Roman"/>
                <w:bCs/>
                <w:sz w:val="18"/>
                <w:szCs w:val="18"/>
                <w:lang w:bidi="ar"/>
              </w:rPr>
              <w:t>.</w:t>
            </w:r>
          </w:p>
        </w:tc>
        <w:tc>
          <w:tcPr>
            <w:tcW w:w="627" w:type="pct"/>
            <w:tcBorders>
              <w:top w:val="nil"/>
              <w:left w:val="nil"/>
              <w:bottom w:val="nil"/>
              <w:right w:val="nil"/>
            </w:tcBorders>
            <w:shd w:val="clear" w:color="auto" w:fill="FFFFFF"/>
            <w:tcMar>
              <w:top w:w="0" w:type="dxa"/>
              <w:left w:w="108" w:type="dxa"/>
              <w:bottom w:w="0" w:type="dxa"/>
              <w:right w:w="108" w:type="dxa"/>
            </w:tcMar>
          </w:tcPr>
          <w:p w14:paraId="404DBB36"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Ensure the continuity and integration of interventions.</w:t>
            </w:r>
          </w:p>
        </w:tc>
        <w:tc>
          <w:tcPr>
            <w:tcW w:w="830" w:type="pct"/>
            <w:tcBorders>
              <w:top w:val="nil"/>
              <w:left w:val="nil"/>
              <w:bottom w:val="nil"/>
              <w:right w:val="nil"/>
            </w:tcBorders>
            <w:shd w:val="clear" w:color="auto" w:fill="FFFFFF"/>
            <w:tcMar>
              <w:top w:w="0" w:type="dxa"/>
              <w:left w:w="108" w:type="dxa"/>
              <w:bottom w:w="0" w:type="dxa"/>
              <w:right w:w="108" w:type="dxa"/>
            </w:tcMar>
          </w:tcPr>
          <w:p w14:paraId="0113CAF5"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By linking interventions to performance outcomes, this approach leverages external reinforcement and peer influence to motivate clinicians to sustain high-quality practice over the long term. Primarily </w:t>
            </w:r>
            <w:proofErr w:type="spellStart"/>
            <w:r>
              <w:rPr>
                <w:rFonts w:eastAsia="宋体" w:cs="Times New Roman"/>
                <w:sz w:val="18"/>
                <w:szCs w:val="18"/>
                <w:lang w:bidi="ar"/>
              </w:rPr>
              <w:t>utilising</w:t>
            </w:r>
            <w:proofErr w:type="spellEnd"/>
            <w:r>
              <w:rPr>
                <w:rFonts w:eastAsia="宋体" w:cs="Times New Roman"/>
                <w:sz w:val="18"/>
                <w:szCs w:val="18"/>
                <w:lang w:bidi="ar"/>
              </w:rPr>
              <w:t xml:space="preserve"> existing assessment frameworks, the measure incurs minimal costs while exerting a sustained positive influence on clinical </w:t>
            </w:r>
            <w:proofErr w:type="spellStart"/>
            <w:r>
              <w:rPr>
                <w:rFonts w:eastAsia="宋体" w:cs="Times New Roman"/>
                <w:sz w:val="18"/>
                <w:szCs w:val="18"/>
                <w:lang w:bidi="ar"/>
              </w:rPr>
              <w:t>behaviour</w:t>
            </w:r>
            <w:proofErr w:type="spellEnd"/>
            <w:r>
              <w:rPr>
                <w:rFonts w:eastAsia="宋体" w:cs="Times New Roman"/>
                <w:sz w:val="18"/>
                <w:szCs w:val="18"/>
                <w:lang w:bidi="ar"/>
              </w:rPr>
              <w:t>, rendering it exceptionally cost-effective.</w:t>
            </w:r>
          </w:p>
        </w:tc>
      </w:tr>
      <w:tr w:rsidR="00BB65DF" w14:paraId="68E1A2FE" w14:textId="77777777">
        <w:trPr>
          <w:trHeight w:val="240"/>
        </w:trPr>
        <w:tc>
          <w:tcPr>
            <w:tcW w:w="434" w:type="pct"/>
            <w:vMerge w:val="restart"/>
            <w:tcBorders>
              <w:top w:val="nil"/>
              <w:left w:val="nil"/>
              <w:bottom w:val="nil"/>
              <w:right w:val="nil"/>
            </w:tcBorders>
            <w:shd w:val="clear" w:color="auto" w:fill="FFFFFF"/>
            <w:tcMar>
              <w:top w:w="0" w:type="dxa"/>
              <w:left w:w="108" w:type="dxa"/>
              <w:bottom w:w="0" w:type="dxa"/>
              <w:right w:w="108" w:type="dxa"/>
            </w:tcMar>
          </w:tcPr>
          <w:p w14:paraId="7A80731D" w14:textId="77777777" w:rsidR="00BB65DF" w:rsidRDefault="00000000">
            <w:pPr>
              <w:snapToGrid w:val="0"/>
              <w:spacing w:line="240" w:lineRule="auto"/>
              <w:ind w:firstLineChars="0" w:firstLine="0"/>
              <w:rPr>
                <w:rFonts w:eastAsia="宋体" w:cs="Times New Roman"/>
                <w:b/>
                <w:color w:val="000000"/>
                <w:sz w:val="18"/>
                <w:szCs w:val="18"/>
              </w:rPr>
            </w:pPr>
            <w:proofErr w:type="spellStart"/>
            <w:r>
              <w:rPr>
                <w:rFonts w:eastAsia="宋体" w:cs="Times New Roman"/>
                <w:b/>
                <w:color w:val="000000"/>
                <w:sz w:val="18"/>
                <w:szCs w:val="18"/>
                <w:lang w:bidi="ar"/>
              </w:rPr>
              <w:t>C.Identifying</w:t>
            </w:r>
            <w:proofErr w:type="spellEnd"/>
            <w:r>
              <w:rPr>
                <w:rFonts w:eastAsia="宋体" w:cs="Times New Roman"/>
                <w:b/>
                <w:color w:val="000000"/>
                <w:sz w:val="18"/>
                <w:szCs w:val="18"/>
                <w:lang w:bidi="ar"/>
              </w:rPr>
              <w:t xml:space="preserve"> and Cultivating Champions</w:t>
            </w:r>
          </w:p>
          <w:p w14:paraId="2CCD273B" w14:textId="77777777" w:rsidR="00BB65DF" w:rsidRDefault="00BB65DF">
            <w:pPr>
              <w:snapToGrid w:val="0"/>
              <w:spacing w:line="240" w:lineRule="auto"/>
              <w:ind w:firstLineChars="0" w:firstLine="0"/>
              <w:rPr>
                <w:rFonts w:eastAsia="宋体" w:cs="Times New Roman"/>
                <w:b/>
                <w:sz w:val="18"/>
                <w:szCs w:val="18"/>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5566DA79"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sz w:val="18"/>
                <w:szCs w:val="18"/>
                <w:lang w:bidi="ar"/>
              </w:rPr>
              <w:t xml:space="preserve">C1. Identification: </w:t>
            </w:r>
            <w:r>
              <w:rPr>
                <w:rFonts w:eastAsia="宋体" w:cs="Times New Roman"/>
                <w:sz w:val="18"/>
                <w:szCs w:val="18"/>
                <w:lang w:bidi="ar"/>
              </w:rPr>
              <w:t xml:space="preserve">Employing purposive sampling, formal recruitment notices for </w:t>
            </w:r>
            <w:r>
              <w:rPr>
                <w:rFonts w:ascii="宋体" w:eastAsia="宋体" w:hAnsi="宋体" w:cs="宋体" w:hint="eastAsia"/>
                <w:sz w:val="18"/>
                <w:szCs w:val="18"/>
                <w:lang w:bidi="ar"/>
              </w:rPr>
              <w:t>“</w:t>
            </w:r>
            <w:r>
              <w:rPr>
                <w:rFonts w:eastAsia="宋体" w:cs="Times New Roman"/>
                <w:sz w:val="18"/>
                <w:szCs w:val="18"/>
                <w:lang w:bidi="ar"/>
              </w:rPr>
              <w:t>Champions</w:t>
            </w:r>
            <w:r>
              <w:rPr>
                <w:rFonts w:ascii="宋体" w:eastAsia="宋体" w:hAnsi="宋体" w:cs="宋体" w:hint="eastAsia"/>
                <w:sz w:val="18"/>
                <w:szCs w:val="18"/>
                <w:lang w:bidi="ar"/>
              </w:rPr>
              <w:t xml:space="preserve">” </w:t>
            </w:r>
            <w:r>
              <w:rPr>
                <w:rFonts w:eastAsia="宋体" w:cs="Times New Roman"/>
                <w:sz w:val="18"/>
                <w:szCs w:val="18"/>
                <w:lang w:bidi="ar"/>
              </w:rPr>
              <w:t xml:space="preserve">shall be issued through internal management channels (such as the Medical Affairs Office and department heads), clearly outlining role responsibilities and professional development </w:t>
            </w:r>
            <w:r>
              <w:rPr>
                <w:rFonts w:eastAsia="宋体" w:cs="Times New Roman"/>
                <w:sz w:val="18"/>
                <w:szCs w:val="18"/>
                <w:lang w:bidi="ar"/>
              </w:rPr>
              <w:lastRenderedPageBreak/>
              <w:t>benefits.</w:t>
            </w:r>
          </w:p>
        </w:tc>
        <w:tc>
          <w:tcPr>
            <w:tcW w:w="606" w:type="pct"/>
            <w:tcBorders>
              <w:top w:val="nil"/>
              <w:left w:val="nil"/>
              <w:bottom w:val="nil"/>
              <w:right w:val="nil"/>
            </w:tcBorders>
            <w:shd w:val="clear" w:color="auto" w:fill="FFFFFF"/>
            <w:tcMar>
              <w:top w:w="0" w:type="dxa"/>
              <w:left w:w="108" w:type="dxa"/>
              <w:bottom w:w="0" w:type="dxa"/>
              <w:right w:w="108" w:type="dxa"/>
            </w:tcMar>
          </w:tcPr>
          <w:p w14:paraId="65D83E34"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lastRenderedPageBreak/>
              <w:t>Managers or middle-level leaders within healthcare institutions (such as directors of medical affairs departments or heads of departments).</w:t>
            </w:r>
          </w:p>
        </w:tc>
        <w:tc>
          <w:tcPr>
            <w:tcW w:w="468" w:type="pct"/>
            <w:tcBorders>
              <w:top w:val="nil"/>
              <w:left w:val="nil"/>
              <w:bottom w:val="nil"/>
              <w:right w:val="nil"/>
            </w:tcBorders>
            <w:shd w:val="clear" w:color="auto" w:fill="FFFFFF"/>
            <w:tcMar>
              <w:top w:w="0" w:type="dxa"/>
              <w:left w:w="108" w:type="dxa"/>
              <w:bottom w:w="0" w:type="dxa"/>
              <w:right w:w="108" w:type="dxa"/>
            </w:tcMar>
          </w:tcPr>
          <w:p w14:paraId="33D74076"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All clinicians within the healthcare institution who possess the potential willingness and capability.</w:t>
            </w:r>
          </w:p>
        </w:tc>
        <w:tc>
          <w:tcPr>
            <w:tcW w:w="537" w:type="pct"/>
            <w:tcBorders>
              <w:top w:val="nil"/>
              <w:left w:val="nil"/>
              <w:bottom w:val="nil"/>
              <w:right w:val="nil"/>
            </w:tcBorders>
            <w:shd w:val="clear" w:color="auto" w:fill="FFFFFF"/>
            <w:tcMar>
              <w:top w:w="0" w:type="dxa"/>
              <w:left w:w="108" w:type="dxa"/>
              <w:bottom w:w="0" w:type="dxa"/>
              <w:right w:w="108" w:type="dxa"/>
            </w:tcMar>
          </w:tcPr>
          <w:p w14:paraId="63D0B419"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To be conducted within one week prior to the project commencement.</w:t>
            </w:r>
          </w:p>
        </w:tc>
        <w:tc>
          <w:tcPr>
            <w:tcW w:w="653" w:type="pct"/>
            <w:tcBorders>
              <w:top w:val="nil"/>
              <w:left w:val="nil"/>
              <w:bottom w:val="nil"/>
              <w:right w:val="nil"/>
            </w:tcBorders>
            <w:shd w:val="clear" w:color="auto" w:fill="FFFFFF"/>
            <w:tcMar>
              <w:top w:w="0" w:type="dxa"/>
              <w:left w:w="108" w:type="dxa"/>
              <w:bottom w:w="0" w:type="dxa"/>
              <w:right w:w="108" w:type="dxa"/>
            </w:tcMar>
          </w:tcPr>
          <w:p w14:paraId="589A1CFD"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One c</w:t>
            </w:r>
            <w:r>
              <w:rPr>
                <w:rFonts w:eastAsia="宋体" w:cs="Times New Roman"/>
                <w:sz w:val="18"/>
                <w:szCs w:val="18"/>
                <w:lang w:bidi="ar"/>
              </w:rPr>
              <w:t>hampion</w:t>
            </w:r>
            <w:r>
              <w:rPr>
                <w:rFonts w:eastAsia="宋体" w:cs="Times New Roman"/>
                <w:bCs/>
                <w:sz w:val="18"/>
                <w:szCs w:val="18"/>
                <w:lang w:bidi="ar"/>
              </w:rPr>
              <w:t xml:space="preserve"> per sample hospital, and one c</w:t>
            </w:r>
            <w:r>
              <w:rPr>
                <w:rFonts w:eastAsia="宋体" w:cs="Times New Roman"/>
                <w:sz w:val="18"/>
                <w:szCs w:val="18"/>
                <w:lang w:bidi="ar"/>
              </w:rPr>
              <w:t>hampion</w:t>
            </w:r>
            <w:r>
              <w:rPr>
                <w:rFonts w:eastAsia="宋体" w:cs="Times New Roman"/>
                <w:bCs/>
                <w:sz w:val="18"/>
                <w:szCs w:val="18"/>
                <w:lang w:bidi="ar"/>
              </w:rPr>
              <w:t xml:space="preserve"> per department or primary healthcare facility.</w:t>
            </w:r>
          </w:p>
        </w:tc>
        <w:tc>
          <w:tcPr>
            <w:tcW w:w="627" w:type="pct"/>
            <w:tcBorders>
              <w:top w:val="nil"/>
              <w:left w:val="nil"/>
              <w:bottom w:val="nil"/>
              <w:right w:val="nil"/>
            </w:tcBorders>
            <w:shd w:val="clear" w:color="auto" w:fill="FFFFFF"/>
            <w:tcMar>
              <w:top w:w="0" w:type="dxa"/>
              <w:left w:w="108" w:type="dxa"/>
              <w:bottom w:w="0" w:type="dxa"/>
              <w:right w:w="108" w:type="dxa"/>
            </w:tcMar>
          </w:tcPr>
          <w:p w14:paraId="2B57040E"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Enhance the endogenous capacity for interventions within the </w:t>
            </w:r>
            <w:proofErr w:type="spellStart"/>
            <w:r>
              <w:rPr>
                <w:rFonts w:eastAsia="宋体" w:cs="Times New Roman"/>
                <w:sz w:val="18"/>
                <w:szCs w:val="18"/>
                <w:lang w:bidi="ar"/>
              </w:rPr>
              <w:t>organisation</w:t>
            </w:r>
            <w:proofErr w:type="spellEnd"/>
            <w:r>
              <w:rPr>
                <w:rFonts w:eastAsia="宋体" w:cs="Times New Roman"/>
                <w:sz w:val="18"/>
                <w:szCs w:val="18"/>
                <w:lang w:bidi="ar"/>
              </w:rPr>
              <w:t>.</w:t>
            </w:r>
          </w:p>
        </w:tc>
        <w:tc>
          <w:tcPr>
            <w:tcW w:w="830" w:type="pct"/>
            <w:tcBorders>
              <w:top w:val="nil"/>
              <w:left w:val="nil"/>
              <w:bottom w:val="nil"/>
              <w:right w:val="nil"/>
            </w:tcBorders>
            <w:shd w:val="clear" w:color="auto" w:fill="FFFFFF"/>
            <w:tcMar>
              <w:top w:w="0" w:type="dxa"/>
              <w:left w:w="108" w:type="dxa"/>
              <w:bottom w:w="0" w:type="dxa"/>
              <w:right w:w="108" w:type="dxa"/>
            </w:tcMar>
          </w:tcPr>
          <w:p w14:paraId="44436760"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Through proactive recruitment, healthcare professionals demonstrating enthusiasm and potential for tobacco control work are systematically identified, laying the groundwork for subsequent training initiatives. This represents a highly cost-effective approach to talent </w:t>
            </w:r>
            <w:r>
              <w:rPr>
                <w:rFonts w:eastAsia="宋体" w:cs="Times New Roman"/>
                <w:sz w:val="18"/>
                <w:szCs w:val="18"/>
                <w:lang w:bidi="ar"/>
              </w:rPr>
              <w:lastRenderedPageBreak/>
              <w:t xml:space="preserve">discovery, requiring only the </w:t>
            </w:r>
            <w:proofErr w:type="spellStart"/>
            <w:r>
              <w:rPr>
                <w:rFonts w:eastAsia="宋体" w:cs="Times New Roman"/>
                <w:sz w:val="18"/>
                <w:szCs w:val="18"/>
                <w:lang w:bidi="ar"/>
              </w:rPr>
              <w:t>utilisation</w:t>
            </w:r>
            <w:proofErr w:type="spellEnd"/>
            <w:r>
              <w:rPr>
                <w:rFonts w:eastAsia="宋体" w:cs="Times New Roman"/>
                <w:sz w:val="18"/>
                <w:szCs w:val="18"/>
                <w:lang w:bidi="ar"/>
              </w:rPr>
              <w:t xml:space="preserve"> of existing internal communication channels.</w:t>
            </w:r>
          </w:p>
        </w:tc>
      </w:tr>
      <w:tr w:rsidR="00BB65DF" w14:paraId="49EA6EF3" w14:textId="77777777">
        <w:trPr>
          <w:trHeight w:val="240"/>
        </w:trPr>
        <w:tc>
          <w:tcPr>
            <w:tcW w:w="434" w:type="pct"/>
            <w:vMerge/>
            <w:tcBorders>
              <w:top w:val="nil"/>
              <w:left w:val="nil"/>
              <w:bottom w:val="nil"/>
              <w:right w:val="nil"/>
            </w:tcBorders>
            <w:shd w:val="clear" w:color="auto" w:fill="FFFFFF"/>
            <w:tcMar>
              <w:top w:w="0" w:type="dxa"/>
              <w:left w:w="108" w:type="dxa"/>
              <w:bottom w:w="0" w:type="dxa"/>
              <w:right w:w="108" w:type="dxa"/>
            </w:tcMar>
          </w:tcPr>
          <w:p w14:paraId="3336D14D"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59084772"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sz w:val="18"/>
                <w:szCs w:val="18"/>
                <w:lang w:bidi="ar"/>
              </w:rPr>
              <w:t xml:space="preserve">C2. Selection: </w:t>
            </w:r>
            <w:r>
              <w:rPr>
                <w:rFonts w:eastAsia="宋体" w:cs="Times New Roman"/>
                <w:sz w:val="18"/>
                <w:szCs w:val="18"/>
                <w:lang w:bidi="ar"/>
              </w:rPr>
              <w:t xml:space="preserve">Conduct one-to-one motivational interviews with all candidates to explore their interests in depth and clarify the core responsibilities of the </w:t>
            </w:r>
            <w:r>
              <w:rPr>
                <w:rFonts w:eastAsia="宋体" w:cs="Times New Roman"/>
                <w:bCs/>
                <w:sz w:val="18"/>
                <w:szCs w:val="18"/>
                <w:lang w:bidi="ar"/>
              </w:rPr>
              <w:t>c</w:t>
            </w:r>
            <w:r>
              <w:rPr>
                <w:rFonts w:eastAsia="宋体" w:cs="Times New Roman"/>
                <w:sz w:val="18"/>
                <w:szCs w:val="18"/>
                <w:lang w:bidi="ar"/>
              </w:rPr>
              <w:t>hampion role.</w:t>
            </w:r>
          </w:p>
        </w:tc>
        <w:tc>
          <w:tcPr>
            <w:tcW w:w="606" w:type="pct"/>
            <w:tcBorders>
              <w:top w:val="nil"/>
              <w:left w:val="nil"/>
              <w:bottom w:val="nil"/>
              <w:right w:val="nil"/>
            </w:tcBorders>
            <w:shd w:val="clear" w:color="auto" w:fill="FFFFFF"/>
            <w:tcMar>
              <w:top w:w="0" w:type="dxa"/>
              <w:left w:w="108" w:type="dxa"/>
              <w:bottom w:w="0" w:type="dxa"/>
              <w:right w:w="108" w:type="dxa"/>
            </w:tcMar>
          </w:tcPr>
          <w:p w14:paraId="2DA9BD67"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Third-party experts or project teams, responsible for conducting professional interviews and assessments.</w:t>
            </w:r>
          </w:p>
        </w:tc>
        <w:tc>
          <w:tcPr>
            <w:tcW w:w="468" w:type="pct"/>
            <w:tcBorders>
              <w:top w:val="nil"/>
              <w:left w:val="nil"/>
              <w:bottom w:val="nil"/>
              <w:right w:val="nil"/>
            </w:tcBorders>
            <w:shd w:val="clear" w:color="auto" w:fill="FFFFFF"/>
            <w:tcMar>
              <w:top w:w="0" w:type="dxa"/>
              <w:left w:w="108" w:type="dxa"/>
              <w:bottom w:w="0" w:type="dxa"/>
              <w:right w:w="108" w:type="dxa"/>
            </w:tcMar>
          </w:tcPr>
          <w:p w14:paraId="63D3DBDA"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All candidates selected through the C1 stage.</w:t>
            </w:r>
          </w:p>
        </w:tc>
        <w:tc>
          <w:tcPr>
            <w:tcW w:w="537" w:type="pct"/>
            <w:tcBorders>
              <w:top w:val="nil"/>
              <w:left w:val="nil"/>
              <w:bottom w:val="nil"/>
              <w:right w:val="nil"/>
            </w:tcBorders>
            <w:shd w:val="clear" w:color="auto" w:fill="FFFFFF"/>
            <w:tcMar>
              <w:top w:w="0" w:type="dxa"/>
              <w:left w:w="108" w:type="dxa"/>
              <w:bottom w:w="0" w:type="dxa"/>
              <w:right w:w="108" w:type="dxa"/>
            </w:tcMar>
          </w:tcPr>
          <w:p w14:paraId="51A62651"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Immediately following Phase C1, within the first week of the project.</w:t>
            </w:r>
          </w:p>
        </w:tc>
        <w:tc>
          <w:tcPr>
            <w:tcW w:w="653" w:type="pct"/>
            <w:tcBorders>
              <w:top w:val="nil"/>
              <w:left w:val="nil"/>
              <w:bottom w:val="nil"/>
              <w:right w:val="nil"/>
            </w:tcBorders>
            <w:shd w:val="clear" w:color="auto" w:fill="FFFFFF"/>
            <w:tcMar>
              <w:top w:w="0" w:type="dxa"/>
              <w:left w:w="108" w:type="dxa"/>
              <w:bottom w:w="0" w:type="dxa"/>
              <w:right w:w="108" w:type="dxa"/>
            </w:tcMar>
          </w:tcPr>
          <w:p w14:paraId="6E18CF62"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Conduct one 20-minute one-to-one interview with each candidate.</w:t>
            </w:r>
          </w:p>
        </w:tc>
        <w:tc>
          <w:tcPr>
            <w:tcW w:w="627" w:type="pct"/>
            <w:tcBorders>
              <w:top w:val="nil"/>
              <w:left w:val="nil"/>
              <w:bottom w:val="nil"/>
              <w:right w:val="nil"/>
            </w:tcBorders>
            <w:shd w:val="clear" w:color="auto" w:fill="FFFFFF"/>
            <w:tcMar>
              <w:top w:w="0" w:type="dxa"/>
              <w:left w:w="108" w:type="dxa"/>
              <w:bottom w:w="0" w:type="dxa"/>
              <w:right w:w="108" w:type="dxa"/>
            </w:tcMar>
          </w:tcPr>
          <w:p w14:paraId="48D8DA43"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Ensure high acceptance of the </w:t>
            </w:r>
            <w:r>
              <w:rPr>
                <w:rFonts w:eastAsia="宋体" w:cs="Times New Roman"/>
                <w:bCs/>
                <w:sz w:val="18"/>
                <w:szCs w:val="18"/>
                <w:lang w:bidi="ar"/>
              </w:rPr>
              <w:t>c</w:t>
            </w:r>
            <w:r>
              <w:rPr>
                <w:rFonts w:eastAsia="宋体" w:cs="Times New Roman"/>
                <w:sz w:val="18"/>
                <w:szCs w:val="18"/>
                <w:lang w:bidi="ar"/>
              </w:rPr>
              <w:t>hampion role and high adherence to intervention implementation.</w:t>
            </w:r>
          </w:p>
        </w:tc>
        <w:tc>
          <w:tcPr>
            <w:tcW w:w="830" w:type="pct"/>
            <w:tcBorders>
              <w:top w:val="nil"/>
              <w:left w:val="nil"/>
              <w:bottom w:val="nil"/>
              <w:right w:val="nil"/>
            </w:tcBorders>
            <w:shd w:val="clear" w:color="auto" w:fill="FFFFFF"/>
            <w:tcMar>
              <w:top w:w="0" w:type="dxa"/>
              <w:left w:w="108" w:type="dxa"/>
              <w:bottom w:w="0" w:type="dxa"/>
              <w:right w:w="108" w:type="dxa"/>
            </w:tcMar>
          </w:tcPr>
          <w:p w14:paraId="423A1953"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Through one-to-one interviews, candidates' motivations and understanding are thoroughly assessed to ensure the final selection demonstrates a high degree of alignment. This approach offers cost control while significantly enhancing the success rate of interventions, thereby preventing resource wastage on unsuitable candidates.</w:t>
            </w:r>
            <w:r>
              <w:rPr>
                <w:rFonts w:ascii="宋体" w:eastAsia="宋体" w:hAnsi="宋体" w:cs="宋体" w:hint="eastAsia"/>
                <w:sz w:val="18"/>
                <w:szCs w:val="18"/>
                <w:lang w:bidi="ar"/>
              </w:rPr>
              <w:t>。</w:t>
            </w:r>
          </w:p>
        </w:tc>
      </w:tr>
      <w:tr w:rsidR="00BB65DF" w14:paraId="6DA6EADE" w14:textId="77777777">
        <w:trPr>
          <w:trHeight w:val="2520"/>
        </w:trPr>
        <w:tc>
          <w:tcPr>
            <w:tcW w:w="434" w:type="pct"/>
            <w:vMerge/>
            <w:tcBorders>
              <w:top w:val="nil"/>
              <w:left w:val="nil"/>
              <w:bottom w:val="nil"/>
              <w:right w:val="nil"/>
            </w:tcBorders>
            <w:shd w:val="clear" w:color="auto" w:fill="FFFFFF"/>
            <w:tcMar>
              <w:top w:w="0" w:type="dxa"/>
              <w:left w:w="108" w:type="dxa"/>
              <w:bottom w:w="0" w:type="dxa"/>
              <w:right w:w="108" w:type="dxa"/>
            </w:tcMar>
          </w:tcPr>
          <w:p w14:paraId="41AF4C66"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7D12C303"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sz w:val="18"/>
                <w:szCs w:val="18"/>
                <w:lang w:bidi="ar"/>
              </w:rPr>
              <w:t xml:space="preserve">C3. Empowerment: </w:t>
            </w:r>
            <w:r>
              <w:rPr>
                <w:rFonts w:eastAsia="宋体" w:cs="Times New Roman"/>
                <w:sz w:val="18"/>
                <w:szCs w:val="18"/>
                <w:lang w:bidi="ar"/>
              </w:rPr>
              <w:t xml:space="preserve">Conferring authority and a sense of purpose upon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xml:space="preserve"> through formal, public appointments.</w:t>
            </w:r>
          </w:p>
        </w:tc>
        <w:tc>
          <w:tcPr>
            <w:tcW w:w="606" w:type="pct"/>
            <w:tcBorders>
              <w:top w:val="nil"/>
              <w:left w:val="nil"/>
              <w:bottom w:val="nil"/>
              <w:right w:val="nil"/>
            </w:tcBorders>
            <w:shd w:val="clear" w:color="auto" w:fill="FFFFFF"/>
            <w:tcMar>
              <w:top w:w="0" w:type="dxa"/>
              <w:left w:w="108" w:type="dxa"/>
              <w:bottom w:w="0" w:type="dxa"/>
              <w:right w:w="108" w:type="dxa"/>
            </w:tcMar>
          </w:tcPr>
          <w:p w14:paraId="53D041C0"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Senior managers in healthcare institutions.</w:t>
            </w:r>
          </w:p>
        </w:tc>
        <w:tc>
          <w:tcPr>
            <w:tcW w:w="468" w:type="pct"/>
            <w:tcBorders>
              <w:top w:val="nil"/>
              <w:left w:val="nil"/>
              <w:bottom w:val="nil"/>
              <w:right w:val="nil"/>
            </w:tcBorders>
            <w:shd w:val="clear" w:color="auto" w:fill="FFFFFF"/>
            <w:tcMar>
              <w:top w:w="0" w:type="dxa"/>
              <w:left w:w="108" w:type="dxa"/>
              <w:bottom w:w="0" w:type="dxa"/>
              <w:right w:w="108" w:type="dxa"/>
            </w:tcMar>
          </w:tcPr>
          <w:p w14:paraId="77773FBC" w14:textId="77777777" w:rsidR="00BB65DF" w:rsidRDefault="00000000">
            <w:pPr>
              <w:snapToGrid w:val="0"/>
              <w:spacing w:line="240" w:lineRule="auto"/>
              <w:ind w:firstLineChars="0" w:firstLine="0"/>
              <w:textAlignment w:val="center"/>
              <w:rPr>
                <w:rFonts w:eastAsia="宋体" w:cs="Times New Roman"/>
                <w:bCs/>
                <w:sz w:val="18"/>
                <w:szCs w:val="18"/>
              </w:rPr>
            </w:pPr>
            <w:r>
              <w:rPr>
                <w:rFonts w:eastAsia="宋体" w:cs="Times New Roman"/>
                <w:bCs/>
                <w:sz w:val="18"/>
                <w:szCs w:val="18"/>
                <w:lang w:bidi="ar"/>
              </w:rPr>
              <w:t>All selected c</w:t>
            </w:r>
            <w:r>
              <w:rPr>
                <w:rFonts w:eastAsia="宋体" w:cs="Times New Roman"/>
                <w:sz w:val="18"/>
                <w:szCs w:val="18"/>
                <w:lang w:bidi="ar"/>
              </w:rPr>
              <w:t>hampion</w:t>
            </w:r>
            <w:r>
              <w:rPr>
                <w:rFonts w:eastAsia="宋体" w:cs="Times New Roman"/>
                <w:bCs/>
                <w:sz w:val="18"/>
                <w:szCs w:val="18"/>
                <w:lang w:bidi="ar"/>
              </w:rPr>
              <w:t>s.</w:t>
            </w:r>
          </w:p>
        </w:tc>
        <w:tc>
          <w:tcPr>
            <w:tcW w:w="537" w:type="pct"/>
            <w:tcBorders>
              <w:top w:val="nil"/>
              <w:left w:val="nil"/>
              <w:bottom w:val="nil"/>
              <w:right w:val="nil"/>
            </w:tcBorders>
            <w:shd w:val="clear" w:color="auto" w:fill="FFFFFF"/>
            <w:tcMar>
              <w:top w:w="0" w:type="dxa"/>
              <w:left w:w="108" w:type="dxa"/>
              <w:bottom w:w="0" w:type="dxa"/>
              <w:right w:w="108" w:type="dxa"/>
            </w:tcMar>
          </w:tcPr>
          <w:p w14:paraId="34D4F919"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Immediately following the C2 phase, within the first week of the project.</w:t>
            </w:r>
          </w:p>
        </w:tc>
        <w:tc>
          <w:tcPr>
            <w:tcW w:w="653" w:type="pct"/>
            <w:tcBorders>
              <w:top w:val="nil"/>
              <w:left w:val="nil"/>
              <w:bottom w:val="nil"/>
              <w:right w:val="nil"/>
            </w:tcBorders>
            <w:shd w:val="clear" w:color="auto" w:fill="FFFFFF"/>
            <w:tcMar>
              <w:top w:w="0" w:type="dxa"/>
              <w:left w:w="108" w:type="dxa"/>
              <w:bottom w:w="0" w:type="dxa"/>
              <w:right w:w="108" w:type="dxa"/>
            </w:tcMar>
          </w:tcPr>
          <w:p w14:paraId="6964F9D7"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One formal letter of appointment, clearly outlining the core responsibilities of the promoter.</w:t>
            </w:r>
          </w:p>
        </w:tc>
        <w:tc>
          <w:tcPr>
            <w:tcW w:w="627" w:type="pct"/>
            <w:tcBorders>
              <w:top w:val="nil"/>
              <w:left w:val="nil"/>
              <w:bottom w:val="nil"/>
              <w:right w:val="nil"/>
            </w:tcBorders>
            <w:shd w:val="clear" w:color="auto" w:fill="FFFFFF"/>
            <w:tcMar>
              <w:top w:w="0" w:type="dxa"/>
              <w:left w:w="108" w:type="dxa"/>
              <w:bottom w:w="0" w:type="dxa"/>
              <w:right w:w="108" w:type="dxa"/>
            </w:tcMar>
          </w:tcPr>
          <w:p w14:paraId="61D18B10"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Enhance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sense of identity and acceptance of their role.</w:t>
            </w:r>
          </w:p>
        </w:tc>
        <w:tc>
          <w:tcPr>
            <w:tcW w:w="830" w:type="pct"/>
            <w:tcBorders>
              <w:top w:val="nil"/>
              <w:left w:val="nil"/>
              <w:bottom w:val="nil"/>
              <w:right w:val="nil"/>
            </w:tcBorders>
            <w:shd w:val="clear" w:color="auto" w:fill="FFFFFF"/>
            <w:tcMar>
              <w:top w:w="0" w:type="dxa"/>
              <w:left w:w="108" w:type="dxa"/>
              <w:bottom w:w="0" w:type="dxa"/>
              <w:right w:w="108" w:type="dxa"/>
            </w:tcMar>
          </w:tcPr>
          <w:p w14:paraId="3ED0DC79"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Through formal appointment,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xml:space="preserve"> are provided with a clear identity and role, enabling them to work more effectively and gain recognition from colleagues. This initiative incurs no additional costs yet significantly boosts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intrinsic motivation and sense of responsibility.</w:t>
            </w:r>
          </w:p>
        </w:tc>
      </w:tr>
      <w:tr w:rsidR="00BB65DF" w14:paraId="16460FB4" w14:textId="77777777">
        <w:trPr>
          <w:trHeight w:val="240"/>
        </w:trPr>
        <w:tc>
          <w:tcPr>
            <w:tcW w:w="434" w:type="pct"/>
            <w:vMerge/>
            <w:tcBorders>
              <w:top w:val="nil"/>
              <w:left w:val="nil"/>
              <w:bottom w:val="nil"/>
              <w:right w:val="nil"/>
            </w:tcBorders>
            <w:shd w:val="clear" w:color="auto" w:fill="FFFFFF"/>
            <w:tcMar>
              <w:top w:w="0" w:type="dxa"/>
              <w:left w:w="108" w:type="dxa"/>
              <w:bottom w:w="0" w:type="dxa"/>
              <w:right w:w="108" w:type="dxa"/>
            </w:tcMar>
          </w:tcPr>
          <w:p w14:paraId="378D297B"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3D7D1DA3" w14:textId="77777777" w:rsidR="00BB65DF" w:rsidRDefault="00000000">
            <w:pPr>
              <w:snapToGrid w:val="0"/>
              <w:spacing w:line="240" w:lineRule="auto"/>
              <w:ind w:firstLineChars="0" w:firstLine="0"/>
              <w:jc w:val="both"/>
              <w:rPr>
                <w:rFonts w:eastAsia="宋体" w:cs="Times New Roman"/>
                <w:bCs/>
                <w:sz w:val="18"/>
                <w:szCs w:val="18"/>
              </w:rPr>
            </w:pPr>
            <w:r>
              <w:rPr>
                <w:rFonts w:eastAsia="宋体" w:cs="Times New Roman"/>
                <w:b/>
                <w:sz w:val="18"/>
                <w:szCs w:val="18"/>
                <w:lang w:bidi="ar"/>
              </w:rPr>
              <w:t xml:space="preserve">C4. Cultivation: </w:t>
            </w:r>
            <w:r>
              <w:rPr>
                <w:rFonts w:eastAsia="宋体" w:cs="Times New Roman"/>
                <w:sz w:val="18"/>
                <w:szCs w:val="18"/>
                <w:lang w:bidi="ar"/>
              </w:rPr>
              <w:t xml:space="preserve">Deliver one core competency training session focusing on how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xml:space="preserve"> can effectively provide peer support and overcome common obstacles encountered in grassroots practice. Provide ongoing online guidance </w:t>
            </w:r>
            <w:proofErr w:type="spellStart"/>
            <w:r>
              <w:rPr>
                <w:rFonts w:eastAsia="宋体" w:cs="Times New Roman"/>
                <w:sz w:val="18"/>
                <w:szCs w:val="18"/>
                <w:lang w:bidi="ar"/>
              </w:rPr>
              <w:t>centred</w:t>
            </w:r>
            <w:proofErr w:type="spellEnd"/>
            <w:r>
              <w:rPr>
                <w:rFonts w:eastAsia="宋体" w:cs="Times New Roman"/>
                <w:sz w:val="18"/>
                <w:szCs w:val="18"/>
                <w:lang w:bidi="ar"/>
              </w:rPr>
              <w:t xml:space="preserve"> on core responsibilities including demonstration, dissemination, support, coordination, advocacy and problem-solving, to continuously enhance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tobacco control knowledge and practical capabilities.</w:t>
            </w:r>
          </w:p>
        </w:tc>
        <w:tc>
          <w:tcPr>
            <w:tcW w:w="606" w:type="pct"/>
            <w:tcBorders>
              <w:top w:val="nil"/>
              <w:left w:val="nil"/>
              <w:bottom w:val="nil"/>
              <w:right w:val="nil"/>
            </w:tcBorders>
            <w:shd w:val="clear" w:color="auto" w:fill="FFFFFF"/>
            <w:tcMar>
              <w:top w:w="0" w:type="dxa"/>
              <w:left w:w="108" w:type="dxa"/>
              <w:bottom w:w="0" w:type="dxa"/>
              <w:right w:w="108" w:type="dxa"/>
            </w:tcMar>
          </w:tcPr>
          <w:p w14:paraId="03E6DAC6"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Third-party experts and project teams.</w:t>
            </w:r>
          </w:p>
        </w:tc>
        <w:tc>
          <w:tcPr>
            <w:tcW w:w="468" w:type="pct"/>
            <w:tcBorders>
              <w:top w:val="nil"/>
              <w:left w:val="nil"/>
              <w:bottom w:val="nil"/>
              <w:right w:val="nil"/>
            </w:tcBorders>
            <w:shd w:val="clear" w:color="auto" w:fill="FFFFFF"/>
            <w:tcMar>
              <w:top w:w="0" w:type="dxa"/>
              <w:left w:w="108" w:type="dxa"/>
              <w:bottom w:w="0" w:type="dxa"/>
              <w:right w:w="108" w:type="dxa"/>
            </w:tcMar>
          </w:tcPr>
          <w:p w14:paraId="4A638844" w14:textId="77777777" w:rsidR="00BB65DF" w:rsidRDefault="00000000">
            <w:pPr>
              <w:snapToGrid w:val="0"/>
              <w:spacing w:line="240" w:lineRule="auto"/>
              <w:ind w:firstLineChars="0" w:firstLine="0"/>
              <w:textAlignment w:val="center"/>
              <w:rPr>
                <w:rFonts w:eastAsia="宋体" w:cs="Times New Roman"/>
                <w:bCs/>
                <w:sz w:val="18"/>
                <w:szCs w:val="18"/>
              </w:rPr>
            </w:pPr>
            <w:r>
              <w:rPr>
                <w:rFonts w:eastAsia="宋体" w:cs="Times New Roman"/>
                <w:bCs/>
                <w:sz w:val="18"/>
                <w:szCs w:val="18"/>
                <w:lang w:bidi="ar"/>
              </w:rPr>
              <w:t>All selected c</w:t>
            </w:r>
            <w:r>
              <w:rPr>
                <w:rFonts w:eastAsia="宋体" w:cs="Times New Roman"/>
                <w:sz w:val="18"/>
                <w:szCs w:val="18"/>
                <w:lang w:bidi="ar"/>
              </w:rPr>
              <w:t>hampion</w:t>
            </w:r>
            <w:r>
              <w:rPr>
                <w:rFonts w:eastAsia="宋体" w:cs="Times New Roman"/>
                <w:bCs/>
                <w:sz w:val="18"/>
                <w:szCs w:val="18"/>
                <w:lang w:bidi="ar"/>
              </w:rPr>
              <w:t>s.</w:t>
            </w:r>
          </w:p>
        </w:tc>
        <w:tc>
          <w:tcPr>
            <w:tcW w:w="537" w:type="pct"/>
            <w:tcBorders>
              <w:top w:val="nil"/>
              <w:left w:val="nil"/>
              <w:bottom w:val="nil"/>
              <w:right w:val="nil"/>
            </w:tcBorders>
            <w:shd w:val="clear" w:color="auto" w:fill="FFFFFF"/>
            <w:tcMar>
              <w:top w:w="0" w:type="dxa"/>
              <w:left w:w="108" w:type="dxa"/>
              <w:bottom w:w="0" w:type="dxa"/>
              <w:right w:w="108" w:type="dxa"/>
            </w:tcMar>
          </w:tcPr>
          <w:p w14:paraId="676F643B"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Initiated immediately following Phase C3 and running throughout the entire project cycle. Core competency training commences in Week 1 of the project. During Weeks 2 to 12, c</w:t>
            </w:r>
            <w:r>
              <w:rPr>
                <w:rFonts w:eastAsia="宋体" w:cs="Times New Roman"/>
                <w:sz w:val="18"/>
                <w:szCs w:val="18"/>
                <w:lang w:bidi="ar"/>
              </w:rPr>
              <w:t>hampion</w:t>
            </w:r>
            <w:r>
              <w:rPr>
                <w:rFonts w:eastAsia="宋体" w:cs="Times New Roman"/>
                <w:bCs/>
                <w:sz w:val="18"/>
                <w:szCs w:val="18"/>
                <w:lang w:bidi="ar"/>
              </w:rPr>
              <w:t>s enter the independent practice phase, with the project team providing weekly online guidance.</w:t>
            </w:r>
          </w:p>
        </w:tc>
        <w:tc>
          <w:tcPr>
            <w:tcW w:w="653" w:type="pct"/>
            <w:tcBorders>
              <w:top w:val="nil"/>
              <w:left w:val="nil"/>
              <w:bottom w:val="nil"/>
              <w:right w:val="nil"/>
            </w:tcBorders>
            <w:shd w:val="clear" w:color="auto" w:fill="FFFFFF"/>
            <w:tcMar>
              <w:top w:w="0" w:type="dxa"/>
              <w:left w:w="108" w:type="dxa"/>
              <w:bottom w:w="0" w:type="dxa"/>
              <w:right w:w="108" w:type="dxa"/>
            </w:tcMar>
          </w:tcPr>
          <w:p w14:paraId="376508DF"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A intensive training session lasting 1</w:t>
            </w:r>
            <w:r>
              <w:rPr>
                <w:rFonts w:ascii="宋体" w:eastAsia="宋体" w:hAnsi="宋体" w:cs="宋体" w:hint="eastAsia"/>
                <w:bCs/>
                <w:sz w:val="18"/>
                <w:szCs w:val="18"/>
                <w:lang w:bidi="ar"/>
              </w:rPr>
              <w:t>–</w:t>
            </w:r>
            <w:r>
              <w:rPr>
                <w:rFonts w:eastAsia="宋体" w:cs="Times New Roman"/>
                <w:bCs/>
                <w:sz w:val="18"/>
                <w:szCs w:val="18"/>
                <w:lang w:bidi="ar"/>
              </w:rPr>
              <w:t>1.5 hours serves as the sole formal training for c</w:t>
            </w:r>
            <w:r>
              <w:rPr>
                <w:rFonts w:eastAsia="宋体" w:cs="Times New Roman"/>
                <w:sz w:val="18"/>
                <w:szCs w:val="18"/>
                <w:lang w:bidi="ar"/>
              </w:rPr>
              <w:t>hampion</w:t>
            </w:r>
            <w:r>
              <w:rPr>
                <w:rFonts w:eastAsia="宋体" w:cs="Times New Roman"/>
                <w:bCs/>
                <w:sz w:val="18"/>
                <w:szCs w:val="18"/>
                <w:lang w:bidi="ar"/>
              </w:rPr>
              <w:t>s prior to commencing duties. Online guidance sessions, each lasting 10</w:t>
            </w:r>
            <w:r>
              <w:rPr>
                <w:rFonts w:ascii="宋体" w:eastAsia="宋体" w:hAnsi="宋体" w:cs="宋体" w:hint="eastAsia"/>
                <w:bCs/>
                <w:sz w:val="18"/>
                <w:szCs w:val="18"/>
                <w:lang w:bidi="ar"/>
              </w:rPr>
              <w:t>–</w:t>
            </w:r>
            <w:r>
              <w:rPr>
                <w:rFonts w:eastAsia="宋体" w:cs="Times New Roman"/>
                <w:bCs/>
                <w:sz w:val="18"/>
                <w:szCs w:val="18"/>
                <w:lang w:bidi="ar"/>
              </w:rPr>
              <w:t>15 minutes, are conducted to address critical issues encountered by c</w:t>
            </w:r>
            <w:r>
              <w:rPr>
                <w:rFonts w:eastAsia="宋体" w:cs="Times New Roman"/>
                <w:sz w:val="18"/>
                <w:szCs w:val="18"/>
                <w:lang w:bidi="ar"/>
              </w:rPr>
              <w:t>hampion</w:t>
            </w:r>
            <w:r>
              <w:rPr>
                <w:rFonts w:eastAsia="宋体" w:cs="Times New Roman"/>
                <w:bCs/>
                <w:sz w:val="18"/>
                <w:szCs w:val="18"/>
                <w:lang w:bidi="ar"/>
              </w:rPr>
              <w:t>s during practical implementation.</w:t>
            </w:r>
          </w:p>
        </w:tc>
        <w:tc>
          <w:tcPr>
            <w:tcW w:w="627" w:type="pct"/>
            <w:tcBorders>
              <w:top w:val="nil"/>
              <w:left w:val="nil"/>
              <w:bottom w:val="nil"/>
              <w:right w:val="nil"/>
            </w:tcBorders>
            <w:shd w:val="clear" w:color="auto" w:fill="FFFFFF"/>
            <w:tcMar>
              <w:top w:w="0" w:type="dxa"/>
              <w:left w:w="108" w:type="dxa"/>
              <w:bottom w:w="0" w:type="dxa"/>
              <w:right w:w="108" w:type="dxa"/>
            </w:tcMar>
          </w:tcPr>
          <w:p w14:paraId="3A1219E5"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Enhance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sense of self-efficacy and capacity for intervention implementation.</w:t>
            </w:r>
          </w:p>
        </w:tc>
        <w:tc>
          <w:tcPr>
            <w:tcW w:w="830" w:type="pct"/>
            <w:tcBorders>
              <w:top w:val="nil"/>
              <w:left w:val="nil"/>
              <w:bottom w:val="nil"/>
              <w:right w:val="nil"/>
            </w:tcBorders>
            <w:shd w:val="clear" w:color="auto" w:fill="FFFFFF"/>
            <w:tcMar>
              <w:top w:w="0" w:type="dxa"/>
              <w:left w:w="108" w:type="dxa"/>
              <w:bottom w:w="0" w:type="dxa"/>
              <w:right w:w="108" w:type="dxa"/>
            </w:tcMar>
          </w:tcPr>
          <w:p w14:paraId="63783996"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Through refined training and ongoing guidance, address technical challenges that </w:t>
            </w:r>
            <w:r>
              <w:rPr>
                <w:rFonts w:eastAsia="宋体" w:cs="Times New Roman"/>
                <w:bCs/>
                <w:sz w:val="18"/>
                <w:szCs w:val="18"/>
                <w:lang w:bidi="ar"/>
              </w:rPr>
              <w:t>c</w:t>
            </w:r>
            <w:r>
              <w:rPr>
                <w:rFonts w:eastAsia="宋体" w:cs="Times New Roman"/>
                <w:sz w:val="18"/>
                <w:szCs w:val="18"/>
                <w:lang w:bidi="ar"/>
              </w:rPr>
              <w:t>hampion</w:t>
            </w:r>
            <w:r>
              <w:rPr>
                <w:rFonts w:eastAsia="宋体" w:cs="Times New Roman"/>
                <w:bCs/>
                <w:sz w:val="18"/>
                <w:szCs w:val="18"/>
                <w:lang w:bidi="ar"/>
              </w:rPr>
              <w:t>s</w:t>
            </w:r>
            <w:r>
              <w:rPr>
                <w:rFonts w:eastAsia="宋体" w:cs="Times New Roman"/>
                <w:sz w:val="18"/>
                <w:szCs w:val="18"/>
                <w:lang w:bidi="ar"/>
              </w:rPr>
              <w:t xml:space="preserve"> may encounter while fulfilling their duties, ensuring they can effectively serve as role models and provide support. This model offers cost-effective solutions, particularly with online mentoring, which effectively supports promoters' continuous development and is well-suited to primary healthcare settings.</w:t>
            </w:r>
          </w:p>
        </w:tc>
      </w:tr>
      <w:tr w:rsidR="00BB65DF" w14:paraId="52611276" w14:textId="77777777">
        <w:trPr>
          <w:trHeight w:val="240"/>
        </w:trPr>
        <w:tc>
          <w:tcPr>
            <w:tcW w:w="434" w:type="pct"/>
            <w:vMerge w:val="restart"/>
            <w:tcBorders>
              <w:top w:val="nil"/>
              <w:left w:val="nil"/>
              <w:bottom w:val="nil"/>
              <w:right w:val="nil"/>
            </w:tcBorders>
            <w:shd w:val="clear" w:color="auto" w:fill="FFFFFF"/>
            <w:tcMar>
              <w:top w:w="0" w:type="dxa"/>
              <w:left w:w="108" w:type="dxa"/>
              <w:bottom w:w="0" w:type="dxa"/>
              <w:right w:w="108" w:type="dxa"/>
            </w:tcMar>
          </w:tcPr>
          <w:p w14:paraId="18D52890" w14:textId="77777777" w:rsidR="00BB65DF" w:rsidRDefault="00000000">
            <w:pPr>
              <w:snapToGrid w:val="0"/>
              <w:spacing w:line="240" w:lineRule="auto"/>
              <w:ind w:firstLineChars="0" w:firstLine="0"/>
              <w:rPr>
                <w:rFonts w:eastAsia="宋体" w:cs="Times New Roman"/>
                <w:b/>
                <w:color w:val="000000"/>
                <w:sz w:val="18"/>
                <w:szCs w:val="18"/>
              </w:rPr>
            </w:pPr>
            <w:proofErr w:type="spellStart"/>
            <w:r>
              <w:rPr>
                <w:rFonts w:eastAsia="宋体" w:cs="Times New Roman"/>
                <w:b/>
                <w:color w:val="000000"/>
                <w:sz w:val="18"/>
                <w:szCs w:val="18"/>
                <w:lang w:bidi="ar"/>
              </w:rPr>
              <w:t>D.Education</w:t>
            </w:r>
            <w:proofErr w:type="spellEnd"/>
            <w:r>
              <w:rPr>
                <w:rFonts w:eastAsia="宋体" w:cs="Times New Roman"/>
                <w:b/>
                <w:color w:val="000000"/>
                <w:sz w:val="18"/>
                <w:szCs w:val="18"/>
                <w:lang w:bidi="ar"/>
              </w:rPr>
              <w:t xml:space="preserve"> </w:t>
            </w:r>
            <w:r>
              <w:rPr>
                <w:rFonts w:eastAsia="宋体" w:cs="Times New Roman"/>
                <w:b/>
                <w:color w:val="000000"/>
                <w:sz w:val="18"/>
                <w:szCs w:val="18"/>
                <w:lang w:bidi="ar"/>
              </w:rPr>
              <w:lastRenderedPageBreak/>
              <w:t>and Training</w:t>
            </w:r>
          </w:p>
          <w:p w14:paraId="4481CA52" w14:textId="77777777" w:rsidR="00BB65DF" w:rsidRDefault="00BB65DF">
            <w:pPr>
              <w:snapToGrid w:val="0"/>
              <w:spacing w:line="240" w:lineRule="auto"/>
              <w:ind w:firstLineChars="0" w:firstLine="0"/>
              <w:rPr>
                <w:rFonts w:eastAsia="宋体" w:cs="Times New Roman"/>
                <w:b/>
                <w:sz w:val="18"/>
                <w:szCs w:val="18"/>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423B737F"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sz w:val="18"/>
                <w:szCs w:val="18"/>
                <w:lang w:bidi="ar"/>
              </w:rPr>
              <w:lastRenderedPageBreak/>
              <w:t xml:space="preserve">D1. </w:t>
            </w:r>
            <w:proofErr w:type="spellStart"/>
            <w:r>
              <w:rPr>
                <w:rFonts w:eastAsia="宋体" w:cs="Times New Roman"/>
                <w:b/>
                <w:sz w:val="18"/>
                <w:szCs w:val="18"/>
                <w:lang w:bidi="ar"/>
              </w:rPr>
              <w:t>Specialised</w:t>
            </w:r>
            <w:proofErr w:type="spellEnd"/>
            <w:r>
              <w:rPr>
                <w:rFonts w:eastAsia="宋体" w:cs="Times New Roman"/>
                <w:b/>
                <w:sz w:val="18"/>
                <w:szCs w:val="18"/>
                <w:lang w:bidi="ar"/>
              </w:rPr>
              <w:t xml:space="preserve"> Workshops: </w:t>
            </w:r>
            <w:r>
              <w:rPr>
                <w:rFonts w:eastAsia="宋体" w:cs="Times New Roman"/>
                <w:sz w:val="18"/>
                <w:szCs w:val="18"/>
                <w:lang w:bidi="ar"/>
              </w:rPr>
              <w:lastRenderedPageBreak/>
              <w:t xml:space="preserve">Conduct small-scale, highly interactive workshops. These sessions focus on specific challenges within brief smoking cessation interventions, such as: </w:t>
            </w:r>
            <w:r>
              <w:rPr>
                <w:rFonts w:ascii="宋体" w:eastAsia="宋体" w:hAnsi="宋体" w:cs="宋体" w:hint="eastAsia"/>
                <w:sz w:val="18"/>
                <w:szCs w:val="18"/>
                <w:lang w:bidi="ar"/>
              </w:rPr>
              <w:t>‘</w:t>
            </w:r>
            <w:r>
              <w:rPr>
                <w:rFonts w:eastAsia="宋体" w:cs="Times New Roman"/>
                <w:sz w:val="18"/>
                <w:szCs w:val="18"/>
                <w:lang w:bidi="ar"/>
              </w:rPr>
              <w:t>How to skillfully initiate and broach the topic of tobacco control,</w:t>
            </w:r>
            <w:r>
              <w:rPr>
                <w:rFonts w:ascii="宋体" w:eastAsia="宋体" w:hAnsi="宋体" w:cs="宋体" w:hint="eastAsia"/>
                <w:sz w:val="18"/>
                <w:szCs w:val="18"/>
                <w:lang w:bidi="ar"/>
              </w:rPr>
              <w:t>’‘</w:t>
            </w:r>
            <w:r>
              <w:rPr>
                <w:rFonts w:eastAsia="宋体" w:cs="Times New Roman"/>
                <w:sz w:val="18"/>
                <w:szCs w:val="18"/>
                <w:lang w:bidi="ar"/>
              </w:rPr>
              <w:t>How to employ motivational interviewing techniques when encountering patient resistance,</w:t>
            </w:r>
            <w:r>
              <w:rPr>
                <w:rFonts w:ascii="宋体" w:eastAsia="宋体" w:hAnsi="宋体" w:cs="宋体" w:hint="eastAsia"/>
                <w:sz w:val="18"/>
                <w:szCs w:val="18"/>
                <w:lang w:bidi="ar"/>
              </w:rPr>
              <w:t>’ ‘</w:t>
            </w:r>
            <w:r>
              <w:rPr>
                <w:rFonts w:eastAsia="宋体" w:cs="Times New Roman"/>
                <w:sz w:val="18"/>
                <w:szCs w:val="18"/>
                <w:lang w:bidi="ar"/>
              </w:rPr>
              <w:t>How to assist patients in managing urges to relapse.</w:t>
            </w:r>
            <w:r>
              <w:rPr>
                <w:rFonts w:ascii="宋体" w:eastAsia="宋体" w:hAnsi="宋体" w:cs="宋体" w:hint="eastAsia"/>
                <w:sz w:val="18"/>
                <w:szCs w:val="18"/>
                <w:lang w:bidi="ar"/>
              </w:rPr>
              <w:t>’</w:t>
            </w:r>
          </w:p>
        </w:tc>
        <w:tc>
          <w:tcPr>
            <w:tcW w:w="606" w:type="pct"/>
            <w:tcBorders>
              <w:top w:val="nil"/>
              <w:left w:val="nil"/>
              <w:bottom w:val="nil"/>
              <w:right w:val="nil"/>
            </w:tcBorders>
            <w:shd w:val="clear" w:color="auto" w:fill="FFFFFF"/>
            <w:tcMar>
              <w:top w:w="0" w:type="dxa"/>
              <w:left w:w="108" w:type="dxa"/>
              <w:bottom w:w="0" w:type="dxa"/>
              <w:right w:w="108" w:type="dxa"/>
            </w:tcMar>
          </w:tcPr>
          <w:p w14:paraId="7DCAA274"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lastRenderedPageBreak/>
              <w:t xml:space="preserve">Project team </w:t>
            </w:r>
            <w:r>
              <w:rPr>
                <w:rFonts w:eastAsia="宋体" w:cs="Times New Roman"/>
                <w:bCs/>
                <w:sz w:val="18"/>
                <w:szCs w:val="18"/>
                <w:lang w:bidi="ar"/>
              </w:rPr>
              <w:lastRenderedPageBreak/>
              <w:t>members, or specially trained and experienced in-house smoking control specialists.</w:t>
            </w:r>
          </w:p>
        </w:tc>
        <w:tc>
          <w:tcPr>
            <w:tcW w:w="468" w:type="pct"/>
            <w:tcBorders>
              <w:top w:val="nil"/>
              <w:left w:val="nil"/>
              <w:bottom w:val="nil"/>
              <w:right w:val="nil"/>
            </w:tcBorders>
            <w:shd w:val="clear" w:color="auto" w:fill="FFFFFF"/>
            <w:tcMar>
              <w:top w:w="0" w:type="dxa"/>
              <w:left w:w="108" w:type="dxa"/>
              <w:bottom w:w="0" w:type="dxa"/>
              <w:right w:w="108" w:type="dxa"/>
            </w:tcMar>
          </w:tcPr>
          <w:p w14:paraId="61C73BBE"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lastRenderedPageBreak/>
              <w:t xml:space="preserve">All healthcare </w:t>
            </w:r>
            <w:r>
              <w:rPr>
                <w:rFonts w:eastAsia="宋体" w:cs="Times New Roman"/>
                <w:bCs/>
                <w:sz w:val="18"/>
                <w:szCs w:val="18"/>
                <w:lang w:bidi="ar"/>
              </w:rPr>
              <w:lastRenderedPageBreak/>
              <w:t>professionals requiring in-depth training in tobacco control intervention techniques, particularly key practitioners from various departments.</w:t>
            </w:r>
          </w:p>
        </w:tc>
        <w:tc>
          <w:tcPr>
            <w:tcW w:w="537" w:type="pct"/>
            <w:tcBorders>
              <w:top w:val="nil"/>
              <w:left w:val="nil"/>
              <w:bottom w:val="nil"/>
              <w:right w:val="nil"/>
            </w:tcBorders>
            <w:shd w:val="clear" w:color="auto" w:fill="FFFFFF"/>
            <w:tcMar>
              <w:top w:w="0" w:type="dxa"/>
              <w:left w:w="108" w:type="dxa"/>
              <w:bottom w:w="0" w:type="dxa"/>
              <w:right w:w="108" w:type="dxa"/>
            </w:tcMar>
          </w:tcPr>
          <w:p w14:paraId="334BCEC0"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lastRenderedPageBreak/>
              <w:t xml:space="preserve">From the first </w:t>
            </w:r>
            <w:r>
              <w:rPr>
                <w:rFonts w:eastAsia="宋体" w:cs="Times New Roman"/>
                <w:bCs/>
                <w:sz w:val="18"/>
                <w:szCs w:val="18"/>
                <w:lang w:bidi="ar"/>
              </w:rPr>
              <w:lastRenderedPageBreak/>
              <w:t>month of the project, this will be repeated periodically, occurring once per month.</w:t>
            </w:r>
          </w:p>
        </w:tc>
        <w:tc>
          <w:tcPr>
            <w:tcW w:w="653" w:type="pct"/>
            <w:tcBorders>
              <w:top w:val="nil"/>
              <w:left w:val="nil"/>
              <w:bottom w:val="nil"/>
              <w:right w:val="nil"/>
            </w:tcBorders>
            <w:shd w:val="clear" w:color="auto" w:fill="FFFFFF"/>
            <w:tcMar>
              <w:top w:w="0" w:type="dxa"/>
              <w:left w:w="108" w:type="dxa"/>
              <w:bottom w:w="0" w:type="dxa"/>
              <w:right w:w="108" w:type="dxa"/>
            </w:tcMar>
          </w:tcPr>
          <w:p w14:paraId="7E4776B6"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lastRenderedPageBreak/>
              <w:t xml:space="preserve">Each session lasts 1.5 </w:t>
            </w:r>
            <w:r>
              <w:rPr>
                <w:rFonts w:eastAsia="宋体" w:cs="Times New Roman"/>
                <w:bCs/>
                <w:sz w:val="18"/>
                <w:szCs w:val="18"/>
                <w:lang w:bidi="ar"/>
              </w:rPr>
              <w:lastRenderedPageBreak/>
              <w:t>hours, comprising 30 minutes of theoretical instruction followed by 60 minutes of practical exercises (such as scenario simulations and role-playing).</w:t>
            </w:r>
          </w:p>
        </w:tc>
        <w:tc>
          <w:tcPr>
            <w:tcW w:w="627" w:type="pct"/>
            <w:tcBorders>
              <w:top w:val="nil"/>
              <w:left w:val="nil"/>
              <w:bottom w:val="nil"/>
              <w:right w:val="nil"/>
            </w:tcBorders>
            <w:shd w:val="clear" w:color="auto" w:fill="FFFFFF"/>
            <w:tcMar>
              <w:top w:w="0" w:type="dxa"/>
              <w:left w:w="108" w:type="dxa"/>
              <w:bottom w:w="0" w:type="dxa"/>
              <w:right w:w="108" w:type="dxa"/>
            </w:tcMar>
          </w:tcPr>
          <w:p w14:paraId="16A21197"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lastRenderedPageBreak/>
              <w:t xml:space="preserve">Addressing specific </w:t>
            </w:r>
            <w:r>
              <w:rPr>
                <w:rFonts w:eastAsia="宋体" w:cs="Times New Roman"/>
                <w:sz w:val="18"/>
                <w:szCs w:val="18"/>
                <w:lang w:bidi="ar"/>
              </w:rPr>
              <w:lastRenderedPageBreak/>
              <w:t>technical challenges encountered by doctors during interventions to enhance their sense of self-efficacy.</w:t>
            </w:r>
          </w:p>
        </w:tc>
        <w:tc>
          <w:tcPr>
            <w:tcW w:w="830" w:type="pct"/>
            <w:tcBorders>
              <w:top w:val="nil"/>
              <w:left w:val="nil"/>
              <w:bottom w:val="nil"/>
              <w:right w:val="nil"/>
            </w:tcBorders>
            <w:shd w:val="clear" w:color="auto" w:fill="FFFFFF"/>
            <w:tcMar>
              <w:top w:w="0" w:type="dxa"/>
              <w:left w:w="108" w:type="dxa"/>
              <w:bottom w:w="0" w:type="dxa"/>
              <w:right w:w="108" w:type="dxa"/>
            </w:tcMar>
          </w:tcPr>
          <w:p w14:paraId="62898FDE"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lastRenderedPageBreak/>
              <w:t xml:space="preserve">Through small-scale, highly </w:t>
            </w:r>
            <w:r>
              <w:rPr>
                <w:rFonts w:eastAsia="宋体" w:cs="Times New Roman"/>
                <w:sz w:val="18"/>
                <w:szCs w:val="18"/>
                <w:lang w:bidi="ar"/>
              </w:rPr>
              <w:lastRenderedPageBreak/>
              <w:t xml:space="preserve">interactive practical exercises, this approach helps clinicians master communication techniques in complex scenarios, thereby addressing shortcomings in foundational training. Whilst requiring a certain level of </w:t>
            </w:r>
            <w:proofErr w:type="spellStart"/>
            <w:r>
              <w:rPr>
                <w:rFonts w:eastAsia="宋体" w:cs="Times New Roman"/>
                <w:sz w:val="18"/>
                <w:szCs w:val="18"/>
                <w:lang w:bidi="ar"/>
              </w:rPr>
              <w:t>organisational</w:t>
            </w:r>
            <w:proofErr w:type="spellEnd"/>
            <w:r>
              <w:rPr>
                <w:rFonts w:eastAsia="宋体" w:cs="Times New Roman"/>
                <w:sz w:val="18"/>
                <w:szCs w:val="18"/>
                <w:lang w:bidi="ar"/>
              </w:rPr>
              <w:t xml:space="preserve"> effort, it efficiently resolves specific operational challenges faced by medical staff, offering a </w:t>
            </w:r>
            <w:proofErr w:type="spellStart"/>
            <w:r>
              <w:rPr>
                <w:rFonts w:eastAsia="宋体" w:cs="Times New Roman"/>
                <w:sz w:val="18"/>
                <w:szCs w:val="18"/>
                <w:lang w:bidi="ar"/>
              </w:rPr>
              <w:t>favourable</w:t>
            </w:r>
            <w:proofErr w:type="spellEnd"/>
            <w:r>
              <w:rPr>
                <w:rFonts w:eastAsia="宋体" w:cs="Times New Roman"/>
                <w:sz w:val="18"/>
                <w:szCs w:val="18"/>
                <w:lang w:bidi="ar"/>
              </w:rPr>
              <w:t xml:space="preserve"> return on investment.</w:t>
            </w:r>
          </w:p>
        </w:tc>
      </w:tr>
      <w:tr w:rsidR="00BB65DF" w14:paraId="08A44968" w14:textId="77777777">
        <w:trPr>
          <w:trHeight w:val="240"/>
        </w:trPr>
        <w:tc>
          <w:tcPr>
            <w:tcW w:w="434" w:type="pct"/>
            <w:vMerge/>
            <w:tcBorders>
              <w:top w:val="nil"/>
              <w:left w:val="nil"/>
              <w:bottom w:val="nil"/>
              <w:right w:val="nil"/>
            </w:tcBorders>
            <w:shd w:val="clear" w:color="auto" w:fill="FFFFFF"/>
            <w:tcMar>
              <w:top w:w="0" w:type="dxa"/>
              <w:left w:w="108" w:type="dxa"/>
              <w:bottom w:w="0" w:type="dxa"/>
              <w:right w:w="108" w:type="dxa"/>
            </w:tcMar>
          </w:tcPr>
          <w:p w14:paraId="710E1866"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nil"/>
              <w:right w:val="nil"/>
            </w:tcBorders>
            <w:shd w:val="clear" w:color="auto" w:fill="FFFFFF"/>
            <w:tcMar>
              <w:top w:w="0" w:type="dxa"/>
              <w:left w:w="108" w:type="dxa"/>
              <w:bottom w:w="0" w:type="dxa"/>
              <w:right w:w="108" w:type="dxa"/>
            </w:tcMar>
          </w:tcPr>
          <w:p w14:paraId="44CAF199"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sz w:val="18"/>
                <w:szCs w:val="18"/>
                <w:lang w:bidi="ar"/>
              </w:rPr>
              <w:t xml:space="preserve">D2. Embedded Health Education: </w:t>
            </w:r>
            <w:r>
              <w:rPr>
                <w:rFonts w:eastAsia="宋体" w:cs="Times New Roman"/>
                <w:sz w:val="18"/>
                <w:szCs w:val="18"/>
                <w:lang w:bidi="ar"/>
              </w:rPr>
              <w:t>Continuously reinforce tobacco control knowledge within healthcare professionals' daily workflows through diverse bite-sized formats (e.g., electronic bulletins in work groups, morning meeting discussions, physical materials). Examples include: - Daily Tobacco Control Tips - Standard Responses to Patient Enquiries - Tobacco Control Conversation Cards - One-Minute Tobacco Control Flowchart</w:t>
            </w:r>
          </w:p>
        </w:tc>
        <w:tc>
          <w:tcPr>
            <w:tcW w:w="606" w:type="pct"/>
            <w:tcBorders>
              <w:top w:val="nil"/>
              <w:left w:val="nil"/>
              <w:bottom w:val="nil"/>
              <w:right w:val="nil"/>
            </w:tcBorders>
            <w:shd w:val="clear" w:color="auto" w:fill="FFFFFF"/>
            <w:tcMar>
              <w:top w:w="0" w:type="dxa"/>
              <w:left w:w="108" w:type="dxa"/>
              <w:bottom w:w="0" w:type="dxa"/>
              <w:right w:w="108" w:type="dxa"/>
            </w:tcMar>
          </w:tcPr>
          <w:p w14:paraId="38A34DD4"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Public Health Department, project team, and heads of all departments.</w:t>
            </w:r>
          </w:p>
        </w:tc>
        <w:tc>
          <w:tcPr>
            <w:tcW w:w="468" w:type="pct"/>
            <w:tcBorders>
              <w:top w:val="nil"/>
              <w:left w:val="nil"/>
              <w:bottom w:val="nil"/>
              <w:right w:val="nil"/>
            </w:tcBorders>
            <w:shd w:val="clear" w:color="auto" w:fill="FFFFFF"/>
            <w:tcMar>
              <w:top w:w="0" w:type="dxa"/>
              <w:left w:w="108" w:type="dxa"/>
              <w:bottom w:w="0" w:type="dxa"/>
              <w:right w:w="108" w:type="dxa"/>
            </w:tcMar>
          </w:tcPr>
          <w:p w14:paraId="6BED9049"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All medical staff at the hospital.</w:t>
            </w:r>
          </w:p>
        </w:tc>
        <w:tc>
          <w:tcPr>
            <w:tcW w:w="537" w:type="pct"/>
            <w:tcBorders>
              <w:top w:val="nil"/>
              <w:left w:val="nil"/>
              <w:bottom w:val="nil"/>
              <w:right w:val="nil"/>
            </w:tcBorders>
            <w:shd w:val="clear" w:color="auto" w:fill="FFFFFF"/>
            <w:tcMar>
              <w:top w:w="0" w:type="dxa"/>
              <w:left w:w="108" w:type="dxa"/>
              <w:bottom w:w="0" w:type="dxa"/>
              <w:right w:w="108" w:type="dxa"/>
            </w:tcMar>
          </w:tcPr>
          <w:p w14:paraId="13C52B4C"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Commencing from Week 1 of the project, this will be ongoing.</w:t>
            </w:r>
          </w:p>
        </w:tc>
        <w:tc>
          <w:tcPr>
            <w:tcW w:w="653" w:type="pct"/>
            <w:tcBorders>
              <w:top w:val="nil"/>
              <w:left w:val="nil"/>
              <w:bottom w:val="nil"/>
              <w:right w:val="nil"/>
            </w:tcBorders>
            <w:shd w:val="clear" w:color="auto" w:fill="FFFFFF"/>
            <w:tcMar>
              <w:top w:w="0" w:type="dxa"/>
              <w:left w:w="108" w:type="dxa"/>
              <w:bottom w:w="0" w:type="dxa"/>
              <w:right w:w="108" w:type="dxa"/>
            </w:tcMar>
          </w:tcPr>
          <w:p w14:paraId="0E1AAFF2"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Fragmented channels shall convey a total of no fewer than 12 concise knowledge points.</w:t>
            </w:r>
          </w:p>
        </w:tc>
        <w:tc>
          <w:tcPr>
            <w:tcW w:w="627" w:type="pct"/>
            <w:tcBorders>
              <w:top w:val="nil"/>
              <w:left w:val="nil"/>
              <w:bottom w:val="nil"/>
              <w:right w:val="nil"/>
            </w:tcBorders>
            <w:shd w:val="clear" w:color="auto" w:fill="FFFFFF"/>
            <w:tcMar>
              <w:top w:w="0" w:type="dxa"/>
              <w:left w:w="108" w:type="dxa"/>
              <w:bottom w:w="0" w:type="dxa"/>
              <w:right w:w="108" w:type="dxa"/>
            </w:tcMar>
          </w:tcPr>
          <w:p w14:paraId="30DC8645"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Continuously </w:t>
            </w:r>
            <w:proofErr w:type="spellStart"/>
            <w:r>
              <w:rPr>
                <w:rFonts w:eastAsia="宋体" w:cs="Times New Roman"/>
                <w:sz w:val="18"/>
                <w:szCs w:val="18"/>
                <w:lang w:bidi="ar"/>
              </w:rPr>
              <w:t>instil</w:t>
            </w:r>
            <w:proofErr w:type="spellEnd"/>
            <w:r>
              <w:rPr>
                <w:rFonts w:eastAsia="宋体" w:cs="Times New Roman"/>
                <w:sz w:val="18"/>
                <w:szCs w:val="18"/>
                <w:lang w:bidi="ar"/>
              </w:rPr>
              <w:t xml:space="preserve"> and reinforce tobacco control concepts and techniques within the subconscious of healthcare professionals, transforming them into habitual thinking patterns thereby reducing the psychological burden in implementation.</w:t>
            </w:r>
          </w:p>
        </w:tc>
        <w:tc>
          <w:tcPr>
            <w:tcW w:w="830" w:type="pct"/>
            <w:tcBorders>
              <w:top w:val="nil"/>
              <w:left w:val="nil"/>
              <w:bottom w:val="nil"/>
              <w:right w:val="nil"/>
            </w:tcBorders>
            <w:shd w:val="clear" w:color="auto" w:fill="FFFFFF"/>
            <w:tcMar>
              <w:top w:w="0" w:type="dxa"/>
              <w:left w:w="108" w:type="dxa"/>
              <w:bottom w:w="0" w:type="dxa"/>
              <w:right w:w="108" w:type="dxa"/>
            </w:tcMar>
          </w:tcPr>
          <w:p w14:paraId="1717D71E"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Through fragmented, high-frequency communication, knowledge is integrated into daily workflows, ensuring healthcare professionals maintain continuous exposure to tobacco control information. This approach primarily leverages existing communication channels, incurring minimal costs while effectively reinforcing staff knowledge, rendering it highly feasible.</w:t>
            </w:r>
          </w:p>
        </w:tc>
      </w:tr>
      <w:tr w:rsidR="00BB65DF" w14:paraId="52515D43" w14:textId="77777777">
        <w:trPr>
          <w:trHeight w:val="240"/>
        </w:trPr>
        <w:tc>
          <w:tcPr>
            <w:tcW w:w="434" w:type="pct"/>
            <w:vMerge/>
            <w:tcBorders>
              <w:top w:val="nil"/>
              <w:left w:val="nil"/>
              <w:bottom w:val="single" w:sz="12" w:space="0" w:color="auto"/>
              <w:right w:val="nil"/>
            </w:tcBorders>
            <w:shd w:val="clear" w:color="auto" w:fill="FFFFFF"/>
            <w:tcMar>
              <w:top w:w="0" w:type="dxa"/>
              <w:left w:w="108" w:type="dxa"/>
              <w:bottom w:w="0" w:type="dxa"/>
              <w:right w:w="108" w:type="dxa"/>
            </w:tcMar>
          </w:tcPr>
          <w:p w14:paraId="21A0D467" w14:textId="77777777" w:rsidR="00BB65DF" w:rsidRDefault="00BB65DF">
            <w:pPr>
              <w:spacing w:line="240" w:lineRule="auto"/>
              <w:ind w:firstLineChars="0" w:firstLine="0"/>
              <w:rPr>
                <w:rFonts w:cs="Times New Roman"/>
                <w:sz w:val="20"/>
                <w:szCs w:val="20"/>
              </w:rPr>
            </w:pPr>
          </w:p>
        </w:tc>
        <w:tc>
          <w:tcPr>
            <w:tcW w:w="841" w:type="pct"/>
            <w:tcBorders>
              <w:top w:val="nil"/>
              <w:left w:val="nil"/>
              <w:bottom w:val="single" w:sz="12" w:space="0" w:color="auto"/>
              <w:right w:val="nil"/>
            </w:tcBorders>
            <w:shd w:val="clear" w:color="auto" w:fill="FFFFFF"/>
            <w:tcMar>
              <w:top w:w="0" w:type="dxa"/>
              <w:left w:w="108" w:type="dxa"/>
              <w:bottom w:w="0" w:type="dxa"/>
              <w:right w:w="108" w:type="dxa"/>
            </w:tcMar>
          </w:tcPr>
          <w:p w14:paraId="3201410B"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
                <w:sz w:val="18"/>
                <w:szCs w:val="18"/>
                <w:lang w:bidi="ar"/>
              </w:rPr>
              <w:t xml:space="preserve">D3. Training Exchange: </w:t>
            </w:r>
            <w:r>
              <w:rPr>
                <w:rFonts w:eastAsia="宋体" w:cs="Times New Roman"/>
                <w:sz w:val="18"/>
                <w:szCs w:val="18"/>
                <w:lang w:bidi="ar"/>
              </w:rPr>
              <w:t>An informal case review session conducted as an open discussion forum. Physicians voluntarily share real-world challenges encountered in practice, with colleagues collectively deliberating and identifying solutions.</w:t>
            </w:r>
          </w:p>
        </w:tc>
        <w:tc>
          <w:tcPr>
            <w:tcW w:w="606" w:type="pct"/>
            <w:tcBorders>
              <w:top w:val="nil"/>
              <w:left w:val="nil"/>
              <w:bottom w:val="single" w:sz="12" w:space="0" w:color="auto"/>
              <w:right w:val="nil"/>
            </w:tcBorders>
            <w:shd w:val="clear" w:color="auto" w:fill="FFFFFF"/>
            <w:tcMar>
              <w:top w:w="0" w:type="dxa"/>
              <w:left w:w="108" w:type="dxa"/>
              <w:bottom w:w="0" w:type="dxa"/>
              <w:right w:w="108" w:type="dxa"/>
            </w:tcMar>
          </w:tcPr>
          <w:p w14:paraId="752923BA"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 xml:space="preserve">Department heads or trained key personnel, who serve as the </w:t>
            </w:r>
            <w:proofErr w:type="spellStart"/>
            <w:r>
              <w:rPr>
                <w:rFonts w:eastAsia="宋体" w:cs="Times New Roman"/>
                <w:bCs/>
                <w:sz w:val="18"/>
                <w:szCs w:val="18"/>
                <w:lang w:bidi="ar"/>
              </w:rPr>
              <w:t>organisers</w:t>
            </w:r>
            <w:proofErr w:type="spellEnd"/>
            <w:r>
              <w:rPr>
                <w:rFonts w:eastAsia="宋体" w:cs="Times New Roman"/>
                <w:bCs/>
                <w:sz w:val="18"/>
                <w:szCs w:val="18"/>
                <w:lang w:bidi="ar"/>
              </w:rPr>
              <w:t xml:space="preserve"> and facilitators of the activities.</w:t>
            </w:r>
          </w:p>
        </w:tc>
        <w:tc>
          <w:tcPr>
            <w:tcW w:w="468" w:type="pct"/>
            <w:tcBorders>
              <w:top w:val="nil"/>
              <w:left w:val="nil"/>
              <w:bottom w:val="single" w:sz="12" w:space="0" w:color="auto"/>
              <w:right w:val="nil"/>
            </w:tcBorders>
            <w:shd w:val="clear" w:color="auto" w:fill="FFFFFF"/>
            <w:tcMar>
              <w:top w:w="0" w:type="dxa"/>
              <w:left w:w="108" w:type="dxa"/>
              <w:bottom w:w="0" w:type="dxa"/>
              <w:right w:w="108" w:type="dxa"/>
            </w:tcMar>
          </w:tcPr>
          <w:p w14:paraId="464C8384"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Small groups of medical staff, such as those within the same department or voluntary interest groups.</w:t>
            </w:r>
          </w:p>
        </w:tc>
        <w:tc>
          <w:tcPr>
            <w:tcW w:w="537" w:type="pct"/>
            <w:tcBorders>
              <w:top w:val="nil"/>
              <w:left w:val="nil"/>
              <w:bottom w:val="single" w:sz="12" w:space="0" w:color="auto"/>
              <w:right w:val="nil"/>
            </w:tcBorders>
            <w:shd w:val="clear" w:color="auto" w:fill="FFFFFF"/>
            <w:tcMar>
              <w:top w:w="0" w:type="dxa"/>
              <w:left w:w="108" w:type="dxa"/>
              <w:bottom w:w="0" w:type="dxa"/>
              <w:right w:w="108" w:type="dxa"/>
            </w:tcMar>
          </w:tcPr>
          <w:p w14:paraId="005E3CFE"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Concentrated implementation during the mid-project phase, specifically in Week 8.</w:t>
            </w:r>
          </w:p>
        </w:tc>
        <w:tc>
          <w:tcPr>
            <w:tcW w:w="653" w:type="pct"/>
            <w:tcBorders>
              <w:top w:val="nil"/>
              <w:left w:val="nil"/>
              <w:bottom w:val="single" w:sz="12" w:space="0" w:color="auto"/>
              <w:right w:val="nil"/>
            </w:tcBorders>
            <w:shd w:val="clear" w:color="auto" w:fill="FFFFFF"/>
            <w:tcMar>
              <w:top w:w="0" w:type="dxa"/>
              <w:left w:w="108" w:type="dxa"/>
              <w:bottom w:w="0" w:type="dxa"/>
              <w:right w:w="108" w:type="dxa"/>
            </w:tcMar>
          </w:tcPr>
          <w:p w14:paraId="3A568E2D" w14:textId="77777777" w:rsidR="00BB65DF" w:rsidRDefault="00000000">
            <w:pPr>
              <w:snapToGrid w:val="0"/>
              <w:spacing w:line="240" w:lineRule="auto"/>
              <w:ind w:firstLineChars="0" w:firstLine="0"/>
              <w:rPr>
                <w:rFonts w:eastAsia="宋体" w:cs="Times New Roman"/>
                <w:bCs/>
                <w:sz w:val="18"/>
                <w:szCs w:val="18"/>
              </w:rPr>
            </w:pPr>
            <w:r>
              <w:rPr>
                <w:rFonts w:eastAsia="宋体" w:cs="Times New Roman"/>
                <w:bCs/>
                <w:sz w:val="18"/>
                <w:szCs w:val="18"/>
                <w:lang w:bidi="ar"/>
              </w:rPr>
              <w:t>Conducted as a single session, lasting 1-2 hours.</w:t>
            </w:r>
          </w:p>
        </w:tc>
        <w:tc>
          <w:tcPr>
            <w:tcW w:w="627" w:type="pct"/>
            <w:tcBorders>
              <w:top w:val="nil"/>
              <w:left w:val="nil"/>
              <w:bottom w:val="single" w:sz="12" w:space="0" w:color="auto"/>
              <w:right w:val="nil"/>
            </w:tcBorders>
            <w:shd w:val="clear" w:color="auto" w:fill="FFFFFF"/>
            <w:tcMar>
              <w:top w:w="0" w:type="dxa"/>
              <w:left w:w="108" w:type="dxa"/>
              <w:bottom w:w="0" w:type="dxa"/>
              <w:right w:w="108" w:type="dxa"/>
            </w:tcMar>
          </w:tcPr>
          <w:p w14:paraId="25992D24"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Establish a mutual learning mechanism to provide doctors with channels for resolving </w:t>
            </w:r>
            <w:proofErr w:type="spellStart"/>
            <w:r>
              <w:rPr>
                <w:rFonts w:eastAsia="宋体" w:cs="Times New Roman"/>
                <w:sz w:val="18"/>
                <w:szCs w:val="18"/>
                <w:lang w:bidi="ar"/>
              </w:rPr>
              <w:t>individualised</w:t>
            </w:r>
            <w:proofErr w:type="spellEnd"/>
            <w:r>
              <w:rPr>
                <w:rFonts w:eastAsia="宋体" w:cs="Times New Roman"/>
                <w:sz w:val="18"/>
                <w:szCs w:val="18"/>
                <w:lang w:bidi="ar"/>
              </w:rPr>
              <w:t xml:space="preserve"> issues.</w:t>
            </w:r>
          </w:p>
        </w:tc>
        <w:tc>
          <w:tcPr>
            <w:tcW w:w="830" w:type="pct"/>
            <w:tcBorders>
              <w:top w:val="nil"/>
              <w:left w:val="nil"/>
              <w:bottom w:val="single" w:sz="12" w:space="0" w:color="auto"/>
              <w:right w:val="nil"/>
            </w:tcBorders>
            <w:shd w:val="clear" w:color="auto" w:fill="FFFFFF"/>
            <w:tcMar>
              <w:top w:w="0" w:type="dxa"/>
              <w:left w:w="108" w:type="dxa"/>
              <w:bottom w:w="0" w:type="dxa"/>
              <w:right w:w="108" w:type="dxa"/>
            </w:tcMar>
          </w:tcPr>
          <w:p w14:paraId="0065894F" w14:textId="77777777" w:rsidR="00BB65DF" w:rsidRDefault="00000000">
            <w:pPr>
              <w:snapToGrid w:val="0"/>
              <w:spacing w:line="240" w:lineRule="auto"/>
              <w:ind w:firstLineChars="0" w:firstLine="0"/>
              <w:rPr>
                <w:rFonts w:eastAsia="宋体" w:cs="Times New Roman"/>
                <w:sz w:val="18"/>
                <w:szCs w:val="18"/>
              </w:rPr>
            </w:pPr>
            <w:r>
              <w:rPr>
                <w:rFonts w:eastAsia="宋体" w:cs="Times New Roman"/>
                <w:sz w:val="18"/>
                <w:szCs w:val="18"/>
                <w:lang w:bidi="ar"/>
              </w:rPr>
              <w:t xml:space="preserve">Implemented midway through the project, this initiative aims to promptly address common issues encountered by healthcare personnel during initial practice. Through informal, peer-to-peer collaborative learning, it effectively supplements formal training, thereby enhancing the </w:t>
            </w:r>
            <w:proofErr w:type="spellStart"/>
            <w:r>
              <w:rPr>
                <w:rFonts w:eastAsia="宋体" w:cs="Times New Roman"/>
                <w:sz w:val="18"/>
                <w:szCs w:val="18"/>
                <w:lang w:bidi="ar"/>
              </w:rPr>
              <w:t>internalisation</w:t>
            </w:r>
            <w:proofErr w:type="spellEnd"/>
            <w:r>
              <w:rPr>
                <w:rFonts w:eastAsia="宋体" w:cs="Times New Roman"/>
                <w:sz w:val="18"/>
                <w:szCs w:val="18"/>
                <w:lang w:bidi="ar"/>
              </w:rPr>
              <w:t xml:space="preserve"> and effectiveness of interventions.</w:t>
            </w:r>
          </w:p>
        </w:tc>
      </w:tr>
    </w:tbl>
    <w:p w14:paraId="1673AAB6" w14:textId="77777777" w:rsidR="00BB65DF" w:rsidRDefault="00000000">
      <w:pPr>
        <w:widowControl/>
        <w:ind w:firstLine="482"/>
        <w:rPr>
          <w:rFonts w:eastAsia="宋体" w:cs="Times New Roman"/>
          <w:b/>
          <w:bCs/>
          <w:color w:val="000000" w:themeColor="text1"/>
          <w:szCs w:val="28"/>
        </w:rPr>
      </w:pPr>
      <w:r>
        <w:rPr>
          <w:rFonts w:eastAsia="宋体" w:cs="Times New Roman"/>
          <w:b/>
          <w:bCs/>
          <w:color w:val="000000" w:themeColor="text1"/>
          <w:szCs w:val="28"/>
        </w:rPr>
        <w:t xml:space="preserve"> </w:t>
      </w:r>
    </w:p>
    <w:p w14:paraId="6E68C209" w14:textId="77777777" w:rsidR="00BB65DF" w:rsidRDefault="00BB65DF">
      <w:pPr>
        <w:pStyle w:val="a0"/>
        <w:ind w:left="480" w:firstLine="482"/>
        <w:rPr>
          <w:rFonts w:eastAsia="宋体" w:cs="Times New Roman"/>
          <w:b/>
          <w:bCs/>
          <w:color w:val="000000" w:themeColor="text1"/>
          <w:szCs w:val="28"/>
        </w:rPr>
        <w:sectPr w:rsidR="00BB65DF">
          <w:type w:val="continuous"/>
          <w:pgSz w:w="17861" w:h="12587" w:orient="landscape"/>
          <w:pgMar w:top="1080" w:right="1440" w:bottom="1080" w:left="1440" w:header="851" w:footer="680" w:gutter="0"/>
          <w:cols w:space="0"/>
          <w:docGrid w:type="lines" w:linePitch="326"/>
        </w:sectPr>
      </w:pPr>
    </w:p>
    <w:p w14:paraId="43E8BCC5" w14:textId="77777777" w:rsidR="00BB65DF" w:rsidRDefault="00BB65DF">
      <w:pPr>
        <w:pStyle w:val="a0"/>
        <w:ind w:left="480" w:firstLine="482"/>
        <w:rPr>
          <w:rFonts w:eastAsia="宋体" w:cs="Times New Roman"/>
          <w:b/>
          <w:bCs/>
          <w:color w:val="000000" w:themeColor="text1"/>
          <w:szCs w:val="28"/>
        </w:rPr>
      </w:pPr>
    </w:p>
    <w:p w14:paraId="529EA1D0" w14:textId="77777777" w:rsidR="00BB65DF" w:rsidRDefault="00BB65DF">
      <w:pPr>
        <w:pStyle w:val="1"/>
        <w:spacing w:before="0" w:after="0" w:line="240" w:lineRule="auto"/>
        <w:rPr>
          <w:rFonts w:eastAsia="宋体" w:cs="Times New Roman"/>
          <w:color w:val="000000" w:themeColor="text1"/>
          <w:kern w:val="0"/>
          <w:sz w:val="24"/>
          <w:szCs w:val="24"/>
          <w:lang w:bidi="ar"/>
        </w:rPr>
      </w:pPr>
    </w:p>
    <w:p w14:paraId="2AB29702" w14:textId="77777777" w:rsidR="00BB65DF" w:rsidRDefault="00000000">
      <w:pPr>
        <w:pStyle w:val="a0"/>
        <w:ind w:leftChars="0" w:left="0" w:firstLineChars="0" w:firstLine="0"/>
        <w:rPr>
          <w:color w:val="000000" w:themeColor="text1"/>
        </w:rPr>
      </w:pPr>
      <w:r>
        <w:rPr>
          <w:noProof/>
          <w:color w:val="000000" w:themeColor="text1"/>
        </w:rPr>
        <w:drawing>
          <wp:inline distT="0" distB="0" distL="114300" distR="114300" wp14:anchorId="1CA58F61" wp14:editId="167A4DB0">
            <wp:extent cx="5814695" cy="7922895"/>
            <wp:effectExtent l="0" t="0" r="508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814695" cy="7922895"/>
                    </a:xfrm>
                    <a:prstGeom prst="rect">
                      <a:avLst/>
                    </a:prstGeom>
                  </pic:spPr>
                </pic:pic>
              </a:graphicData>
            </a:graphic>
          </wp:inline>
        </w:drawing>
      </w:r>
    </w:p>
    <w:p w14:paraId="2057F787" w14:textId="77777777" w:rsidR="00BB65DF" w:rsidRDefault="00000000">
      <w:pPr>
        <w:pStyle w:val="1"/>
        <w:spacing w:before="0" w:after="0" w:line="240" w:lineRule="auto"/>
        <w:rPr>
          <w:rFonts w:eastAsia="宋体" w:cs="Times New Roman"/>
          <w:b w:val="0"/>
          <w:bCs w:val="0"/>
          <w:color w:val="000000" w:themeColor="text1"/>
          <w:kern w:val="0"/>
          <w:sz w:val="24"/>
          <w:szCs w:val="24"/>
          <w:lang w:bidi="ar"/>
        </w:rPr>
      </w:pPr>
      <w:r>
        <w:rPr>
          <w:rFonts w:eastAsia="宋体" w:cs="Times New Roman" w:hint="eastAsia"/>
          <w:color w:val="000000" w:themeColor="text1"/>
          <w:kern w:val="0"/>
          <w:sz w:val="24"/>
          <w:szCs w:val="24"/>
          <w:lang w:bidi="ar"/>
        </w:rPr>
        <w:t xml:space="preserve">Appendix C </w:t>
      </w:r>
      <w:r>
        <w:rPr>
          <w:rFonts w:eastAsia="宋体" w:cs="Times New Roman"/>
          <w:b w:val="0"/>
          <w:bCs w:val="0"/>
          <w:color w:val="000000" w:themeColor="text1"/>
          <w:kern w:val="0"/>
          <w:sz w:val="24"/>
          <w:szCs w:val="24"/>
          <w:lang w:bidi="ar"/>
        </w:rPr>
        <w:t>Clinical scenario: a typical middle-aged undiagnosed type 2 diabetes Unannounced Standardized Patient (USP)</w:t>
      </w:r>
    </w:p>
    <w:p w14:paraId="69BFBAAD" w14:textId="77777777" w:rsidR="00BB65DF" w:rsidRDefault="00BB65DF">
      <w:pPr>
        <w:pStyle w:val="a0"/>
        <w:ind w:leftChars="0" w:left="0" w:firstLineChars="0" w:firstLine="0"/>
        <w:rPr>
          <w:rFonts w:eastAsia="宋体"/>
          <w:color w:val="000000" w:themeColor="text1"/>
        </w:rPr>
        <w:sectPr w:rsidR="00BB65DF">
          <w:type w:val="continuous"/>
          <w:pgSz w:w="12587" w:h="17861"/>
          <w:pgMar w:top="1440" w:right="1080" w:bottom="1440" w:left="1080" w:header="851" w:footer="680" w:gutter="0"/>
          <w:cols w:space="0"/>
          <w:docGrid w:type="lines" w:linePitch="326"/>
        </w:sectPr>
      </w:pPr>
    </w:p>
    <w:p w14:paraId="7B69675F" w14:textId="77777777" w:rsidR="00BB65DF" w:rsidRDefault="00000000">
      <w:pPr>
        <w:pStyle w:val="1"/>
        <w:spacing w:before="0" w:after="0" w:line="240" w:lineRule="auto"/>
        <w:ind w:leftChars="-400" w:left="-960" w:rightChars="-300" w:right="-720"/>
        <w:rPr>
          <w:rFonts w:cs="Times New Roman"/>
          <w:b w:val="0"/>
          <w:bCs w:val="0"/>
          <w:color w:val="000000" w:themeColor="text1"/>
          <w:sz w:val="24"/>
          <w:szCs w:val="24"/>
        </w:rPr>
      </w:pPr>
      <w:r>
        <w:rPr>
          <w:rFonts w:eastAsia="宋体" w:cs="Times New Roman" w:hint="eastAsia"/>
          <w:color w:val="000000" w:themeColor="text1"/>
          <w:kern w:val="0"/>
          <w:sz w:val="24"/>
          <w:szCs w:val="24"/>
          <w:lang w:bidi="ar"/>
        </w:rPr>
        <w:lastRenderedPageBreak/>
        <w:t>Appendix D</w:t>
      </w:r>
      <w:r>
        <w:rPr>
          <w:rFonts w:eastAsia="宋体" w:cs="Times New Roman"/>
          <w:color w:val="000000" w:themeColor="text1"/>
          <w:kern w:val="0"/>
          <w:sz w:val="24"/>
          <w:szCs w:val="24"/>
          <w:lang w:bidi="ar"/>
        </w:rPr>
        <w:t xml:space="preserve"> </w:t>
      </w:r>
      <w:r>
        <w:rPr>
          <w:rFonts w:eastAsia="宋体" w:cs="Times New Roman"/>
          <w:b w:val="0"/>
          <w:bCs w:val="0"/>
          <w:color w:val="000000" w:themeColor="text1"/>
          <w:kern w:val="0"/>
          <w:sz w:val="24"/>
          <w:szCs w:val="24"/>
          <w:lang w:bidi="ar"/>
        </w:rPr>
        <w:t>Quality assessment checklist: a typical middle-aged undiagnosed type 2 diabetes USP</w:t>
      </w:r>
    </w:p>
    <w:tbl>
      <w:tblPr>
        <w:tblW w:w="558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3"/>
        <w:gridCol w:w="4117"/>
        <w:gridCol w:w="5321"/>
      </w:tblGrid>
      <w:tr w:rsidR="00BB65DF" w14:paraId="6C089E85" w14:textId="77777777">
        <w:trPr>
          <w:cantSplit/>
          <w:trHeight w:val="280"/>
          <w:jc w:val="center"/>
        </w:trPr>
        <w:tc>
          <w:tcPr>
            <w:tcW w:w="2555" w:type="pct"/>
            <w:gridSpan w:val="2"/>
            <w:tcBorders>
              <w:top w:val="single" w:sz="4" w:space="0" w:color="000000"/>
              <w:left w:val="single" w:sz="4" w:space="0" w:color="000000"/>
              <w:bottom w:val="single" w:sz="4" w:space="0" w:color="000000"/>
              <w:right w:val="single" w:sz="4" w:space="0" w:color="000000"/>
            </w:tcBorders>
            <w:shd w:val="clear" w:color="auto" w:fill="E2EFD9"/>
            <w:tcMar>
              <w:top w:w="100" w:type="dxa"/>
              <w:bottom w:w="100" w:type="dxa"/>
            </w:tcMar>
          </w:tcPr>
          <w:p w14:paraId="15AF9044" w14:textId="77777777" w:rsidR="00BB65DF" w:rsidRDefault="00000000">
            <w:pPr>
              <w:widowControl/>
              <w:snapToGrid w:val="0"/>
              <w:spacing w:line="240" w:lineRule="atLeast"/>
              <w:ind w:firstLineChars="0" w:firstLine="0"/>
              <w:jc w:val="both"/>
              <w:rPr>
                <w:rFonts w:cs="Times New Roman"/>
                <w:b/>
                <w:color w:val="000000" w:themeColor="text1"/>
                <w:sz w:val="21"/>
                <w:szCs w:val="21"/>
              </w:rPr>
            </w:pPr>
            <w:r>
              <w:rPr>
                <w:rFonts w:eastAsia="宋体" w:cs="Times New Roman"/>
                <w:b/>
                <w:color w:val="000000" w:themeColor="text1"/>
                <w:sz w:val="21"/>
                <w:szCs w:val="21"/>
                <w:lang w:bidi="ar"/>
              </w:rPr>
              <w:t>Item</w:t>
            </w:r>
          </w:p>
        </w:tc>
        <w:tc>
          <w:tcPr>
            <w:tcW w:w="2444" w:type="pct"/>
            <w:tcBorders>
              <w:top w:val="single" w:sz="4" w:space="0" w:color="000000"/>
              <w:left w:val="single" w:sz="4" w:space="0" w:color="000000"/>
              <w:bottom w:val="single" w:sz="4" w:space="0" w:color="000000"/>
              <w:right w:val="single" w:sz="4" w:space="0" w:color="000000"/>
            </w:tcBorders>
            <w:shd w:val="clear" w:color="auto" w:fill="E2EFD9"/>
            <w:tcMar>
              <w:top w:w="100" w:type="dxa"/>
              <w:bottom w:w="100" w:type="dxa"/>
            </w:tcMar>
          </w:tcPr>
          <w:p w14:paraId="0B3E31C9" w14:textId="77777777" w:rsidR="00BB65DF" w:rsidRDefault="00000000">
            <w:pPr>
              <w:widowControl/>
              <w:snapToGrid w:val="0"/>
              <w:spacing w:line="240" w:lineRule="atLeast"/>
              <w:ind w:firstLineChars="0" w:firstLine="0"/>
              <w:jc w:val="both"/>
              <w:rPr>
                <w:rFonts w:cs="Times New Roman"/>
                <w:b/>
                <w:color w:val="000000" w:themeColor="text1"/>
                <w:sz w:val="21"/>
                <w:szCs w:val="21"/>
              </w:rPr>
            </w:pPr>
            <w:r>
              <w:rPr>
                <w:rFonts w:eastAsia="宋体" w:cs="Times New Roman"/>
                <w:b/>
                <w:color w:val="000000" w:themeColor="text1"/>
                <w:sz w:val="21"/>
                <w:szCs w:val="21"/>
                <w:lang w:bidi="ar"/>
              </w:rPr>
              <w:t>Corresponding questions from doctors (Scoring points)</w:t>
            </w:r>
          </w:p>
        </w:tc>
      </w:tr>
      <w:tr w:rsidR="00BB65DF" w14:paraId="67882A15" w14:textId="77777777">
        <w:trPr>
          <w:cantSplit/>
          <w:trHeight w:val="240"/>
          <w:jc w:val="center"/>
        </w:trPr>
        <w:tc>
          <w:tcPr>
            <w:tcW w:w="5000" w:type="pct"/>
            <w:gridSpan w:val="3"/>
            <w:tcBorders>
              <w:top w:val="single" w:sz="4" w:space="0" w:color="000000"/>
              <w:left w:val="single" w:sz="4" w:space="0" w:color="000000"/>
              <w:bottom w:val="single" w:sz="4" w:space="0" w:color="000000"/>
              <w:right w:val="single" w:sz="4" w:space="0" w:color="000000"/>
            </w:tcBorders>
            <w:tcMar>
              <w:top w:w="100" w:type="dxa"/>
              <w:bottom w:w="100" w:type="dxa"/>
            </w:tcMar>
          </w:tcPr>
          <w:p w14:paraId="21B63E7E" w14:textId="77777777" w:rsidR="00BB65DF" w:rsidRDefault="00000000">
            <w:pPr>
              <w:widowControl/>
              <w:snapToGrid w:val="0"/>
              <w:spacing w:line="240" w:lineRule="atLeast"/>
              <w:ind w:firstLineChars="0" w:firstLine="0"/>
              <w:jc w:val="both"/>
              <w:rPr>
                <w:rFonts w:cs="Times New Roman"/>
                <w:b/>
                <w:bCs/>
                <w:color w:val="000000" w:themeColor="text1"/>
                <w:sz w:val="21"/>
                <w:szCs w:val="21"/>
              </w:rPr>
            </w:pPr>
            <w:r>
              <w:rPr>
                <w:rFonts w:eastAsia="宋体" w:cs="Times New Roman"/>
                <w:b/>
                <w:bCs/>
                <w:color w:val="000000" w:themeColor="text1"/>
                <w:sz w:val="21"/>
                <w:szCs w:val="21"/>
                <w:lang w:bidi="ar"/>
              </w:rPr>
              <w:t>Quality of consultation and examination</w:t>
            </w:r>
          </w:p>
        </w:tc>
      </w:tr>
      <w:tr w:rsidR="00BB65DF" w14:paraId="11D2C0F5" w14:textId="77777777">
        <w:trPr>
          <w:cantSplit/>
          <w:trHeight w:val="50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6DC35E50"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bCs/>
                <w:color w:val="000000" w:themeColor="text1"/>
                <w:sz w:val="21"/>
                <w:szCs w:val="21"/>
                <w:lang w:bidi="ar"/>
              </w:rPr>
              <w:t>Complaint &amp;Current medical history</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7B061879"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Drinking water (frequency, amount, etc.)</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33E5CC13"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Approximately how much water can you drink per day? How much water did you drink in the previous day?</w:t>
            </w:r>
          </w:p>
        </w:tc>
      </w:tr>
      <w:tr w:rsidR="00BB65DF" w14:paraId="41C2BDEC" w14:textId="77777777">
        <w:trPr>
          <w:cantSplit/>
          <w:trHeight w:val="50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5D41387D"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2A210A2C"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Urination (frequency, volume, etc.)</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50901000"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Is the amount of urine about the same as the amount of water you drink or more? Number of the night starts?</w:t>
            </w:r>
          </w:p>
        </w:tc>
      </w:tr>
      <w:tr w:rsidR="00BB65DF" w14:paraId="37C37B24"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66FCCC1E"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0B2F7C62"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p>
        </w:tc>
      </w:tr>
      <w:tr w:rsidR="00BB65DF" w14:paraId="403A7C6F" w14:textId="77777777">
        <w:trPr>
          <w:cantSplit/>
          <w:trHeight w:val="24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6157EF1D"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Relevant medical history</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057D1FFA"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Past medical history</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2C4077A3"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What previous illnesses have you had?</w:t>
            </w:r>
          </w:p>
        </w:tc>
      </w:tr>
      <w:tr w:rsidR="00BB65DF" w14:paraId="420D0587" w14:textId="77777777">
        <w:trPr>
          <w:cantSplit/>
          <w:trHeight w:val="50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1EC48E76"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7599FA10" w14:textId="77777777" w:rsidR="00BB65DF" w:rsidRDefault="00000000">
            <w:pPr>
              <w:widowControl/>
              <w:snapToGrid w:val="0"/>
              <w:spacing w:line="240" w:lineRule="atLeast"/>
              <w:ind w:firstLineChars="0" w:firstLine="0"/>
              <w:jc w:val="both"/>
              <w:rPr>
                <w:rFonts w:cs="Times New Roman"/>
                <w:b/>
                <w:bCs/>
                <w:color w:val="000000" w:themeColor="text1"/>
                <w:sz w:val="21"/>
                <w:szCs w:val="21"/>
              </w:rPr>
            </w:pPr>
            <w:r>
              <w:rPr>
                <w:rFonts w:eastAsia="宋体" w:cs="Times New Roman"/>
                <w:b/>
                <w:bCs/>
                <w:color w:val="000000" w:themeColor="text1"/>
                <w:sz w:val="21"/>
                <w:szCs w:val="21"/>
                <w:lang w:bidi="ar"/>
              </w:rPr>
              <w:t>Smoking status (if, how much, when, etc.)</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2F1B36AB" w14:textId="77777777" w:rsidR="00BB65DF" w:rsidRDefault="00000000">
            <w:pPr>
              <w:widowControl/>
              <w:snapToGrid w:val="0"/>
              <w:spacing w:line="240" w:lineRule="atLeast"/>
              <w:ind w:firstLineChars="0" w:firstLine="0"/>
              <w:jc w:val="both"/>
              <w:rPr>
                <w:rFonts w:cs="Times New Roman"/>
                <w:b/>
                <w:bCs/>
                <w:color w:val="000000" w:themeColor="text1"/>
                <w:sz w:val="21"/>
                <w:szCs w:val="21"/>
              </w:rPr>
            </w:pPr>
            <w:r>
              <w:rPr>
                <w:rFonts w:eastAsia="宋体" w:cs="Times New Roman"/>
                <w:b/>
                <w:bCs/>
                <w:color w:val="000000" w:themeColor="text1"/>
                <w:sz w:val="21"/>
                <w:szCs w:val="21"/>
                <w:lang w:bidi="ar"/>
              </w:rPr>
              <w:t>Do you smoke? How many cigarettes per day? How many years have you smoked?</w:t>
            </w:r>
          </w:p>
        </w:tc>
      </w:tr>
      <w:tr w:rsidR="00BB65DF" w14:paraId="7793D185"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0899E9DB"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13AD39EC"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r>
              <w:rPr>
                <w:rFonts w:eastAsia="宋体" w:cs="Times New Roman"/>
                <w:color w:val="000000" w:themeColor="text1"/>
                <w:sz w:val="21"/>
                <w:szCs w:val="21"/>
                <w:lang w:bidi="ar"/>
              </w:rPr>
              <w:tab/>
            </w:r>
          </w:p>
        </w:tc>
      </w:tr>
      <w:tr w:rsidR="00BB65DF" w14:paraId="7DA12D43" w14:textId="77777777">
        <w:trPr>
          <w:cantSplit/>
          <w:trHeight w:val="50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7CD9E3C2"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Physical examination</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4E0380D6"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Blood pressure</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77727937"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Need to record whether this test was performed and whether the test was performed in a standard way</w:t>
            </w:r>
          </w:p>
        </w:tc>
      </w:tr>
      <w:tr w:rsidR="00BB65DF" w14:paraId="548AF4CF" w14:textId="77777777">
        <w:trPr>
          <w:cantSplit/>
          <w:trHeight w:val="48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2B524DF7"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0F85C27E"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Skin elasticity (to determine the presence of dehydration)</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1983135F"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Need to record whether this test was performed and whether the test was performed in a standard way</w:t>
            </w:r>
          </w:p>
        </w:tc>
      </w:tr>
      <w:tr w:rsidR="00BB65DF" w14:paraId="2404C752"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71DE861C"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00CBC302"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r>
              <w:rPr>
                <w:rFonts w:eastAsia="宋体" w:cs="Times New Roman"/>
                <w:color w:val="000000" w:themeColor="text1"/>
                <w:sz w:val="21"/>
                <w:szCs w:val="21"/>
                <w:lang w:bidi="ar"/>
              </w:rPr>
              <w:tab/>
            </w:r>
          </w:p>
        </w:tc>
      </w:tr>
      <w:tr w:rsidR="00BB65DF" w14:paraId="7D658013" w14:textId="77777777">
        <w:trPr>
          <w:cantSplit/>
          <w:trHeight w:val="50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665F52FB"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Laboratory tests &amp; imaging</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71FF4361"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Fasting blood glucose</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68C8E0D0"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Points will be deducted for tests that are not required or are harmful if prescribed by the doctor</w:t>
            </w:r>
          </w:p>
        </w:tc>
      </w:tr>
      <w:tr w:rsidR="00BB65DF" w14:paraId="6880DBEE" w14:textId="77777777">
        <w:trPr>
          <w:cantSplit/>
          <w:trHeight w:val="50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9EF440D"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2B1276F9"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Oral glucose tolerance test (OGTT)</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7E6AF689"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Points will be deducted for tests that are not required or are harmful if prescribed by the doctor</w:t>
            </w:r>
          </w:p>
        </w:tc>
      </w:tr>
      <w:tr w:rsidR="00BB65DF" w14:paraId="00EBB030"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2822489"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45C064E6"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p>
        </w:tc>
      </w:tr>
      <w:tr w:rsidR="00BB65DF" w14:paraId="6EEB8A6E" w14:textId="77777777">
        <w:trPr>
          <w:cantSplit/>
          <w:trHeight w:val="240"/>
          <w:jc w:val="center"/>
        </w:trPr>
        <w:tc>
          <w:tcPr>
            <w:tcW w:w="5000" w:type="pct"/>
            <w:gridSpan w:val="3"/>
            <w:tcBorders>
              <w:top w:val="single" w:sz="4" w:space="0" w:color="000000"/>
              <w:left w:val="single" w:sz="4" w:space="0" w:color="000000"/>
              <w:bottom w:val="single" w:sz="4" w:space="0" w:color="000000"/>
              <w:right w:val="single" w:sz="4" w:space="0" w:color="000000"/>
            </w:tcBorders>
            <w:tcMar>
              <w:top w:w="100" w:type="dxa"/>
              <w:bottom w:w="100" w:type="dxa"/>
            </w:tcMar>
          </w:tcPr>
          <w:p w14:paraId="6CD2D2BD" w14:textId="77777777" w:rsidR="00BB65DF" w:rsidRDefault="00000000">
            <w:pPr>
              <w:widowControl/>
              <w:snapToGrid w:val="0"/>
              <w:spacing w:line="240" w:lineRule="atLeast"/>
              <w:ind w:firstLineChars="0" w:firstLine="0"/>
              <w:jc w:val="both"/>
              <w:rPr>
                <w:rFonts w:cs="Times New Roman"/>
                <w:b/>
                <w:bCs/>
                <w:color w:val="000000" w:themeColor="text1"/>
                <w:sz w:val="21"/>
                <w:szCs w:val="21"/>
              </w:rPr>
            </w:pPr>
            <w:r>
              <w:rPr>
                <w:rFonts w:eastAsia="宋体" w:cs="Times New Roman"/>
                <w:b/>
                <w:bCs/>
                <w:color w:val="000000" w:themeColor="text1"/>
                <w:sz w:val="21"/>
                <w:szCs w:val="21"/>
                <w:lang w:bidi="ar"/>
              </w:rPr>
              <w:t>Diagnostic quality</w:t>
            </w:r>
          </w:p>
        </w:tc>
      </w:tr>
      <w:tr w:rsidR="00BB65DF" w14:paraId="4BD84EAB" w14:textId="77777777">
        <w:trPr>
          <w:cantSplit/>
          <w:trHeight w:val="24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5D2A8762"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Correct diagnosis</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4398AA52"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Type 2 diabetes</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52CADEF5"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Extra Credit</w:t>
            </w:r>
          </w:p>
        </w:tc>
      </w:tr>
      <w:tr w:rsidR="00BB65DF" w14:paraId="2912AE4D"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444EE504"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21B49DB3"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p>
        </w:tc>
      </w:tr>
      <w:tr w:rsidR="00BB65DF" w14:paraId="0D1222AD" w14:textId="77777777">
        <w:trPr>
          <w:cantSplit/>
          <w:trHeight w:val="24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4CB58462"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Partially correct diagnosis</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6AA47738"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Diabetes or suspected diabetes</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427E9475"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Extra Credit</w:t>
            </w:r>
          </w:p>
        </w:tc>
      </w:tr>
      <w:tr w:rsidR="00BB65DF" w14:paraId="5E696162"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0BC8F5FB"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37915B53"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p>
        </w:tc>
      </w:tr>
      <w:tr w:rsidR="00BB65DF" w14:paraId="6C426164" w14:textId="77777777">
        <w:trPr>
          <w:cantSplit/>
          <w:trHeight w:val="24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0BC9CB77"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Incorrect diagnosis</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578F460F"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not acclimatized</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2E7F7F46"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Deductions</w:t>
            </w:r>
          </w:p>
        </w:tc>
      </w:tr>
      <w:tr w:rsidR="00BB65DF" w14:paraId="68E16974"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499F25AD"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79752A7F"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Urinary tract infections</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1EEC4360"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Deductions</w:t>
            </w:r>
          </w:p>
        </w:tc>
      </w:tr>
      <w:tr w:rsidR="00BB65DF" w14:paraId="2DB063D1"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2A976E18"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0E67583A"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r>
              <w:rPr>
                <w:rFonts w:eastAsia="宋体" w:cs="Times New Roman"/>
                <w:color w:val="000000" w:themeColor="text1"/>
                <w:sz w:val="21"/>
                <w:szCs w:val="21"/>
                <w:lang w:bidi="ar"/>
              </w:rPr>
              <w:tab/>
            </w:r>
          </w:p>
        </w:tc>
      </w:tr>
      <w:tr w:rsidR="00BB65DF" w14:paraId="7AC2B230" w14:textId="77777777">
        <w:trPr>
          <w:cantSplit/>
          <w:trHeight w:val="240"/>
          <w:jc w:val="center"/>
        </w:trPr>
        <w:tc>
          <w:tcPr>
            <w:tcW w:w="5000" w:type="pct"/>
            <w:gridSpan w:val="3"/>
            <w:tcBorders>
              <w:top w:val="single" w:sz="4" w:space="0" w:color="000000"/>
              <w:left w:val="single" w:sz="4" w:space="0" w:color="000000"/>
              <w:bottom w:val="single" w:sz="4" w:space="0" w:color="000000"/>
              <w:right w:val="single" w:sz="4" w:space="0" w:color="000000"/>
            </w:tcBorders>
            <w:tcMar>
              <w:top w:w="100" w:type="dxa"/>
              <w:bottom w:w="100" w:type="dxa"/>
            </w:tcMar>
          </w:tcPr>
          <w:p w14:paraId="62F20BFC" w14:textId="77777777" w:rsidR="00BB65DF" w:rsidRDefault="00000000">
            <w:pPr>
              <w:widowControl/>
              <w:snapToGrid w:val="0"/>
              <w:spacing w:line="240" w:lineRule="atLeast"/>
              <w:ind w:firstLineChars="0" w:firstLine="0"/>
              <w:jc w:val="both"/>
              <w:rPr>
                <w:rFonts w:cs="Times New Roman"/>
                <w:b/>
                <w:bCs/>
                <w:color w:val="000000" w:themeColor="text1"/>
                <w:sz w:val="21"/>
                <w:szCs w:val="21"/>
              </w:rPr>
            </w:pPr>
            <w:r>
              <w:rPr>
                <w:rFonts w:eastAsia="宋体" w:cs="Times New Roman"/>
                <w:b/>
                <w:bCs/>
                <w:color w:val="000000" w:themeColor="text1"/>
                <w:sz w:val="21"/>
                <w:szCs w:val="21"/>
                <w:lang w:bidi="ar"/>
              </w:rPr>
              <w:t>Quality of treatment</w:t>
            </w:r>
          </w:p>
        </w:tc>
      </w:tr>
      <w:tr w:rsidR="00BB65DF" w14:paraId="231D0ACB" w14:textId="77777777">
        <w:trPr>
          <w:cantSplit/>
          <w:trHeight w:val="24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1A3ACE01"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Correct treatment measures</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5CFDCBDC"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Low-salt, low-sodium diabetic diet</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0F82AC6A"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Extra credit, details omitted</w:t>
            </w:r>
          </w:p>
        </w:tc>
      </w:tr>
      <w:tr w:rsidR="00BB65DF" w14:paraId="5E7B9E02"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2C33CEA3"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5A8B023A" w14:textId="77777777" w:rsidR="00BB65DF" w:rsidRDefault="00000000">
            <w:pPr>
              <w:widowControl/>
              <w:snapToGrid w:val="0"/>
              <w:spacing w:line="240" w:lineRule="atLeast"/>
              <w:ind w:firstLineChars="0" w:firstLine="0"/>
              <w:rPr>
                <w:rFonts w:cs="Times New Roman"/>
                <w:b/>
                <w:bCs/>
                <w:color w:val="000000" w:themeColor="text1"/>
                <w:sz w:val="21"/>
                <w:szCs w:val="21"/>
              </w:rPr>
            </w:pPr>
            <w:r>
              <w:rPr>
                <w:rFonts w:eastAsia="宋体" w:cs="Times New Roman"/>
                <w:b/>
                <w:bCs/>
                <w:color w:val="000000" w:themeColor="text1"/>
                <w:sz w:val="21"/>
                <w:szCs w:val="21"/>
                <w:lang w:bidi="ar"/>
              </w:rPr>
              <w:t>Telling about hazards of smoking, asking to quit smoking, making referrals and offering a quit line.</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21E1620F" w14:textId="77777777" w:rsidR="00BB65DF" w:rsidRDefault="00000000">
            <w:pPr>
              <w:widowControl/>
              <w:snapToGrid w:val="0"/>
              <w:spacing w:line="240" w:lineRule="atLeast"/>
              <w:ind w:firstLineChars="0" w:firstLine="0"/>
              <w:jc w:val="both"/>
              <w:rPr>
                <w:rFonts w:cs="Times New Roman"/>
                <w:b/>
                <w:bCs/>
                <w:color w:val="000000" w:themeColor="text1"/>
                <w:sz w:val="21"/>
                <w:szCs w:val="21"/>
              </w:rPr>
            </w:pPr>
            <w:r>
              <w:rPr>
                <w:rFonts w:eastAsia="宋体" w:cs="Times New Roman"/>
                <w:b/>
                <w:bCs/>
                <w:color w:val="000000" w:themeColor="text1"/>
                <w:sz w:val="21"/>
                <w:szCs w:val="21"/>
                <w:lang w:bidi="ar"/>
              </w:rPr>
              <w:t>Points deducted if not implemented for male USP</w:t>
            </w:r>
            <w:r>
              <w:rPr>
                <w:rFonts w:eastAsia="宋体" w:cs="Times New Roman"/>
                <w:color w:val="000000" w:themeColor="text1"/>
                <w:sz w:val="21"/>
                <w:szCs w:val="21"/>
                <w:lang w:bidi="ar"/>
              </w:rPr>
              <w:t>, details omitted</w:t>
            </w:r>
          </w:p>
        </w:tc>
      </w:tr>
      <w:tr w:rsidR="00BB65DF" w14:paraId="67FE9275"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47699448"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386A7B07"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r>
              <w:rPr>
                <w:rFonts w:eastAsia="宋体" w:cs="Times New Roman"/>
                <w:color w:val="000000" w:themeColor="text1"/>
                <w:sz w:val="21"/>
                <w:szCs w:val="21"/>
                <w:lang w:bidi="ar"/>
              </w:rPr>
              <w:tab/>
            </w:r>
          </w:p>
        </w:tc>
      </w:tr>
      <w:tr w:rsidR="00BB65DF" w14:paraId="0005E252" w14:textId="77777777">
        <w:trPr>
          <w:cantSplit/>
          <w:trHeight w:val="240"/>
          <w:jc w:val="center"/>
        </w:trPr>
        <w:tc>
          <w:tcPr>
            <w:tcW w:w="663" w:type="pct"/>
            <w:vMerge w:val="restart"/>
            <w:tcBorders>
              <w:top w:val="single" w:sz="4" w:space="0" w:color="000000"/>
              <w:left w:val="single" w:sz="4" w:space="0" w:color="000000"/>
              <w:bottom w:val="single" w:sz="4" w:space="0" w:color="000000"/>
              <w:right w:val="single" w:sz="4" w:space="0" w:color="000000"/>
            </w:tcBorders>
            <w:tcMar>
              <w:top w:w="100" w:type="dxa"/>
              <w:bottom w:w="100" w:type="dxa"/>
            </w:tcMar>
          </w:tcPr>
          <w:p w14:paraId="2C458752"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Wrong treatment measures</w:t>
            </w: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02650F16"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Insulin</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7A007E9A"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Deductions</w:t>
            </w:r>
          </w:p>
        </w:tc>
      </w:tr>
      <w:tr w:rsidR="00BB65DF" w14:paraId="34038B57"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7CC81E74"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1892"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244550F7"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Antibiotics</w:t>
            </w:r>
          </w:p>
        </w:tc>
        <w:tc>
          <w:tcPr>
            <w:tcW w:w="2444" w:type="pct"/>
            <w:tcBorders>
              <w:top w:val="single" w:sz="4" w:space="0" w:color="000000"/>
              <w:left w:val="single" w:sz="4" w:space="0" w:color="000000"/>
              <w:bottom w:val="single" w:sz="4" w:space="0" w:color="000000"/>
              <w:right w:val="single" w:sz="4" w:space="0" w:color="000000"/>
            </w:tcBorders>
            <w:tcMar>
              <w:top w:w="100" w:type="dxa"/>
              <w:bottom w:w="100" w:type="dxa"/>
            </w:tcMar>
          </w:tcPr>
          <w:p w14:paraId="123FC8B5"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Deductions</w:t>
            </w:r>
          </w:p>
        </w:tc>
      </w:tr>
      <w:tr w:rsidR="00BB65DF" w14:paraId="2D3D1759" w14:textId="77777777">
        <w:trPr>
          <w:cantSplit/>
          <w:trHeight w:val="240"/>
          <w:jc w:val="center"/>
        </w:trPr>
        <w:tc>
          <w:tcPr>
            <w:tcW w:w="663" w:type="pct"/>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07055C4E" w14:textId="77777777" w:rsidR="00BB65DF" w:rsidRDefault="00BB65DF">
            <w:pPr>
              <w:widowControl/>
              <w:spacing w:line="240" w:lineRule="atLeast"/>
              <w:ind w:firstLineChars="0" w:firstLine="0"/>
              <w:rPr>
                <w:rFonts w:ascii="等线" w:eastAsia="等线" w:hAnsi="等线" w:cs="等线" w:hint="eastAsia"/>
                <w:color w:val="000000" w:themeColor="text1"/>
                <w:sz w:val="21"/>
              </w:rPr>
            </w:pPr>
          </w:p>
        </w:tc>
        <w:tc>
          <w:tcPr>
            <w:tcW w:w="4336" w:type="pct"/>
            <w:gridSpan w:val="2"/>
            <w:tcBorders>
              <w:top w:val="single" w:sz="4" w:space="0" w:color="000000"/>
              <w:left w:val="single" w:sz="4" w:space="0" w:color="000000"/>
              <w:bottom w:val="single" w:sz="4" w:space="0" w:color="000000"/>
              <w:right w:val="single" w:sz="4" w:space="0" w:color="000000"/>
            </w:tcBorders>
            <w:tcMar>
              <w:top w:w="100" w:type="dxa"/>
              <w:bottom w:w="100" w:type="dxa"/>
            </w:tcMar>
          </w:tcPr>
          <w:p w14:paraId="73B2CBB0" w14:textId="77777777" w:rsidR="00BB65DF" w:rsidRDefault="00000000">
            <w:pPr>
              <w:widowControl/>
              <w:snapToGrid w:val="0"/>
              <w:spacing w:line="240" w:lineRule="atLeast"/>
              <w:ind w:firstLineChars="0" w:firstLine="0"/>
              <w:jc w:val="both"/>
              <w:rPr>
                <w:rFonts w:cs="Times New Roman"/>
                <w:color w:val="000000" w:themeColor="text1"/>
                <w:sz w:val="21"/>
                <w:szCs w:val="21"/>
              </w:rPr>
            </w:pPr>
            <w:r>
              <w:rPr>
                <w:rFonts w:eastAsia="宋体" w:cs="Times New Roman"/>
                <w:color w:val="000000" w:themeColor="text1"/>
                <w:sz w:val="21"/>
                <w:szCs w:val="21"/>
                <w:lang w:bidi="ar"/>
              </w:rPr>
              <w:t>Remaining entries omitted</w:t>
            </w:r>
            <w:r>
              <w:rPr>
                <w:rFonts w:eastAsia="宋体" w:cs="Times New Roman"/>
                <w:color w:val="000000" w:themeColor="text1"/>
                <w:sz w:val="21"/>
                <w:szCs w:val="21"/>
                <w:lang w:bidi="ar"/>
              </w:rPr>
              <w:tab/>
            </w:r>
          </w:p>
        </w:tc>
      </w:tr>
    </w:tbl>
    <w:p w14:paraId="1BB58747" w14:textId="77777777" w:rsidR="00BB65DF" w:rsidRDefault="00000000">
      <w:pPr>
        <w:widowControl/>
        <w:spacing w:line="240" w:lineRule="atLeast"/>
        <w:ind w:firstLineChars="0" w:firstLine="0"/>
        <w:rPr>
          <w:rFonts w:cs="Times New Roman"/>
          <w:color w:val="000000" w:themeColor="text1"/>
          <w:sz w:val="21"/>
          <w:szCs w:val="21"/>
        </w:rPr>
      </w:pPr>
      <w:r>
        <w:rPr>
          <w:rFonts w:eastAsia="宋体" w:cs="Times New Roman"/>
          <w:color w:val="000000" w:themeColor="text1"/>
          <w:kern w:val="0"/>
          <w:sz w:val="21"/>
          <w:szCs w:val="21"/>
          <w:lang w:bidi="ar"/>
        </w:rPr>
        <w:t>USP, Unannounced standardized patient.</w:t>
      </w:r>
    </w:p>
    <w:p w14:paraId="1E136F62" w14:textId="77777777" w:rsidR="00BB65DF" w:rsidRDefault="00BB65DF">
      <w:pPr>
        <w:widowControl/>
        <w:spacing w:line="240" w:lineRule="atLeast"/>
        <w:ind w:firstLineChars="0" w:firstLine="0"/>
        <w:rPr>
          <w:rFonts w:eastAsia="宋体" w:cs="Times New Roman"/>
          <w:color w:val="000000" w:themeColor="text1"/>
          <w:kern w:val="0"/>
          <w:sz w:val="21"/>
          <w:szCs w:val="21"/>
          <w:lang w:bidi="ar"/>
        </w:rPr>
        <w:sectPr w:rsidR="00BB65DF">
          <w:pgSz w:w="12586" w:h="17864"/>
          <w:pgMar w:top="624" w:right="1134" w:bottom="567" w:left="1701" w:header="851" w:footer="227" w:gutter="0"/>
          <w:cols w:space="0"/>
          <w:docGrid w:type="lines" w:linePitch="326"/>
        </w:sectPr>
      </w:pPr>
    </w:p>
    <w:p w14:paraId="6AA4CC1B" w14:textId="77777777" w:rsidR="00BB65DF" w:rsidRDefault="00000000">
      <w:pPr>
        <w:pStyle w:val="1"/>
        <w:spacing w:before="0" w:after="0" w:line="240" w:lineRule="auto"/>
        <w:rPr>
          <w:rFonts w:cs="Times New Roman"/>
          <w:b w:val="0"/>
          <w:bCs w:val="0"/>
          <w:color w:val="000000" w:themeColor="text1"/>
          <w:sz w:val="24"/>
          <w:szCs w:val="24"/>
        </w:rPr>
      </w:pPr>
      <w:r>
        <w:rPr>
          <w:rFonts w:eastAsia="宋体" w:cs="Times New Roman" w:hint="eastAsia"/>
          <w:color w:val="000000" w:themeColor="text1"/>
          <w:kern w:val="0"/>
          <w:sz w:val="24"/>
          <w:szCs w:val="24"/>
          <w:lang w:bidi="ar"/>
        </w:rPr>
        <w:lastRenderedPageBreak/>
        <w:t>Appendix E</w:t>
      </w:r>
      <w:r>
        <w:rPr>
          <w:rFonts w:eastAsia="宋体" w:cs="Times New Roman"/>
          <w:color w:val="000000" w:themeColor="text1"/>
          <w:kern w:val="0"/>
          <w:sz w:val="24"/>
          <w:szCs w:val="24"/>
          <w:lang w:bidi="ar"/>
        </w:rPr>
        <w:t xml:space="preserve"> </w:t>
      </w:r>
      <w:r>
        <w:rPr>
          <w:rFonts w:eastAsia="宋体" w:cs="Times New Roman"/>
          <w:b w:val="0"/>
          <w:bCs w:val="0"/>
          <w:color w:val="000000" w:themeColor="text1"/>
          <w:kern w:val="0"/>
          <w:sz w:val="24"/>
          <w:szCs w:val="24"/>
          <w:lang w:bidi="ar"/>
        </w:rPr>
        <w:t>Questionnaire on the degree of implementation of regularization of BISC based on NPT</w:t>
      </w:r>
    </w:p>
    <w:tbl>
      <w:tblPr>
        <w:tblStyle w:val="17"/>
        <w:tblW w:w="15598" w:type="dxa"/>
        <w:jc w:val="center"/>
        <w:tblLook w:val="04A0" w:firstRow="1" w:lastRow="0" w:firstColumn="1" w:lastColumn="0" w:noHBand="0" w:noVBand="1"/>
      </w:tblPr>
      <w:tblGrid>
        <w:gridCol w:w="1720"/>
        <w:gridCol w:w="3095"/>
        <w:gridCol w:w="10783"/>
      </w:tblGrid>
      <w:tr w:rsidR="00BB65DF" w14:paraId="3F465783" w14:textId="77777777">
        <w:trPr>
          <w:trHeight w:val="20"/>
          <w:jc w:val="center"/>
        </w:trPr>
        <w:tc>
          <w:tcPr>
            <w:tcW w:w="1720" w:type="dxa"/>
            <w:tcBorders>
              <w:top w:val="single" w:sz="4" w:space="0" w:color="auto"/>
              <w:left w:val="single" w:sz="4" w:space="0" w:color="auto"/>
              <w:bottom w:val="single" w:sz="4" w:space="0" w:color="auto"/>
              <w:right w:val="single" w:sz="4" w:space="0" w:color="auto"/>
            </w:tcBorders>
            <w:shd w:val="clear" w:color="auto" w:fill="E2EFD9"/>
          </w:tcPr>
          <w:p w14:paraId="4F3708EA" w14:textId="77777777" w:rsidR="00BB65DF" w:rsidRDefault="00000000">
            <w:pPr>
              <w:widowControl/>
              <w:autoSpaceDE w:val="0"/>
              <w:autoSpaceDN w:val="0"/>
              <w:adjustRightInd w:val="0"/>
              <w:spacing w:line="240" w:lineRule="atLeast"/>
              <w:ind w:firstLineChars="0" w:firstLine="0"/>
              <w:rPr>
                <w:rFonts w:cs="Times New Roman"/>
                <w:b/>
                <w:color w:val="000000" w:themeColor="text1"/>
                <w:sz w:val="21"/>
                <w:szCs w:val="24"/>
              </w:rPr>
            </w:pPr>
            <w:r>
              <w:rPr>
                <w:rFonts w:eastAsia="宋体" w:cs="Times New Roman"/>
                <w:b/>
                <w:color w:val="000000" w:themeColor="text1"/>
                <w:kern w:val="0"/>
                <w:sz w:val="21"/>
                <w:lang w:bidi="ar"/>
              </w:rPr>
              <w:t>Construct</w:t>
            </w:r>
          </w:p>
        </w:tc>
        <w:tc>
          <w:tcPr>
            <w:tcW w:w="3095" w:type="dxa"/>
            <w:tcBorders>
              <w:top w:val="single" w:sz="4" w:space="0" w:color="auto"/>
              <w:left w:val="single" w:sz="4" w:space="0" w:color="auto"/>
              <w:bottom w:val="single" w:sz="4" w:space="0" w:color="auto"/>
              <w:right w:val="single" w:sz="4" w:space="0" w:color="auto"/>
            </w:tcBorders>
            <w:shd w:val="clear" w:color="auto" w:fill="E2EFD9"/>
          </w:tcPr>
          <w:p w14:paraId="0D5DE26F" w14:textId="77777777" w:rsidR="00BB65DF" w:rsidRDefault="00000000">
            <w:pPr>
              <w:widowControl/>
              <w:autoSpaceDE w:val="0"/>
              <w:autoSpaceDN w:val="0"/>
              <w:adjustRightInd w:val="0"/>
              <w:spacing w:line="240" w:lineRule="atLeast"/>
              <w:ind w:firstLineChars="0" w:firstLine="0"/>
              <w:rPr>
                <w:rFonts w:cs="Times New Roman"/>
                <w:b/>
                <w:color w:val="000000" w:themeColor="text1"/>
                <w:sz w:val="21"/>
                <w:szCs w:val="24"/>
              </w:rPr>
            </w:pPr>
            <w:r>
              <w:rPr>
                <w:rFonts w:eastAsia="宋体" w:cs="Times New Roman"/>
                <w:b/>
                <w:color w:val="000000" w:themeColor="text1"/>
                <w:kern w:val="0"/>
                <w:sz w:val="21"/>
                <w:lang w:bidi="ar"/>
              </w:rPr>
              <w:t>Sub-Construct</w:t>
            </w:r>
          </w:p>
        </w:tc>
        <w:tc>
          <w:tcPr>
            <w:tcW w:w="10783" w:type="dxa"/>
            <w:tcBorders>
              <w:top w:val="single" w:sz="4" w:space="0" w:color="auto"/>
              <w:left w:val="single" w:sz="4" w:space="0" w:color="auto"/>
              <w:bottom w:val="single" w:sz="4" w:space="0" w:color="auto"/>
              <w:right w:val="single" w:sz="4" w:space="0" w:color="auto"/>
            </w:tcBorders>
            <w:shd w:val="clear" w:color="auto" w:fill="E2EFD9"/>
          </w:tcPr>
          <w:p w14:paraId="65C4859A" w14:textId="77777777" w:rsidR="00BB65DF" w:rsidRDefault="00000000">
            <w:pPr>
              <w:widowControl/>
              <w:autoSpaceDE w:val="0"/>
              <w:autoSpaceDN w:val="0"/>
              <w:adjustRightInd w:val="0"/>
              <w:spacing w:line="240" w:lineRule="atLeast"/>
              <w:ind w:firstLineChars="0" w:firstLine="0"/>
              <w:rPr>
                <w:rFonts w:cs="Times New Roman"/>
                <w:b/>
                <w:color w:val="000000" w:themeColor="text1"/>
                <w:sz w:val="21"/>
                <w:szCs w:val="24"/>
              </w:rPr>
            </w:pPr>
            <w:r>
              <w:rPr>
                <w:rFonts w:eastAsia="宋体" w:cs="Times New Roman"/>
                <w:b/>
                <w:color w:val="000000" w:themeColor="text1"/>
                <w:kern w:val="0"/>
                <w:sz w:val="21"/>
                <w:lang w:bidi="ar"/>
              </w:rPr>
              <w:t>Item</w:t>
            </w:r>
          </w:p>
        </w:tc>
      </w:tr>
      <w:tr w:rsidR="00BB65DF" w14:paraId="2CE60F91" w14:textId="77777777">
        <w:trPr>
          <w:trHeight w:val="20"/>
          <w:jc w:val="center"/>
        </w:trPr>
        <w:tc>
          <w:tcPr>
            <w:tcW w:w="1720" w:type="dxa"/>
            <w:vMerge w:val="restart"/>
            <w:tcBorders>
              <w:top w:val="single" w:sz="4" w:space="0" w:color="auto"/>
              <w:left w:val="single" w:sz="4" w:space="0" w:color="auto"/>
              <w:bottom w:val="single" w:sz="4" w:space="0" w:color="auto"/>
              <w:right w:val="single" w:sz="4" w:space="0" w:color="auto"/>
            </w:tcBorders>
          </w:tcPr>
          <w:p w14:paraId="08980C04"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Coherence</w:t>
            </w:r>
          </w:p>
        </w:tc>
        <w:tc>
          <w:tcPr>
            <w:tcW w:w="3095" w:type="dxa"/>
            <w:tcBorders>
              <w:top w:val="single" w:sz="4" w:space="0" w:color="auto"/>
              <w:left w:val="single" w:sz="4" w:space="0" w:color="auto"/>
              <w:bottom w:val="single" w:sz="4" w:space="0" w:color="auto"/>
              <w:right w:val="single" w:sz="4" w:space="0" w:color="auto"/>
            </w:tcBorders>
          </w:tcPr>
          <w:p w14:paraId="4C11BD9C"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Differentiation</w:t>
            </w:r>
          </w:p>
        </w:tc>
        <w:tc>
          <w:tcPr>
            <w:tcW w:w="10783" w:type="dxa"/>
            <w:tcBorders>
              <w:top w:val="single" w:sz="4" w:space="0" w:color="auto"/>
              <w:left w:val="single" w:sz="4" w:space="0" w:color="auto"/>
              <w:bottom w:val="single" w:sz="4" w:space="0" w:color="auto"/>
              <w:right w:val="single" w:sz="4" w:space="0" w:color="auto"/>
            </w:tcBorders>
          </w:tcPr>
          <w:p w14:paraId="5FA3E070"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w:t>
            </w:r>
            <w:r>
              <w:rPr>
                <w:rFonts w:eastAsia="宋体" w:cs="Times New Roman"/>
                <w:color w:val="000000" w:themeColor="text1"/>
                <w:kern w:val="0"/>
                <w:sz w:val="21"/>
                <w:lang w:bidi="ar"/>
              </w:rPr>
              <w:t xml:space="preserve"> </w:t>
            </w:r>
            <w:r>
              <w:rPr>
                <w:rFonts w:eastAsia="宋体" w:cs="Times New Roman"/>
                <w:color w:val="000000" w:themeColor="text1"/>
                <w:kern w:val="0"/>
                <w:sz w:val="21"/>
                <w:szCs w:val="24"/>
                <w:lang w:bidi="ar"/>
              </w:rPr>
              <w:t>I can see how the brief smoking cessation intervention differs from usual ways of working</w:t>
            </w:r>
          </w:p>
        </w:tc>
      </w:tr>
      <w:tr w:rsidR="00BB65DF" w14:paraId="10D3121F"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10EFF037"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5FDF2CD8"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Communal specification</w:t>
            </w:r>
          </w:p>
        </w:tc>
        <w:tc>
          <w:tcPr>
            <w:tcW w:w="10783" w:type="dxa"/>
            <w:tcBorders>
              <w:top w:val="single" w:sz="4" w:space="0" w:color="auto"/>
              <w:left w:val="single" w:sz="4" w:space="0" w:color="auto"/>
              <w:bottom w:val="single" w:sz="4" w:space="0" w:color="auto"/>
              <w:right w:val="single" w:sz="4" w:space="0" w:color="auto"/>
            </w:tcBorders>
          </w:tcPr>
          <w:p w14:paraId="0FC84385"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2.</w:t>
            </w:r>
            <w:r>
              <w:rPr>
                <w:rFonts w:eastAsia="宋体" w:cs="Times New Roman"/>
                <w:color w:val="000000" w:themeColor="text1"/>
                <w:kern w:val="0"/>
                <w:sz w:val="21"/>
                <w:lang w:bidi="ar"/>
              </w:rPr>
              <w:t xml:space="preserve"> </w:t>
            </w:r>
            <w:r>
              <w:rPr>
                <w:rFonts w:eastAsia="宋体" w:cs="Times New Roman"/>
                <w:color w:val="000000" w:themeColor="text1"/>
                <w:kern w:val="0"/>
                <w:sz w:val="21"/>
                <w:szCs w:val="24"/>
                <w:lang w:bidi="ar"/>
              </w:rPr>
              <w:t>Staff in this organization have a shared understanding of the purpose of this brief smoking cessation intervention</w:t>
            </w:r>
          </w:p>
        </w:tc>
      </w:tr>
      <w:tr w:rsidR="00BB65DF" w14:paraId="05E7744D"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0C6AE9B6"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7C94924D"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Individual specification</w:t>
            </w:r>
          </w:p>
        </w:tc>
        <w:tc>
          <w:tcPr>
            <w:tcW w:w="10783" w:type="dxa"/>
            <w:tcBorders>
              <w:top w:val="single" w:sz="4" w:space="0" w:color="auto"/>
              <w:left w:val="single" w:sz="4" w:space="0" w:color="auto"/>
              <w:bottom w:val="single" w:sz="4" w:space="0" w:color="auto"/>
              <w:right w:val="single" w:sz="4" w:space="0" w:color="auto"/>
            </w:tcBorders>
          </w:tcPr>
          <w:p w14:paraId="6ABD9419"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3.</w:t>
            </w:r>
            <w:r>
              <w:rPr>
                <w:rFonts w:eastAsia="宋体" w:cs="Times New Roman"/>
                <w:color w:val="000000" w:themeColor="text1"/>
                <w:kern w:val="0"/>
                <w:sz w:val="21"/>
                <w:lang w:bidi="ar"/>
              </w:rPr>
              <w:t xml:space="preserve"> </w:t>
            </w:r>
            <w:r>
              <w:rPr>
                <w:rFonts w:eastAsia="宋体" w:cs="Times New Roman"/>
                <w:color w:val="000000" w:themeColor="text1"/>
                <w:kern w:val="0"/>
                <w:sz w:val="21"/>
                <w:szCs w:val="24"/>
                <w:lang w:bidi="ar"/>
              </w:rPr>
              <w:t>I understand how the brief smoking cessation intervention affects the nature of my own work</w:t>
            </w:r>
          </w:p>
        </w:tc>
      </w:tr>
      <w:tr w:rsidR="00BB65DF" w14:paraId="50209A7F"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1B65730F"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1DFBCC0F"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Internalization</w:t>
            </w:r>
          </w:p>
        </w:tc>
        <w:tc>
          <w:tcPr>
            <w:tcW w:w="10783" w:type="dxa"/>
            <w:tcBorders>
              <w:top w:val="single" w:sz="4" w:space="0" w:color="auto"/>
              <w:left w:val="single" w:sz="4" w:space="0" w:color="auto"/>
              <w:bottom w:val="single" w:sz="4" w:space="0" w:color="auto"/>
              <w:right w:val="single" w:sz="4" w:space="0" w:color="auto"/>
            </w:tcBorders>
          </w:tcPr>
          <w:p w14:paraId="5FD02B79"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4.</w:t>
            </w:r>
            <w:r>
              <w:rPr>
                <w:rFonts w:eastAsia="宋体" w:cs="Times New Roman"/>
                <w:color w:val="000000" w:themeColor="text1"/>
                <w:kern w:val="0"/>
                <w:sz w:val="21"/>
                <w:lang w:bidi="ar"/>
              </w:rPr>
              <w:t xml:space="preserve"> </w:t>
            </w:r>
            <w:r>
              <w:rPr>
                <w:rFonts w:eastAsia="宋体" w:cs="Times New Roman"/>
                <w:color w:val="000000" w:themeColor="text1"/>
                <w:kern w:val="0"/>
                <w:sz w:val="21"/>
                <w:szCs w:val="24"/>
                <w:lang w:bidi="ar"/>
              </w:rPr>
              <w:t>I can see the potential value of the brief smoking cessation intervention for my work</w:t>
            </w:r>
          </w:p>
        </w:tc>
      </w:tr>
      <w:tr w:rsidR="00BB65DF" w14:paraId="5E480850" w14:textId="77777777">
        <w:trPr>
          <w:trHeight w:val="20"/>
          <w:jc w:val="center"/>
        </w:trPr>
        <w:tc>
          <w:tcPr>
            <w:tcW w:w="1720" w:type="dxa"/>
            <w:vMerge w:val="restart"/>
            <w:tcBorders>
              <w:top w:val="single" w:sz="4" w:space="0" w:color="auto"/>
              <w:left w:val="single" w:sz="4" w:space="0" w:color="auto"/>
              <w:bottom w:val="single" w:sz="4" w:space="0" w:color="auto"/>
              <w:right w:val="single" w:sz="4" w:space="0" w:color="auto"/>
            </w:tcBorders>
          </w:tcPr>
          <w:p w14:paraId="0DD3D64D"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 xml:space="preserve">Cognitive </w:t>
            </w:r>
          </w:p>
          <w:p w14:paraId="12D10B7C"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Participation</w:t>
            </w:r>
          </w:p>
        </w:tc>
        <w:tc>
          <w:tcPr>
            <w:tcW w:w="3095" w:type="dxa"/>
            <w:tcBorders>
              <w:top w:val="single" w:sz="4" w:space="0" w:color="auto"/>
              <w:left w:val="single" w:sz="4" w:space="0" w:color="auto"/>
              <w:bottom w:val="single" w:sz="4" w:space="0" w:color="auto"/>
              <w:right w:val="single" w:sz="4" w:space="0" w:color="auto"/>
            </w:tcBorders>
          </w:tcPr>
          <w:p w14:paraId="78B260C5"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Initiation</w:t>
            </w:r>
          </w:p>
        </w:tc>
        <w:tc>
          <w:tcPr>
            <w:tcW w:w="10783" w:type="dxa"/>
            <w:tcBorders>
              <w:top w:val="single" w:sz="4" w:space="0" w:color="auto"/>
              <w:left w:val="single" w:sz="4" w:space="0" w:color="auto"/>
              <w:bottom w:val="single" w:sz="4" w:space="0" w:color="auto"/>
              <w:right w:val="single" w:sz="4" w:space="0" w:color="auto"/>
            </w:tcBorders>
          </w:tcPr>
          <w:p w14:paraId="6E3765C4"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5.</w:t>
            </w:r>
            <w:r>
              <w:rPr>
                <w:rFonts w:eastAsia="宋体" w:cs="Times New Roman"/>
                <w:color w:val="000000" w:themeColor="text1"/>
                <w:kern w:val="0"/>
                <w:sz w:val="21"/>
                <w:lang w:bidi="ar"/>
              </w:rPr>
              <w:t xml:space="preserve"> There are key people who drive the brief smoking cessation intervention forward and get others involved</w:t>
            </w:r>
          </w:p>
        </w:tc>
      </w:tr>
      <w:tr w:rsidR="00BB65DF" w14:paraId="5034FFF4"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0C73C580"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506C6A35"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Enrolment</w:t>
            </w:r>
          </w:p>
        </w:tc>
        <w:tc>
          <w:tcPr>
            <w:tcW w:w="10783" w:type="dxa"/>
            <w:tcBorders>
              <w:top w:val="single" w:sz="4" w:space="0" w:color="auto"/>
              <w:left w:val="single" w:sz="4" w:space="0" w:color="auto"/>
              <w:bottom w:val="single" w:sz="4" w:space="0" w:color="auto"/>
              <w:right w:val="single" w:sz="4" w:space="0" w:color="auto"/>
            </w:tcBorders>
          </w:tcPr>
          <w:p w14:paraId="6A33619F"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6.</w:t>
            </w:r>
            <w:r>
              <w:rPr>
                <w:rFonts w:eastAsia="宋体" w:cs="Times New Roman"/>
                <w:color w:val="000000" w:themeColor="text1"/>
                <w:kern w:val="0"/>
                <w:sz w:val="21"/>
                <w:lang w:bidi="ar"/>
              </w:rPr>
              <w:t xml:space="preserve"> </w:t>
            </w:r>
            <w:r>
              <w:rPr>
                <w:rFonts w:eastAsia="宋体" w:cs="Times New Roman"/>
                <w:color w:val="000000" w:themeColor="text1"/>
                <w:kern w:val="0"/>
                <w:sz w:val="21"/>
                <w:szCs w:val="24"/>
                <w:lang w:bidi="ar"/>
              </w:rPr>
              <w:t>I’m open to working with colleagues in new ways to use the brief smoking cessation intervention</w:t>
            </w:r>
          </w:p>
        </w:tc>
      </w:tr>
      <w:tr w:rsidR="00BB65DF" w14:paraId="573B9096"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1C4C22C3"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2FDE54A1"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Legitimation</w:t>
            </w:r>
          </w:p>
        </w:tc>
        <w:tc>
          <w:tcPr>
            <w:tcW w:w="10783" w:type="dxa"/>
            <w:tcBorders>
              <w:top w:val="single" w:sz="4" w:space="0" w:color="auto"/>
              <w:left w:val="single" w:sz="4" w:space="0" w:color="auto"/>
              <w:bottom w:val="single" w:sz="4" w:space="0" w:color="auto"/>
              <w:right w:val="single" w:sz="4" w:space="0" w:color="auto"/>
            </w:tcBorders>
          </w:tcPr>
          <w:p w14:paraId="7F616A65"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7. I believe that participating in the brief smoking cessation intervention is a legitimate part of my role</w:t>
            </w:r>
          </w:p>
        </w:tc>
      </w:tr>
      <w:tr w:rsidR="00BB65DF" w14:paraId="5A3A13A8"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2326B9EA"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1FB6FD4F"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Activation</w:t>
            </w:r>
          </w:p>
        </w:tc>
        <w:tc>
          <w:tcPr>
            <w:tcW w:w="10783" w:type="dxa"/>
            <w:tcBorders>
              <w:top w:val="single" w:sz="4" w:space="0" w:color="auto"/>
              <w:left w:val="single" w:sz="4" w:space="0" w:color="auto"/>
              <w:bottom w:val="single" w:sz="4" w:space="0" w:color="auto"/>
              <w:right w:val="single" w:sz="4" w:space="0" w:color="auto"/>
            </w:tcBorders>
          </w:tcPr>
          <w:p w14:paraId="4A20751F"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8.</w:t>
            </w:r>
            <w:r>
              <w:rPr>
                <w:rFonts w:eastAsia="宋体" w:cs="Times New Roman"/>
                <w:color w:val="000000" w:themeColor="text1"/>
                <w:kern w:val="0"/>
                <w:sz w:val="21"/>
                <w:lang w:bidi="ar"/>
              </w:rPr>
              <w:t xml:space="preserve"> </w:t>
            </w:r>
            <w:r>
              <w:rPr>
                <w:rFonts w:eastAsia="宋体" w:cs="Times New Roman"/>
                <w:color w:val="000000" w:themeColor="text1"/>
                <w:kern w:val="0"/>
                <w:sz w:val="21"/>
                <w:szCs w:val="24"/>
                <w:lang w:bidi="ar"/>
              </w:rPr>
              <w:t>I will continue to support the brief smoking cessation intervention</w:t>
            </w:r>
          </w:p>
        </w:tc>
      </w:tr>
      <w:tr w:rsidR="00BB65DF" w14:paraId="61F478BB" w14:textId="77777777">
        <w:trPr>
          <w:trHeight w:val="20"/>
          <w:jc w:val="center"/>
        </w:trPr>
        <w:tc>
          <w:tcPr>
            <w:tcW w:w="1720" w:type="dxa"/>
            <w:vMerge w:val="restart"/>
            <w:tcBorders>
              <w:top w:val="single" w:sz="4" w:space="0" w:color="auto"/>
              <w:left w:val="single" w:sz="4" w:space="0" w:color="auto"/>
              <w:bottom w:val="single" w:sz="4" w:space="0" w:color="auto"/>
              <w:right w:val="single" w:sz="4" w:space="0" w:color="auto"/>
            </w:tcBorders>
          </w:tcPr>
          <w:p w14:paraId="0110F55E"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Collective Action</w:t>
            </w:r>
          </w:p>
        </w:tc>
        <w:tc>
          <w:tcPr>
            <w:tcW w:w="3095" w:type="dxa"/>
            <w:tcBorders>
              <w:top w:val="single" w:sz="4" w:space="0" w:color="auto"/>
              <w:left w:val="single" w:sz="4" w:space="0" w:color="auto"/>
              <w:bottom w:val="single" w:sz="4" w:space="0" w:color="auto"/>
              <w:right w:val="single" w:sz="4" w:space="0" w:color="auto"/>
            </w:tcBorders>
          </w:tcPr>
          <w:p w14:paraId="02A1C8C1"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 xml:space="preserve">Interactional workability </w:t>
            </w:r>
          </w:p>
        </w:tc>
        <w:tc>
          <w:tcPr>
            <w:tcW w:w="10783" w:type="dxa"/>
            <w:tcBorders>
              <w:top w:val="single" w:sz="4" w:space="0" w:color="auto"/>
              <w:left w:val="single" w:sz="4" w:space="0" w:color="auto"/>
              <w:bottom w:val="single" w:sz="4" w:space="0" w:color="auto"/>
              <w:right w:val="single" w:sz="4" w:space="0" w:color="auto"/>
            </w:tcBorders>
          </w:tcPr>
          <w:p w14:paraId="139F5109"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9.I can easily integrate the brief smoking cessation intervention into my existing work</w:t>
            </w:r>
          </w:p>
        </w:tc>
      </w:tr>
      <w:tr w:rsidR="00BB65DF" w14:paraId="7024CE07"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7AC880CC" w14:textId="77777777" w:rsidR="00BB65DF" w:rsidRDefault="00BB65DF">
            <w:pPr>
              <w:ind w:firstLineChars="0" w:firstLine="0"/>
              <w:rPr>
                <w:rFonts w:eastAsia="宋体" w:cs="Times New Roman"/>
                <w:color w:val="000000" w:themeColor="text1"/>
                <w:sz w:val="20"/>
                <w:szCs w:val="20"/>
              </w:rPr>
            </w:pPr>
          </w:p>
        </w:tc>
        <w:tc>
          <w:tcPr>
            <w:tcW w:w="3095" w:type="dxa"/>
            <w:vMerge w:val="restart"/>
            <w:tcBorders>
              <w:top w:val="single" w:sz="4" w:space="0" w:color="auto"/>
              <w:left w:val="single" w:sz="4" w:space="0" w:color="auto"/>
              <w:bottom w:val="single" w:sz="4" w:space="0" w:color="auto"/>
              <w:right w:val="single" w:sz="4" w:space="0" w:color="auto"/>
            </w:tcBorders>
          </w:tcPr>
          <w:p w14:paraId="790218FA"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Relational integration</w:t>
            </w:r>
          </w:p>
        </w:tc>
        <w:tc>
          <w:tcPr>
            <w:tcW w:w="10783" w:type="dxa"/>
            <w:tcBorders>
              <w:top w:val="single" w:sz="4" w:space="0" w:color="auto"/>
              <w:left w:val="single" w:sz="4" w:space="0" w:color="auto"/>
              <w:bottom w:val="single" w:sz="4" w:space="0" w:color="auto"/>
              <w:right w:val="single" w:sz="4" w:space="0" w:color="auto"/>
            </w:tcBorders>
          </w:tcPr>
          <w:p w14:paraId="60852D39"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10.</w:t>
            </w:r>
            <w:r>
              <w:rPr>
                <w:rFonts w:eastAsia="宋体" w:cs="Times New Roman"/>
                <w:color w:val="000000" w:themeColor="text1"/>
                <w:kern w:val="0"/>
                <w:sz w:val="21"/>
                <w:lang w:bidi="ar"/>
              </w:rPr>
              <w:t xml:space="preserve"> </w:t>
            </w:r>
            <w:r>
              <w:rPr>
                <w:rFonts w:eastAsia="宋体" w:cs="Times New Roman"/>
                <w:color w:val="000000" w:themeColor="text1"/>
                <w:kern w:val="0"/>
                <w:sz w:val="21"/>
                <w:szCs w:val="24"/>
                <w:lang w:bidi="ar"/>
              </w:rPr>
              <w:t>The brief smoking cessation intervention disrupts working relationships (reverse scoring)</w:t>
            </w:r>
          </w:p>
        </w:tc>
      </w:tr>
      <w:tr w:rsidR="00BB65DF" w14:paraId="1CDC4B1B"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4F00D914" w14:textId="77777777" w:rsidR="00BB65DF" w:rsidRDefault="00BB65DF">
            <w:pPr>
              <w:ind w:firstLineChars="0" w:firstLine="0"/>
              <w:rPr>
                <w:rFonts w:eastAsia="宋体" w:cs="Times New Roman"/>
                <w:color w:val="000000" w:themeColor="text1"/>
                <w:sz w:val="20"/>
                <w:szCs w:val="20"/>
              </w:rPr>
            </w:pPr>
          </w:p>
        </w:tc>
        <w:tc>
          <w:tcPr>
            <w:tcW w:w="3095" w:type="dxa"/>
            <w:vMerge/>
            <w:tcBorders>
              <w:top w:val="single" w:sz="4" w:space="0" w:color="auto"/>
              <w:left w:val="single" w:sz="4" w:space="0" w:color="auto"/>
              <w:bottom w:val="single" w:sz="4" w:space="0" w:color="auto"/>
              <w:right w:val="single" w:sz="4" w:space="0" w:color="auto"/>
            </w:tcBorders>
          </w:tcPr>
          <w:p w14:paraId="6E94BBE4" w14:textId="77777777" w:rsidR="00BB65DF" w:rsidRDefault="00BB65DF">
            <w:pPr>
              <w:ind w:firstLineChars="0" w:firstLine="0"/>
              <w:rPr>
                <w:rFonts w:eastAsia="宋体" w:cs="Times New Roman"/>
                <w:color w:val="000000" w:themeColor="text1"/>
                <w:sz w:val="20"/>
                <w:szCs w:val="20"/>
              </w:rPr>
            </w:pPr>
          </w:p>
        </w:tc>
        <w:tc>
          <w:tcPr>
            <w:tcW w:w="10783" w:type="dxa"/>
            <w:tcBorders>
              <w:top w:val="single" w:sz="4" w:space="0" w:color="auto"/>
              <w:left w:val="single" w:sz="4" w:space="0" w:color="auto"/>
              <w:bottom w:val="single" w:sz="4" w:space="0" w:color="auto"/>
              <w:right w:val="single" w:sz="4" w:space="0" w:color="auto"/>
            </w:tcBorders>
          </w:tcPr>
          <w:p w14:paraId="5AF8FBAF"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11.</w:t>
            </w:r>
            <w:r>
              <w:rPr>
                <w:rFonts w:eastAsia="宋体" w:cs="Times New Roman"/>
                <w:color w:val="000000" w:themeColor="text1"/>
                <w:kern w:val="0"/>
                <w:sz w:val="21"/>
                <w:lang w:bidi="ar"/>
              </w:rPr>
              <w:t xml:space="preserve"> I have confidence in other people’s ability to use the brief smoking cessation intervention</w:t>
            </w:r>
          </w:p>
        </w:tc>
      </w:tr>
      <w:tr w:rsidR="00BB65DF" w14:paraId="4200C40A"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4A3A1F2D" w14:textId="77777777" w:rsidR="00BB65DF" w:rsidRDefault="00BB65DF">
            <w:pPr>
              <w:ind w:firstLineChars="0" w:firstLine="0"/>
              <w:rPr>
                <w:rFonts w:eastAsia="宋体" w:cs="Times New Roman"/>
                <w:color w:val="000000" w:themeColor="text1"/>
                <w:sz w:val="20"/>
                <w:szCs w:val="20"/>
              </w:rPr>
            </w:pPr>
          </w:p>
        </w:tc>
        <w:tc>
          <w:tcPr>
            <w:tcW w:w="3095" w:type="dxa"/>
            <w:vMerge w:val="restart"/>
            <w:tcBorders>
              <w:top w:val="single" w:sz="4" w:space="0" w:color="auto"/>
              <w:left w:val="single" w:sz="4" w:space="0" w:color="auto"/>
              <w:bottom w:val="single" w:sz="4" w:space="0" w:color="auto"/>
              <w:right w:val="single" w:sz="4" w:space="0" w:color="auto"/>
            </w:tcBorders>
          </w:tcPr>
          <w:p w14:paraId="32CAEF6B"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Skill set workability</w:t>
            </w:r>
          </w:p>
        </w:tc>
        <w:tc>
          <w:tcPr>
            <w:tcW w:w="10783" w:type="dxa"/>
            <w:tcBorders>
              <w:top w:val="single" w:sz="4" w:space="0" w:color="auto"/>
              <w:left w:val="single" w:sz="4" w:space="0" w:color="auto"/>
              <w:bottom w:val="single" w:sz="4" w:space="0" w:color="auto"/>
              <w:right w:val="single" w:sz="4" w:space="0" w:color="auto"/>
            </w:tcBorders>
          </w:tcPr>
          <w:p w14:paraId="2E4FAF31"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12</w:t>
            </w:r>
            <w:r>
              <w:rPr>
                <w:rFonts w:eastAsia="宋体" w:cs="Times New Roman"/>
                <w:color w:val="000000" w:themeColor="text1"/>
                <w:kern w:val="0"/>
                <w:sz w:val="21"/>
                <w:lang w:bidi="ar"/>
              </w:rPr>
              <w:t xml:space="preserve"> Work is assigned to those with skills appropriate to the brief smoking cessation intervention</w:t>
            </w:r>
          </w:p>
        </w:tc>
      </w:tr>
      <w:tr w:rsidR="00BB65DF" w14:paraId="638C19A2"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326D9A49" w14:textId="77777777" w:rsidR="00BB65DF" w:rsidRDefault="00BB65DF">
            <w:pPr>
              <w:ind w:firstLineChars="0" w:firstLine="0"/>
              <w:rPr>
                <w:rFonts w:eastAsia="宋体" w:cs="Times New Roman"/>
                <w:color w:val="000000" w:themeColor="text1"/>
                <w:sz w:val="20"/>
                <w:szCs w:val="20"/>
              </w:rPr>
            </w:pPr>
          </w:p>
        </w:tc>
        <w:tc>
          <w:tcPr>
            <w:tcW w:w="3095" w:type="dxa"/>
            <w:vMerge/>
            <w:tcBorders>
              <w:top w:val="single" w:sz="4" w:space="0" w:color="auto"/>
              <w:left w:val="single" w:sz="4" w:space="0" w:color="auto"/>
              <w:bottom w:val="single" w:sz="4" w:space="0" w:color="auto"/>
              <w:right w:val="single" w:sz="4" w:space="0" w:color="auto"/>
            </w:tcBorders>
          </w:tcPr>
          <w:p w14:paraId="31C4B684" w14:textId="77777777" w:rsidR="00BB65DF" w:rsidRDefault="00BB65DF">
            <w:pPr>
              <w:ind w:firstLineChars="0" w:firstLine="0"/>
              <w:rPr>
                <w:rFonts w:eastAsia="宋体" w:cs="Times New Roman"/>
                <w:color w:val="000000" w:themeColor="text1"/>
                <w:sz w:val="20"/>
                <w:szCs w:val="20"/>
              </w:rPr>
            </w:pPr>
          </w:p>
        </w:tc>
        <w:tc>
          <w:tcPr>
            <w:tcW w:w="10783" w:type="dxa"/>
            <w:tcBorders>
              <w:top w:val="single" w:sz="4" w:space="0" w:color="auto"/>
              <w:left w:val="single" w:sz="4" w:space="0" w:color="auto"/>
              <w:bottom w:val="single" w:sz="4" w:space="0" w:color="auto"/>
              <w:right w:val="single" w:sz="4" w:space="0" w:color="auto"/>
            </w:tcBorders>
          </w:tcPr>
          <w:p w14:paraId="629AB12E"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13.</w:t>
            </w:r>
            <w:r>
              <w:rPr>
                <w:rFonts w:eastAsia="宋体" w:cs="Times New Roman"/>
                <w:color w:val="000000" w:themeColor="text1"/>
                <w:kern w:val="0"/>
                <w:sz w:val="21"/>
                <w:lang w:bidi="ar"/>
              </w:rPr>
              <w:t xml:space="preserve"> Sufficient training is provided to enable staff to use the brief smoking cessation intervention</w:t>
            </w:r>
          </w:p>
        </w:tc>
      </w:tr>
      <w:tr w:rsidR="00BB65DF" w14:paraId="0C8DA130"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10C05996" w14:textId="77777777" w:rsidR="00BB65DF" w:rsidRDefault="00BB65DF">
            <w:pPr>
              <w:ind w:firstLineChars="0" w:firstLine="0"/>
              <w:rPr>
                <w:rFonts w:eastAsia="宋体" w:cs="Times New Roman"/>
                <w:color w:val="000000" w:themeColor="text1"/>
                <w:sz w:val="20"/>
                <w:szCs w:val="20"/>
              </w:rPr>
            </w:pPr>
          </w:p>
        </w:tc>
        <w:tc>
          <w:tcPr>
            <w:tcW w:w="3095" w:type="dxa"/>
            <w:vMerge w:val="restart"/>
            <w:tcBorders>
              <w:top w:val="single" w:sz="4" w:space="0" w:color="auto"/>
              <w:left w:val="single" w:sz="4" w:space="0" w:color="auto"/>
              <w:bottom w:val="single" w:sz="4" w:space="0" w:color="auto"/>
              <w:right w:val="single" w:sz="4" w:space="0" w:color="auto"/>
            </w:tcBorders>
          </w:tcPr>
          <w:p w14:paraId="3E397B07"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Contextual integration</w:t>
            </w:r>
          </w:p>
        </w:tc>
        <w:tc>
          <w:tcPr>
            <w:tcW w:w="10783" w:type="dxa"/>
            <w:tcBorders>
              <w:top w:val="single" w:sz="4" w:space="0" w:color="auto"/>
              <w:left w:val="single" w:sz="4" w:space="0" w:color="auto"/>
              <w:bottom w:val="single" w:sz="4" w:space="0" w:color="auto"/>
              <w:right w:val="single" w:sz="4" w:space="0" w:color="auto"/>
            </w:tcBorders>
          </w:tcPr>
          <w:p w14:paraId="3E318379"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14.</w:t>
            </w:r>
            <w:r>
              <w:rPr>
                <w:rFonts w:eastAsia="宋体" w:cs="Times New Roman"/>
                <w:color w:val="000000" w:themeColor="text1"/>
                <w:kern w:val="0"/>
                <w:sz w:val="21"/>
                <w:lang w:bidi="ar"/>
              </w:rPr>
              <w:t xml:space="preserve"> Sufficient resources are available to support the brief smoking cessation intervention</w:t>
            </w:r>
          </w:p>
        </w:tc>
      </w:tr>
      <w:tr w:rsidR="00BB65DF" w14:paraId="2E1AC218"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306D54F4" w14:textId="77777777" w:rsidR="00BB65DF" w:rsidRDefault="00BB65DF">
            <w:pPr>
              <w:ind w:firstLineChars="0" w:firstLine="0"/>
              <w:rPr>
                <w:rFonts w:eastAsia="宋体" w:cs="Times New Roman"/>
                <w:color w:val="000000" w:themeColor="text1"/>
                <w:sz w:val="20"/>
                <w:szCs w:val="20"/>
              </w:rPr>
            </w:pPr>
          </w:p>
        </w:tc>
        <w:tc>
          <w:tcPr>
            <w:tcW w:w="3095" w:type="dxa"/>
            <w:vMerge/>
            <w:tcBorders>
              <w:top w:val="single" w:sz="4" w:space="0" w:color="auto"/>
              <w:left w:val="single" w:sz="4" w:space="0" w:color="auto"/>
              <w:bottom w:val="single" w:sz="4" w:space="0" w:color="auto"/>
              <w:right w:val="single" w:sz="4" w:space="0" w:color="auto"/>
            </w:tcBorders>
          </w:tcPr>
          <w:p w14:paraId="6D60D60D" w14:textId="77777777" w:rsidR="00BB65DF" w:rsidRDefault="00BB65DF">
            <w:pPr>
              <w:ind w:firstLineChars="0" w:firstLine="0"/>
              <w:rPr>
                <w:rFonts w:eastAsia="宋体" w:cs="Times New Roman"/>
                <w:color w:val="000000" w:themeColor="text1"/>
                <w:sz w:val="20"/>
                <w:szCs w:val="20"/>
              </w:rPr>
            </w:pPr>
          </w:p>
        </w:tc>
        <w:tc>
          <w:tcPr>
            <w:tcW w:w="10783" w:type="dxa"/>
            <w:tcBorders>
              <w:top w:val="single" w:sz="4" w:space="0" w:color="auto"/>
              <w:left w:val="single" w:sz="4" w:space="0" w:color="auto"/>
              <w:bottom w:val="single" w:sz="4" w:space="0" w:color="auto"/>
              <w:right w:val="single" w:sz="4" w:space="0" w:color="auto"/>
            </w:tcBorders>
          </w:tcPr>
          <w:p w14:paraId="3700A084"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15.</w:t>
            </w:r>
            <w:r>
              <w:rPr>
                <w:rFonts w:eastAsia="宋体" w:cs="Times New Roman"/>
                <w:color w:val="000000" w:themeColor="text1"/>
                <w:kern w:val="0"/>
                <w:sz w:val="21"/>
                <w:lang w:bidi="ar"/>
              </w:rPr>
              <w:t xml:space="preserve"> Management adequately support the brief smoking cessation intervention</w:t>
            </w:r>
          </w:p>
        </w:tc>
      </w:tr>
      <w:tr w:rsidR="00BB65DF" w14:paraId="17057DA4" w14:textId="77777777">
        <w:trPr>
          <w:trHeight w:val="20"/>
          <w:jc w:val="center"/>
        </w:trPr>
        <w:tc>
          <w:tcPr>
            <w:tcW w:w="1720" w:type="dxa"/>
            <w:vMerge w:val="restart"/>
            <w:tcBorders>
              <w:top w:val="single" w:sz="4" w:space="0" w:color="auto"/>
              <w:left w:val="single" w:sz="4" w:space="0" w:color="auto"/>
              <w:bottom w:val="single" w:sz="4" w:space="0" w:color="auto"/>
              <w:right w:val="single" w:sz="4" w:space="0" w:color="auto"/>
            </w:tcBorders>
          </w:tcPr>
          <w:p w14:paraId="5394D9E6"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 xml:space="preserve">Reflexive </w:t>
            </w:r>
          </w:p>
          <w:p w14:paraId="10783BD4"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Monitoring</w:t>
            </w:r>
          </w:p>
        </w:tc>
        <w:tc>
          <w:tcPr>
            <w:tcW w:w="3095" w:type="dxa"/>
            <w:tcBorders>
              <w:top w:val="single" w:sz="4" w:space="0" w:color="auto"/>
              <w:left w:val="single" w:sz="4" w:space="0" w:color="auto"/>
              <w:bottom w:val="single" w:sz="4" w:space="0" w:color="auto"/>
              <w:right w:val="single" w:sz="4" w:space="0" w:color="auto"/>
            </w:tcBorders>
          </w:tcPr>
          <w:p w14:paraId="6F9BDD60"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Systemization</w:t>
            </w:r>
          </w:p>
        </w:tc>
        <w:tc>
          <w:tcPr>
            <w:tcW w:w="10783" w:type="dxa"/>
            <w:tcBorders>
              <w:top w:val="single" w:sz="4" w:space="0" w:color="auto"/>
              <w:left w:val="single" w:sz="4" w:space="0" w:color="auto"/>
              <w:bottom w:val="single" w:sz="4" w:space="0" w:color="auto"/>
              <w:right w:val="single" w:sz="4" w:space="0" w:color="auto"/>
            </w:tcBorders>
          </w:tcPr>
          <w:p w14:paraId="49888FE7"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16.</w:t>
            </w:r>
            <w:r>
              <w:rPr>
                <w:rFonts w:eastAsia="宋体" w:cs="Times New Roman"/>
                <w:color w:val="000000" w:themeColor="text1"/>
                <w:kern w:val="0"/>
                <w:sz w:val="21"/>
                <w:lang w:bidi="ar"/>
              </w:rPr>
              <w:t xml:space="preserve"> I am aware of reports about the effects of the brief smoking cessation intervention</w:t>
            </w:r>
          </w:p>
        </w:tc>
      </w:tr>
      <w:tr w:rsidR="00BB65DF" w14:paraId="09488612"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48B1C58F"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66F4D5A4"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Communal appraisal</w:t>
            </w:r>
          </w:p>
        </w:tc>
        <w:tc>
          <w:tcPr>
            <w:tcW w:w="10783" w:type="dxa"/>
            <w:tcBorders>
              <w:top w:val="single" w:sz="4" w:space="0" w:color="auto"/>
              <w:left w:val="single" w:sz="4" w:space="0" w:color="auto"/>
              <w:bottom w:val="single" w:sz="4" w:space="0" w:color="auto"/>
              <w:right w:val="single" w:sz="4" w:space="0" w:color="auto"/>
            </w:tcBorders>
          </w:tcPr>
          <w:p w14:paraId="59B4D47C"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17.</w:t>
            </w:r>
            <w:r>
              <w:rPr>
                <w:rFonts w:eastAsia="宋体" w:cs="Times New Roman"/>
                <w:color w:val="000000" w:themeColor="text1"/>
                <w:kern w:val="0"/>
                <w:sz w:val="21"/>
                <w:lang w:bidi="ar"/>
              </w:rPr>
              <w:t xml:space="preserve"> The staff agree that the brief smoking cessation intervention is worthwhile</w:t>
            </w:r>
          </w:p>
        </w:tc>
      </w:tr>
      <w:tr w:rsidR="00BB65DF" w14:paraId="116ACD7D"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3E4C1F08" w14:textId="77777777" w:rsidR="00BB65DF" w:rsidRDefault="00BB65DF">
            <w:pPr>
              <w:ind w:firstLineChars="0" w:firstLine="0"/>
              <w:rPr>
                <w:rFonts w:eastAsia="宋体" w:cs="Times New Roman"/>
                <w:color w:val="000000" w:themeColor="text1"/>
                <w:sz w:val="20"/>
                <w:szCs w:val="20"/>
              </w:rPr>
            </w:pPr>
          </w:p>
        </w:tc>
        <w:tc>
          <w:tcPr>
            <w:tcW w:w="3095" w:type="dxa"/>
            <w:tcBorders>
              <w:top w:val="single" w:sz="4" w:space="0" w:color="auto"/>
              <w:left w:val="single" w:sz="4" w:space="0" w:color="auto"/>
              <w:bottom w:val="single" w:sz="4" w:space="0" w:color="auto"/>
              <w:right w:val="single" w:sz="4" w:space="0" w:color="auto"/>
            </w:tcBorders>
          </w:tcPr>
          <w:p w14:paraId="094F3C1E"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Individual appraisal</w:t>
            </w:r>
          </w:p>
        </w:tc>
        <w:tc>
          <w:tcPr>
            <w:tcW w:w="10783" w:type="dxa"/>
            <w:tcBorders>
              <w:top w:val="single" w:sz="4" w:space="0" w:color="auto"/>
              <w:left w:val="single" w:sz="4" w:space="0" w:color="auto"/>
              <w:bottom w:val="single" w:sz="4" w:space="0" w:color="auto"/>
              <w:right w:val="single" w:sz="4" w:space="0" w:color="auto"/>
            </w:tcBorders>
          </w:tcPr>
          <w:p w14:paraId="3FC205F1"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18.</w:t>
            </w:r>
            <w:r>
              <w:rPr>
                <w:rFonts w:eastAsia="宋体" w:cs="Times New Roman"/>
                <w:color w:val="000000" w:themeColor="text1"/>
                <w:kern w:val="0"/>
                <w:sz w:val="21"/>
                <w:lang w:bidi="ar"/>
              </w:rPr>
              <w:t xml:space="preserve"> I value the effects the brief smoking cessation intervention has had on my work</w:t>
            </w:r>
          </w:p>
        </w:tc>
      </w:tr>
      <w:tr w:rsidR="00BB65DF" w14:paraId="305B596E"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4959ED35" w14:textId="77777777" w:rsidR="00BB65DF" w:rsidRDefault="00BB65DF">
            <w:pPr>
              <w:ind w:firstLineChars="0" w:firstLine="0"/>
              <w:rPr>
                <w:rFonts w:eastAsia="宋体" w:cs="Times New Roman"/>
                <w:color w:val="000000" w:themeColor="text1"/>
                <w:sz w:val="20"/>
                <w:szCs w:val="20"/>
              </w:rPr>
            </w:pPr>
          </w:p>
        </w:tc>
        <w:tc>
          <w:tcPr>
            <w:tcW w:w="3095" w:type="dxa"/>
            <w:vMerge w:val="restart"/>
            <w:tcBorders>
              <w:top w:val="single" w:sz="4" w:space="0" w:color="auto"/>
              <w:left w:val="single" w:sz="4" w:space="0" w:color="auto"/>
              <w:bottom w:val="single" w:sz="4" w:space="0" w:color="auto"/>
              <w:right w:val="single" w:sz="4" w:space="0" w:color="auto"/>
            </w:tcBorders>
          </w:tcPr>
          <w:p w14:paraId="19EDD7F5"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lang w:bidi="ar"/>
              </w:rPr>
              <w:t>Reconfiguration</w:t>
            </w:r>
          </w:p>
        </w:tc>
        <w:tc>
          <w:tcPr>
            <w:tcW w:w="10783" w:type="dxa"/>
            <w:tcBorders>
              <w:top w:val="single" w:sz="4" w:space="0" w:color="auto"/>
              <w:left w:val="single" w:sz="4" w:space="0" w:color="auto"/>
              <w:bottom w:val="single" w:sz="4" w:space="0" w:color="auto"/>
              <w:right w:val="single" w:sz="4" w:space="0" w:color="auto"/>
            </w:tcBorders>
          </w:tcPr>
          <w:p w14:paraId="54829357"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19.</w:t>
            </w:r>
            <w:r>
              <w:rPr>
                <w:rFonts w:eastAsia="宋体" w:cs="Times New Roman"/>
                <w:color w:val="000000" w:themeColor="text1"/>
                <w:kern w:val="0"/>
                <w:sz w:val="21"/>
                <w:lang w:bidi="ar"/>
              </w:rPr>
              <w:t xml:space="preserve"> Feedback about the brief smoking cessation intervention can be used to improve it in the future</w:t>
            </w:r>
          </w:p>
        </w:tc>
      </w:tr>
      <w:tr w:rsidR="00BB65DF" w14:paraId="3AB83591" w14:textId="77777777">
        <w:trPr>
          <w:trHeight w:val="20"/>
          <w:jc w:val="center"/>
        </w:trPr>
        <w:tc>
          <w:tcPr>
            <w:tcW w:w="1720" w:type="dxa"/>
            <w:vMerge/>
            <w:tcBorders>
              <w:top w:val="single" w:sz="4" w:space="0" w:color="auto"/>
              <w:left w:val="single" w:sz="4" w:space="0" w:color="auto"/>
              <w:bottom w:val="single" w:sz="4" w:space="0" w:color="auto"/>
              <w:right w:val="single" w:sz="4" w:space="0" w:color="auto"/>
            </w:tcBorders>
          </w:tcPr>
          <w:p w14:paraId="3B82AF39" w14:textId="77777777" w:rsidR="00BB65DF" w:rsidRDefault="00BB65DF">
            <w:pPr>
              <w:ind w:firstLineChars="0" w:firstLine="0"/>
              <w:rPr>
                <w:rFonts w:eastAsia="宋体" w:cs="Times New Roman"/>
                <w:color w:val="000000" w:themeColor="text1"/>
                <w:sz w:val="20"/>
                <w:szCs w:val="20"/>
              </w:rPr>
            </w:pPr>
          </w:p>
        </w:tc>
        <w:tc>
          <w:tcPr>
            <w:tcW w:w="3095" w:type="dxa"/>
            <w:vMerge/>
            <w:tcBorders>
              <w:top w:val="single" w:sz="4" w:space="0" w:color="auto"/>
              <w:left w:val="single" w:sz="4" w:space="0" w:color="auto"/>
              <w:bottom w:val="single" w:sz="4" w:space="0" w:color="auto"/>
              <w:right w:val="single" w:sz="4" w:space="0" w:color="auto"/>
            </w:tcBorders>
          </w:tcPr>
          <w:p w14:paraId="1F88E484" w14:textId="77777777" w:rsidR="00BB65DF" w:rsidRDefault="00BB65DF">
            <w:pPr>
              <w:ind w:firstLineChars="0" w:firstLine="0"/>
              <w:rPr>
                <w:rFonts w:eastAsia="宋体" w:cs="Times New Roman"/>
                <w:color w:val="000000" w:themeColor="text1"/>
                <w:sz w:val="20"/>
                <w:szCs w:val="20"/>
              </w:rPr>
            </w:pPr>
          </w:p>
        </w:tc>
        <w:tc>
          <w:tcPr>
            <w:tcW w:w="10783" w:type="dxa"/>
            <w:tcBorders>
              <w:top w:val="single" w:sz="4" w:space="0" w:color="auto"/>
              <w:left w:val="single" w:sz="4" w:space="0" w:color="auto"/>
              <w:bottom w:val="single" w:sz="4" w:space="0" w:color="auto"/>
              <w:right w:val="single" w:sz="4" w:space="0" w:color="auto"/>
            </w:tcBorders>
          </w:tcPr>
          <w:p w14:paraId="61B36861" w14:textId="77777777" w:rsidR="00BB65DF" w:rsidRDefault="00000000">
            <w:pPr>
              <w:widowControl/>
              <w:autoSpaceDE w:val="0"/>
              <w:autoSpaceDN w:val="0"/>
              <w:adjustRightInd w:val="0"/>
              <w:spacing w:line="240" w:lineRule="atLeast"/>
              <w:ind w:firstLineChars="0" w:firstLine="0"/>
              <w:rPr>
                <w:rFonts w:cs="Times New Roman"/>
                <w:color w:val="000000" w:themeColor="text1"/>
                <w:sz w:val="21"/>
                <w:szCs w:val="24"/>
              </w:rPr>
            </w:pPr>
            <w:r>
              <w:rPr>
                <w:rFonts w:eastAsia="宋体" w:cs="Times New Roman"/>
                <w:color w:val="000000" w:themeColor="text1"/>
                <w:kern w:val="0"/>
                <w:sz w:val="21"/>
                <w:szCs w:val="24"/>
                <w:lang w:bidi="ar"/>
              </w:rPr>
              <w:t>20.</w:t>
            </w:r>
            <w:r>
              <w:rPr>
                <w:rFonts w:eastAsia="宋体" w:cs="Times New Roman"/>
                <w:color w:val="000000" w:themeColor="text1"/>
                <w:kern w:val="0"/>
                <w:sz w:val="21"/>
                <w:lang w:bidi="ar"/>
              </w:rPr>
              <w:t xml:space="preserve"> I can modify how I work with the brief smoking cessation intervention</w:t>
            </w:r>
          </w:p>
        </w:tc>
      </w:tr>
    </w:tbl>
    <w:p w14:paraId="47EBDDD5" w14:textId="77777777" w:rsidR="00BB65DF" w:rsidRDefault="00000000">
      <w:pPr>
        <w:ind w:firstLine="420"/>
        <w:rPr>
          <w:rFonts w:ascii="宋体" w:eastAsia="宋体" w:hAnsi="宋体" w:cs="Times New Roman" w:hint="eastAsia"/>
          <w:b/>
          <w:bCs/>
          <w:color w:val="000000" w:themeColor="text1"/>
          <w:kern w:val="0"/>
          <w:sz w:val="21"/>
          <w:szCs w:val="21"/>
          <w:lang w:bidi="ar"/>
        </w:rPr>
      </w:pPr>
      <w:r>
        <w:rPr>
          <w:rFonts w:eastAsia="宋体" w:cs="Times New Roman"/>
          <w:color w:val="000000" w:themeColor="text1"/>
          <w:kern w:val="0"/>
          <w:sz w:val="21"/>
          <w:szCs w:val="24"/>
          <w:lang w:bidi="ar"/>
        </w:rPr>
        <w:t>BISC,</w:t>
      </w:r>
      <w:r>
        <w:rPr>
          <w:rFonts w:eastAsia="宋体" w:cs="Times New Roman"/>
          <w:bCs/>
          <w:color w:val="000000" w:themeColor="text1"/>
          <w:kern w:val="0"/>
          <w:sz w:val="21"/>
          <w:szCs w:val="24"/>
          <w:lang w:bidi="ar"/>
        </w:rPr>
        <w:t xml:space="preserve"> Brief smoking cessation interventions; NPT, Normalization Process Theory.</w:t>
      </w:r>
      <w:r>
        <w:rPr>
          <w:rFonts w:ascii="宋体" w:eastAsia="宋体" w:hAnsi="宋体" w:cs="Times New Roman" w:hint="eastAsia"/>
          <w:b/>
          <w:bCs/>
          <w:color w:val="000000" w:themeColor="text1"/>
          <w:kern w:val="0"/>
          <w:sz w:val="21"/>
          <w:szCs w:val="21"/>
          <w:lang w:bidi="ar"/>
        </w:rPr>
        <w:t xml:space="preserve"> </w:t>
      </w:r>
    </w:p>
    <w:p w14:paraId="0A49EAB4" w14:textId="77777777" w:rsidR="000424F9" w:rsidRDefault="000424F9">
      <w:pPr>
        <w:ind w:firstLineChars="0" w:firstLine="0"/>
        <w:rPr>
          <w:color w:val="000000" w:themeColor="text1"/>
        </w:rPr>
      </w:pPr>
    </w:p>
    <w:p w14:paraId="16FBB70F" w14:textId="77777777" w:rsidR="000424F9" w:rsidRDefault="000424F9">
      <w:pPr>
        <w:ind w:firstLineChars="0" w:firstLine="0"/>
        <w:rPr>
          <w:color w:val="000000" w:themeColor="text1"/>
        </w:rPr>
      </w:pPr>
    </w:p>
    <w:p w14:paraId="65AEB627" w14:textId="77777777" w:rsidR="00FB7FCB" w:rsidRDefault="00FB7FCB">
      <w:pPr>
        <w:ind w:firstLineChars="0" w:firstLine="0"/>
        <w:rPr>
          <w:color w:val="000000" w:themeColor="text1"/>
        </w:rPr>
      </w:pPr>
    </w:p>
    <w:p w14:paraId="3EAA0C45" w14:textId="11CF0472" w:rsidR="00BB65DF" w:rsidRPr="00FB7FCB" w:rsidRDefault="00BB65DF">
      <w:pPr>
        <w:ind w:firstLineChars="0" w:firstLine="0"/>
        <w:rPr>
          <w:rFonts w:eastAsiaTheme="minorEastAsia" w:hint="eastAsia"/>
          <w:color w:val="000000" w:themeColor="text1"/>
        </w:rPr>
      </w:pPr>
    </w:p>
    <w:sectPr w:rsidR="00BB65DF" w:rsidRPr="00FB7FCB">
      <w:pgSz w:w="17861" w:h="12587" w:orient="landscape"/>
      <w:pgMar w:top="1077" w:right="567" w:bottom="1077" w:left="567" w:header="851" w:footer="992" w:gutter="0"/>
      <w:cols w:space="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1A875" w14:textId="77777777" w:rsidR="00443EB2" w:rsidRDefault="00443EB2">
      <w:pPr>
        <w:spacing w:line="240" w:lineRule="auto"/>
      </w:pPr>
      <w:r>
        <w:separator/>
      </w:r>
    </w:p>
  </w:endnote>
  <w:endnote w:type="continuationSeparator" w:id="0">
    <w:p w14:paraId="0D03D15A" w14:textId="77777777" w:rsidR="00443EB2" w:rsidRDefault="00443E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dvOT596495f2">
    <w:altName w:val="Arial"/>
    <w:charset w:val="00"/>
    <w:family w:val="auto"/>
    <w:pitch w:val="default"/>
  </w:font>
  <w:font w:name="AdvTT7b515deb + fb">
    <w:altName w:val="Times New Roman"/>
    <w:charset w:val="00"/>
    <w:family w:val="auto"/>
    <w:pitch w:val="default"/>
  </w:font>
  <w:font w:name="RlmqnnAdvTT86d47313 + 20">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66545" w14:textId="77777777" w:rsidR="00BB65DF" w:rsidRDefault="00BB65DF">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3561D" w14:textId="77777777" w:rsidR="00BB65DF" w:rsidRDefault="00BB65DF">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2C0EC" w14:textId="77777777" w:rsidR="00BB65DF" w:rsidRDefault="00BB65DF">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3053" w14:textId="77777777" w:rsidR="00443EB2" w:rsidRDefault="00443EB2">
      <w:r>
        <w:separator/>
      </w:r>
    </w:p>
  </w:footnote>
  <w:footnote w:type="continuationSeparator" w:id="0">
    <w:p w14:paraId="3B8A8097" w14:textId="77777777" w:rsidR="00443EB2" w:rsidRDefault="00443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F28A5" w14:textId="77777777" w:rsidR="00BB65DF" w:rsidRDefault="00BB65DF">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D4453" w14:textId="77777777" w:rsidR="00BB65DF" w:rsidRDefault="00BB65DF">
    <w:pPr>
      <w:pStyle w:val="a8"/>
      <w:pBdr>
        <w:bottom w:val="none" w:sz="0" w:space="1"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3C259" w14:textId="77777777" w:rsidR="00BB65DF" w:rsidRDefault="00BB65DF">
    <w:pPr>
      <w:pStyle w:val="a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MDAyMzAxMDcyMTRX0lEKTi0uzszPAykwNK0FAAgYZ9YtAAAA"/>
    <w:docVar w:name="commondata" w:val="eyJoZGlkIjoiYmIwYjVjYmNjOTgzOTQ5Y2Y1MmFmZTU1NzVlYjE3NWMifQ=="/>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D95428"/>
    <w:rsid w:val="F77F4216"/>
    <w:rsid w:val="F7972808"/>
    <w:rsid w:val="F79C3747"/>
    <w:rsid w:val="F7A83BDF"/>
    <w:rsid w:val="F7AFD160"/>
    <w:rsid w:val="F7B344BC"/>
    <w:rsid w:val="F7B72951"/>
    <w:rsid w:val="F7BBE513"/>
    <w:rsid w:val="F7D5B85D"/>
    <w:rsid w:val="F7DA2535"/>
    <w:rsid w:val="F7E3D310"/>
    <w:rsid w:val="F7E63A36"/>
    <w:rsid w:val="F7E734AB"/>
    <w:rsid w:val="F7E7378E"/>
    <w:rsid w:val="F7EB6C8D"/>
    <w:rsid w:val="F7EF2E8E"/>
    <w:rsid w:val="F7EFD0DE"/>
    <w:rsid w:val="F7EFE580"/>
    <w:rsid w:val="F7EFF747"/>
    <w:rsid w:val="F7F67851"/>
    <w:rsid w:val="F7F7A452"/>
    <w:rsid w:val="F7F7ECC8"/>
    <w:rsid w:val="F7FA0AB6"/>
    <w:rsid w:val="F7FD99AF"/>
    <w:rsid w:val="F7FE15CB"/>
    <w:rsid w:val="F7FE7320"/>
    <w:rsid w:val="F7FF12F3"/>
    <w:rsid w:val="F7FF5C4D"/>
    <w:rsid w:val="F7FF8263"/>
    <w:rsid w:val="F7FFD139"/>
    <w:rsid w:val="F7FFE8C8"/>
    <w:rsid w:val="F7FFF8F7"/>
    <w:rsid w:val="F87FD4EC"/>
    <w:rsid w:val="F937171D"/>
    <w:rsid w:val="F93FE67A"/>
    <w:rsid w:val="F95A852A"/>
    <w:rsid w:val="F967A7F6"/>
    <w:rsid w:val="F973595C"/>
    <w:rsid w:val="F9737241"/>
    <w:rsid w:val="F97D6B65"/>
    <w:rsid w:val="F9B4DB4E"/>
    <w:rsid w:val="F9BE46B9"/>
    <w:rsid w:val="F9F13C13"/>
    <w:rsid w:val="F9F7F033"/>
    <w:rsid w:val="F9FBA610"/>
    <w:rsid w:val="F9FE3A30"/>
    <w:rsid w:val="F9FFDABD"/>
    <w:rsid w:val="FA3C4077"/>
    <w:rsid w:val="FA4B5ACF"/>
    <w:rsid w:val="FA7B8985"/>
    <w:rsid w:val="FAB78B93"/>
    <w:rsid w:val="FAEB0734"/>
    <w:rsid w:val="FAF65067"/>
    <w:rsid w:val="FAF7B5E6"/>
    <w:rsid w:val="FAFF25F1"/>
    <w:rsid w:val="FAFFB002"/>
    <w:rsid w:val="FB3DA120"/>
    <w:rsid w:val="FB4C8EAB"/>
    <w:rsid w:val="FB4F6CBA"/>
    <w:rsid w:val="FB677A1B"/>
    <w:rsid w:val="FB6D6C63"/>
    <w:rsid w:val="FB778384"/>
    <w:rsid w:val="FB7B191B"/>
    <w:rsid w:val="FB7F3E1C"/>
    <w:rsid w:val="FB8DCE58"/>
    <w:rsid w:val="FB9F3D87"/>
    <w:rsid w:val="FBA741F7"/>
    <w:rsid w:val="FBAE9798"/>
    <w:rsid w:val="FBB74287"/>
    <w:rsid w:val="FBBA4580"/>
    <w:rsid w:val="FBBA5766"/>
    <w:rsid w:val="FBBEF8DC"/>
    <w:rsid w:val="FBBF4372"/>
    <w:rsid w:val="FBBFD373"/>
    <w:rsid w:val="FBCF01C3"/>
    <w:rsid w:val="FBCF7969"/>
    <w:rsid w:val="FBD39A99"/>
    <w:rsid w:val="FBDE2B1B"/>
    <w:rsid w:val="FBDED122"/>
    <w:rsid w:val="FBDF2484"/>
    <w:rsid w:val="FBE6A03F"/>
    <w:rsid w:val="FBE9E7A5"/>
    <w:rsid w:val="FBEF2E5B"/>
    <w:rsid w:val="FBF9E032"/>
    <w:rsid w:val="FBFD19D7"/>
    <w:rsid w:val="FBFEE5A0"/>
    <w:rsid w:val="FBFF3003"/>
    <w:rsid w:val="FBFF66BF"/>
    <w:rsid w:val="FBFF95DA"/>
    <w:rsid w:val="FBFFCA81"/>
    <w:rsid w:val="FBFFD72E"/>
    <w:rsid w:val="FC3BDF0D"/>
    <w:rsid w:val="FC5ED879"/>
    <w:rsid w:val="FC6FCDBD"/>
    <w:rsid w:val="FC7B01DB"/>
    <w:rsid w:val="FC867B5A"/>
    <w:rsid w:val="FCB313C9"/>
    <w:rsid w:val="FCBF6F16"/>
    <w:rsid w:val="FCF36019"/>
    <w:rsid w:val="FCF728CC"/>
    <w:rsid w:val="FCF73FB4"/>
    <w:rsid w:val="FCF7A00A"/>
    <w:rsid w:val="FCFCFF96"/>
    <w:rsid w:val="FCFEB084"/>
    <w:rsid w:val="FD464696"/>
    <w:rsid w:val="FD5C196F"/>
    <w:rsid w:val="FD7FE4DC"/>
    <w:rsid w:val="FD7FEEC4"/>
    <w:rsid w:val="FD8FD70D"/>
    <w:rsid w:val="FD972298"/>
    <w:rsid w:val="FDA7A83C"/>
    <w:rsid w:val="FDB5C4DD"/>
    <w:rsid w:val="FDBB40EE"/>
    <w:rsid w:val="FDBB8E71"/>
    <w:rsid w:val="FDBF369E"/>
    <w:rsid w:val="FDBF58EA"/>
    <w:rsid w:val="FDDA7A0D"/>
    <w:rsid w:val="FDDE4473"/>
    <w:rsid w:val="FDE58001"/>
    <w:rsid w:val="FDEA6FD4"/>
    <w:rsid w:val="FDEFD5C2"/>
    <w:rsid w:val="FDEFDA4F"/>
    <w:rsid w:val="FDF553F3"/>
    <w:rsid w:val="FDF68E37"/>
    <w:rsid w:val="FDF6F4BE"/>
    <w:rsid w:val="FDF7CA34"/>
    <w:rsid w:val="FDF7FD96"/>
    <w:rsid w:val="FDFA74A4"/>
    <w:rsid w:val="FDFD7580"/>
    <w:rsid w:val="FDFEA5EF"/>
    <w:rsid w:val="FDFF53BB"/>
    <w:rsid w:val="FDFF84F4"/>
    <w:rsid w:val="FDFF92E3"/>
    <w:rsid w:val="FE3FDC1F"/>
    <w:rsid w:val="FE6388BB"/>
    <w:rsid w:val="FE6FFE83"/>
    <w:rsid w:val="FE7E0C1F"/>
    <w:rsid w:val="FE7F0AE5"/>
    <w:rsid w:val="FEAF2A8D"/>
    <w:rsid w:val="FEAFC539"/>
    <w:rsid w:val="FEB1EC54"/>
    <w:rsid w:val="FEB46D54"/>
    <w:rsid w:val="FEB48FB4"/>
    <w:rsid w:val="FEB77691"/>
    <w:rsid w:val="FEBB24CC"/>
    <w:rsid w:val="FECEC929"/>
    <w:rsid w:val="FED78F03"/>
    <w:rsid w:val="FEDB4053"/>
    <w:rsid w:val="FEDFFFDA"/>
    <w:rsid w:val="FEE7C652"/>
    <w:rsid w:val="FEEE4CBC"/>
    <w:rsid w:val="FEEF0C38"/>
    <w:rsid w:val="FEEFE9FA"/>
    <w:rsid w:val="FEF76ABA"/>
    <w:rsid w:val="FEFB4FF5"/>
    <w:rsid w:val="FEFBCB1D"/>
    <w:rsid w:val="FEFD31EE"/>
    <w:rsid w:val="FEFD4EC4"/>
    <w:rsid w:val="FEFDD553"/>
    <w:rsid w:val="FEFFB90E"/>
    <w:rsid w:val="FF1F94AE"/>
    <w:rsid w:val="FF1FA3BC"/>
    <w:rsid w:val="FF1FC8EE"/>
    <w:rsid w:val="FF35ADB8"/>
    <w:rsid w:val="FF3BB8E5"/>
    <w:rsid w:val="FF3BBB44"/>
    <w:rsid w:val="FF3F5A14"/>
    <w:rsid w:val="FF55B7F8"/>
    <w:rsid w:val="FF5F6CAC"/>
    <w:rsid w:val="FF5FBE04"/>
    <w:rsid w:val="FF5FFF43"/>
    <w:rsid w:val="FF6784D0"/>
    <w:rsid w:val="FF69E945"/>
    <w:rsid w:val="FF6F5651"/>
    <w:rsid w:val="FF6F63FE"/>
    <w:rsid w:val="FF6F848D"/>
    <w:rsid w:val="FF733977"/>
    <w:rsid w:val="FF757016"/>
    <w:rsid w:val="FF75E7EA"/>
    <w:rsid w:val="FF7A424A"/>
    <w:rsid w:val="FF7BB31D"/>
    <w:rsid w:val="FF7BE66C"/>
    <w:rsid w:val="FF7D42C8"/>
    <w:rsid w:val="FF7F3BFD"/>
    <w:rsid w:val="FF7F61C3"/>
    <w:rsid w:val="FF7F77CE"/>
    <w:rsid w:val="FF7FD845"/>
    <w:rsid w:val="FF7FE673"/>
    <w:rsid w:val="FF7FEDF9"/>
    <w:rsid w:val="FF7FFB6E"/>
    <w:rsid w:val="FF971056"/>
    <w:rsid w:val="FF97145E"/>
    <w:rsid w:val="FF9AECE2"/>
    <w:rsid w:val="FF9E3BE5"/>
    <w:rsid w:val="FF9E616F"/>
    <w:rsid w:val="FFA71314"/>
    <w:rsid w:val="FFA90A3C"/>
    <w:rsid w:val="FFAD5453"/>
    <w:rsid w:val="FFAD75A0"/>
    <w:rsid w:val="FFAF19E7"/>
    <w:rsid w:val="FFBB8C4C"/>
    <w:rsid w:val="FFBE5B9D"/>
    <w:rsid w:val="FFBED862"/>
    <w:rsid w:val="FFBF9D3B"/>
    <w:rsid w:val="FFBFCF3A"/>
    <w:rsid w:val="FFBFEB89"/>
    <w:rsid w:val="FFBFF581"/>
    <w:rsid w:val="FFBFF75B"/>
    <w:rsid w:val="FFCE3C49"/>
    <w:rsid w:val="FFCE7228"/>
    <w:rsid w:val="FFCFB07A"/>
    <w:rsid w:val="FFD920F2"/>
    <w:rsid w:val="FFDEFC11"/>
    <w:rsid w:val="FFDF6AC0"/>
    <w:rsid w:val="FFDFAE7B"/>
    <w:rsid w:val="FFE7F81D"/>
    <w:rsid w:val="FFEB6115"/>
    <w:rsid w:val="FFEB8DC6"/>
    <w:rsid w:val="FFED5794"/>
    <w:rsid w:val="FFEE018F"/>
    <w:rsid w:val="FFEE7EC3"/>
    <w:rsid w:val="FFEEEF28"/>
    <w:rsid w:val="FFEF17BE"/>
    <w:rsid w:val="FFF13025"/>
    <w:rsid w:val="FFF1D167"/>
    <w:rsid w:val="FFF30F29"/>
    <w:rsid w:val="FFF42E07"/>
    <w:rsid w:val="FFF5080F"/>
    <w:rsid w:val="FFF583B6"/>
    <w:rsid w:val="FFF764F9"/>
    <w:rsid w:val="FFF914CF"/>
    <w:rsid w:val="FFF9D061"/>
    <w:rsid w:val="FFFAD4FF"/>
    <w:rsid w:val="FFFB29E4"/>
    <w:rsid w:val="FFFB3BA6"/>
    <w:rsid w:val="FFFB67BA"/>
    <w:rsid w:val="FFFC0805"/>
    <w:rsid w:val="FFFD2F7F"/>
    <w:rsid w:val="FFFD3849"/>
    <w:rsid w:val="FFFD6564"/>
    <w:rsid w:val="FFFD90C1"/>
    <w:rsid w:val="FFFDDD95"/>
    <w:rsid w:val="FFFE058A"/>
    <w:rsid w:val="FFFE21FB"/>
    <w:rsid w:val="FFFE85C7"/>
    <w:rsid w:val="FFFEB5C3"/>
    <w:rsid w:val="FFFF06D2"/>
    <w:rsid w:val="FFFF2948"/>
    <w:rsid w:val="FFFF48ED"/>
    <w:rsid w:val="FFFF4E03"/>
    <w:rsid w:val="FFFF5294"/>
    <w:rsid w:val="FFFF856D"/>
    <w:rsid w:val="FFFF91C0"/>
    <w:rsid w:val="FFFF9688"/>
    <w:rsid w:val="FFFF97A2"/>
    <w:rsid w:val="FFFFAD85"/>
    <w:rsid w:val="FFFFADD5"/>
    <w:rsid w:val="FFFFC520"/>
    <w:rsid w:val="FFFFD138"/>
    <w:rsid w:val="FFFFD37D"/>
    <w:rsid w:val="000027C4"/>
    <w:rsid w:val="00012B0B"/>
    <w:rsid w:val="00013E3F"/>
    <w:rsid w:val="00022B76"/>
    <w:rsid w:val="00027562"/>
    <w:rsid w:val="00027F2E"/>
    <w:rsid w:val="00040AB1"/>
    <w:rsid w:val="000424F9"/>
    <w:rsid w:val="00072647"/>
    <w:rsid w:val="00097D5E"/>
    <w:rsid w:val="000B0E02"/>
    <w:rsid w:val="000B4E3F"/>
    <w:rsid w:val="000F5613"/>
    <w:rsid w:val="0011733E"/>
    <w:rsid w:val="00143F6B"/>
    <w:rsid w:val="00144F76"/>
    <w:rsid w:val="00163762"/>
    <w:rsid w:val="001756EB"/>
    <w:rsid w:val="00195CF3"/>
    <w:rsid w:val="001B2C0F"/>
    <w:rsid w:val="001B7A42"/>
    <w:rsid w:val="001C223D"/>
    <w:rsid w:val="001E121A"/>
    <w:rsid w:val="001E21C2"/>
    <w:rsid w:val="00200A6D"/>
    <w:rsid w:val="00225296"/>
    <w:rsid w:val="00227FB5"/>
    <w:rsid w:val="00237007"/>
    <w:rsid w:val="0023774F"/>
    <w:rsid w:val="00254699"/>
    <w:rsid w:val="00267823"/>
    <w:rsid w:val="00287990"/>
    <w:rsid w:val="00292D44"/>
    <w:rsid w:val="002A441F"/>
    <w:rsid w:val="002A5FBC"/>
    <w:rsid w:val="002D627C"/>
    <w:rsid w:val="002E3931"/>
    <w:rsid w:val="00331551"/>
    <w:rsid w:val="00334651"/>
    <w:rsid w:val="00337B34"/>
    <w:rsid w:val="0034288C"/>
    <w:rsid w:val="00360335"/>
    <w:rsid w:val="00361C5F"/>
    <w:rsid w:val="003A7925"/>
    <w:rsid w:val="003B21AB"/>
    <w:rsid w:val="003B775D"/>
    <w:rsid w:val="003C0E56"/>
    <w:rsid w:val="003C370F"/>
    <w:rsid w:val="003D3E19"/>
    <w:rsid w:val="003F10F7"/>
    <w:rsid w:val="004059BF"/>
    <w:rsid w:val="004152D0"/>
    <w:rsid w:val="00425838"/>
    <w:rsid w:val="00443EB2"/>
    <w:rsid w:val="00450890"/>
    <w:rsid w:val="0049682E"/>
    <w:rsid w:val="00497510"/>
    <w:rsid w:val="004A2174"/>
    <w:rsid w:val="004D19FB"/>
    <w:rsid w:val="004E0D1F"/>
    <w:rsid w:val="004E0DF2"/>
    <w:rsid w:val="004E104B"/>
    <w:rsid w:val="004F4DF0"/>
    <w:rsid w:val="004F5BE1"/>
    <w:rsid w:val="00511B9B"/>
    <w:rsid w:val="0054344A"/>
    <w:rsid w:val="00546351"/>
    <w:rsid w:val="005523D4"/>
    <w:rsid w:val="00554669"/>
    <w:rsid w:val="00566A86"/>
    <w:rsid w:val="00570DAE"/>
    <w:rsid w:val="0058185F"/>
    <w:rsid w:val="005931FB"/>
    <w:rsid w:val="005939A9"/>
    <w:rsid w:val="00594500"/>
    <w:rsid w:val="005C7FBA"/>
    <w:rsid w:val="005F0300"/>
    <w:rsid w:val="00610074"/>
    <w:rsid w:val="00614B52"/>
    <w:rsid w:val="00615278"/>
    <w:rsid w:val="00637D81"/>
    <w:rsid w:val="0065135F"/>
    <w:rsid w:val="0065772B"/>
    <w:rsid w:val="00665621"/>
    <w:rsid w:val="006A37FD"/>
    <w:rsid w:val="006B0160"/>
    <w:rsid w:val="006B5055"/>
    <w:rsid w:val="006B66BF"/>
    <w:rsid w:val="006D640F"/>
    <w:rsid w:val="006D7AB6"/>
    <w:rsid w:val="006E332C"/>
    <w:rsid w:val="006E7040"/>
    <w:rsid w:val="007270F6"/>
    <w:rsid w:val="00761F6E"/>
    <w:rsid w:val="00764E85"/>
    <w:rsid w:val="00772BDF"/>
    <w:rsid w:val="00787246"/>
    <w:rsid w:val="007E0807"/>
    <w:rsid w:val="007F1384"/>
    <w:rsid w:val="0080504D"/>
    <w:rsid w:val="008279BC"/>
    <w:rsid w:val="00831BFA"/>
    <w:rsid w:val="0084087D"/>
    <w:rsid w:val="0084247F"/>
    <w:rsid w:val="008907F8"/>
    <w:rsid w:val="008946D5"/>
    <w:rsid w:val="008B32B1"/>
    <w:rsid w:val="008C1BAA"/>
    <w:rsid w:val="00912685"/>
    <w:rsid w:val="0092007E"/>
    <w:rsid w:val="00921A09"/>
    <w:rsid w:val="00927EE6"/>
    <w:rsid w:val="00951EC8"/>
    <w:rsid w:val="00954EDD"/>
    <w:rsid w:val="00961038"/>
    <w:rsid w:val="0097060E"/>
    <w:rsid w:val="009712B7"/>
    <w:rsid w:val="00987CDE"/>
    <w:rsid w:val="00992EE2"/>
    <w:rsid w:val="009A13C2"/>
    <w:rsid w:val="009A43DB"/>
    <w:rsid w:val="009B1AD1"/>
    <w:rsid w:val="009D0598"/>
    <w:rsid w:val="009E398C"/>
    <w:rsid w:val="00A12DB2"/>
    <w:rsid w:val="00A344F9"/>
    <w:rsid w:val="00A365D5"/>
    <w:rsid w:val="00A53271"/>
    <w:rsid w:val="00A536C1"/>
    <w:rsid w:val="00A55417"/>
    <w:rsid w:val="00AD3763"/>
    <w:rsid w:val="00AD5A30"/>
    <w:rsid w:val="00B0066F"/>
    <w:rsid w:val="00B17BA0"/>
    <w:rsid w:val="00B20811"/>
    <w:rsid w:val="00B210E9"/>
    <w:rsid w:val="00B43BE3"/>
    <w:rsid w:val="00B54C99"/>
    <w:rsid w:val="00B635AC"/>
    <w:rsid w:val="00B65D52"/>
    <w:rsid w:val="00B91CFA"/>
    <w:rsid w:val="00BB334E"/>
    <w:rsid w:val="00BB65DF"/>
    <w:rsid w:val="00C1069D"/>
    <w:rsid w:val="00C321C3"/>
    <w:rsid w:val="00C47824"/>
    <w:rsid w:val="00C60046"/>
    <w:rsid w:val="00C65E7C"/>
    <w:rsid w:val="00C967EA"/>
    <w:rsid w:val="00CA66B9"/>
    <w:rsid w:val="00CD3D6A"/>
    <w:rsid w:val="00D04BB8"/>
    <w:rsid w:val="00D2687C"/>
    <w:rsid w:val="00D3190A"/>
    <w:rsid w:val="00D55B92"/>
    <w:rsid w:val="00D55DD8"/>
    <w:rsid w:val="00D73C29"/>
    <w:rsid w:val="00D87F5A"/>
    <w:rsid w:val="00D95428"/>
    <w:rsid w:val="00D95FBA"/>
    <w:rsid w:val="00DD4B85"/>
    <w:rsid w:val="00DE5F98"/>
    <w:rsid w:val="00E030AF"/>
    <w:rsid w:val="00E31FE0"/>
    <w:rsid w:val="00E43BD1"/>
    <w:rsid w:val="00E51960"/>
    <w:rsid w:val="00E5438E"/>
    <w:rsid w:val="00E60B2D"/>
    <w:rsid w:val="00E67CBA"/>
    <w:rsid w:val="00E94645"/>
    <w:rsid w:val="00EA2A4B"/>
    <w:rsid w:val="00EC40D7"/>
    <w:rsid w:val="00EC629F"/>
    <w:rsid w:val="00EE485A"/>
    <w:rsid w:val="00EF246B"/>
    <w:rsid w:val="00EF4977"/>
    <w:rsid w:val="00EF5731"/>
    <w:rsid w:val="00F1311C"/>
    <w:rsid w:val="00F160BD"/>
    <w:rsid w:val="00F211EA"/>
    <w:rsid w:val="00F319C1"/>
    <w:rsid w:val="00F31E99"/>
    <w:rsid w:val="00F34D12"/>
    <w:rsid w:val="00F41FF2"/>
    <w:rsid w:val="00F51373"/>
    <w:rsid w:val="00F61BD4"/>
    <w:rsid w:val="00FA7875"/>
    <w:rsid w:val="00FB037D"/>
    <w:rsid w:val="00FB4409"/>
    <w:rsid w:val="00FB7FCB"/>
    <w:rsid w:val="00FC4AC9"/>
    <w:rsid w:val="00FC5A6A"/>
    <w:rsid w:val="00FD7B23"/>
    <w:rsid w:val="00FE6972"/>
    <w:rsid w:val="00FF52DC"/>
    <w:rsid w:val="01F66ABD"/>
    <w:rsid w:val="02927244"/>
    <w:rsid w:val="02A4157C"/>
    <w:rsid w:val="04581CB1"/>
    <w:rsid w:val="05972BFD"/>
    <w:rsid w:val="05B346AD"/>
    <w:rsid w:val="06657BFD"/>
    <w:rsid w:val="06D01FD2"/>
    <w:rsid w:val="07E5385B"/>
    <w:rsid w:val="07F73E47"/>
    <w:rsid w:val="08BB6BD3"/>
    <w:rsid w:val="0A7F5CE0"/>
    <w:rsid w:val="0AF7892C"/>
    <w:rsid w:val="0BBEDB39"/>
    <w:rsid w:val="0BD55995"/>
    <w:rsid w:val="0CDC048A"/>
    <w:rsid w:val="0CEA655C"/>
    <w:rsid w:val="0DE9833D"/>
    <w:rsid w:val="0DF5BAE2"/>
    <w:rsid w:val="0EB260EC"/>
    <w:rsid w:val="0F34063E"/>
    <w:rsid w:val="0FF7C048"/>
    <w:rsid w:val="0FFF583F"/>
    <w:rsid w:val="101958D1"/>
    <w:rsid w:val="10EFAE04"/>
    <w:rsid w:val="112F5B47"/>
    <w:rsid w:val="112F78F5"/>
    <w:rsid w:val="12B3638E"/>
    <w:rsid w:val="13EF77B8"/>
    <w:rsid w:val="15FDDB70"/>
    <w:rsid w:val="16EF1CFF"/>
    <w:rsid w:val="175BA19B"/>
    <w:rsid w:val="17734BBF"/>
    <w:rsid w:val="177FF735"/>
    <w:rsid w:val="17E686E2"/>
    <w:rsid w:val="17F763D9"/>
    <w:rsid w:val="17FFD612"/>
    <w:rsid w:val="187F5606"/>
    <w:rsid w:val="18C3D9D6"/>
    <w:rsid w:val="1AEDA749"/>
    <w:rsid w:val="1AFE707D"/>
    <w:rsid w:val="1AFFE9D7"/>
    <w:rsid w:val="1BDF65C6"/>
    <w:rsid w:val="1BEE0A41"/>
    <w:rsid w:val="1BEF6223"/>
    <w:rsid w:val="1CDFC2F3"/>
    <w:rsid w:val="1CFBB07C"/>
    <w:rsid w:val="1DF982E4"/>
    <w:rsid w:val="1DFB20B8"/>
    <w:rsid w:val="1E66BFEC"/>
    <w:rsid w:val="1E7BE8CC"/>
    <w:rsid w:val="1E8B423B"/>
    <w:rsid w:val="1EDB10D7"/>
    <w:rsid w:val="1EFDE40B"/>
    <w:rsid w:val="1F1D0C45"/>
    <w:rsid w:val="1F8BD623"/>
    <w:rsid w:val="1F8F0B24"/>
    <w:rsid w:val="1FC99008"/>
    <w:rsid w:val="1FCD2BE0"/>
    <w:rsid w:val="1FECD12A"/>
    <w:rsid w:val="1FEDF0C0"/>
    <w:rsid w:val="1FEE845B"/>
    <w:rsid w:val="1FF60F9C"/>
    <w:rsid w:val="1FFB0563"/>
    <w:rsid w:val="1FFCEFFD"/>
    <w:rsid w:val="1FFF3FB3"/>
    <w:rsid w:val="21892F64"/>
    <w:rsid w:val="21E91B75"/>
    <w:rsid w:val="2241376C"/>
    <w:rsid w:val="24173A15"/>
    <w:rsid w:val="250C1FD0"/>
    <w:rsid w:val="25D69350"/>
    <w:rsid w:val="279D1BF8"/>
    <w:rsid w:val="27FF2DE2"/>
    <w:rsid w:val="27FFA52C"/>
    <w:rsid w:val="28FF7071"/>
    <w:rsid w:val="29154DFF"/>
    <w:rsid w:val="2B391C56"/>
    <w:rsid w:val="2B6E4744"/>
    <w:rsid w:val="2BB2927E"/>
    <w:rsid w:val="2BB9B3B0"/>
    <w:rsid w:val="2BC737F4"/>
    <w:rsid w:val="2BD575BF"/>
    <w:rsid w:val="2BEFC94A"/>
    <w:rsid w:val="2BFD5515"/>
    <w:rsid w:val="2C9F3729"/>
    <w:rsid w:val="2CDDD03E"/>
    <w:rsid w:val="2CF1F4EB"/>
    <w:rsid w:val="2D214D5F"/>
    <w:rsid w:val="2DA79C36"/>
    <w:rsid w:val="2DBA4579"/>
    <w:rsid w:val="2DCB4637"/>
    <w:rsid w:val="2DCE7BFB"/>
    <w:rsid w:val="2DFB8DE5"/>
    <w:rsid w:val="2EB15996"/>
    <w:rsid w:val="2ED5D206"/>
    <w:rsid w:val="2EE7947B"/>
    <w:rsid w:val="2EE846BD"/>
    <w:rsid w:val="2EF733B0"/>
    <w:rsid w:val="2F77098D"/>
    <w:rsid w:val="2F775AD5"/>
    <w:rsid w:val="2F7D7600"/>
    <w:rsid w:val="2F7ED40D"/>
    <w:rsid w:val="2FA6FE99"/>
    <w:rsid w:val="2FAD01F7"/>
    <w:rsid w:val="2FAD5E97"/>
    <w:rsid w:val="2FAFBE29"/>
    <w:rsid w:val="2FE52CAB"/>
    <w:rsid w:val="2FE797F6"/>
    <w:rsid w:val="2FEFC2B7"/>
    <w:rsid w:val="2FF5C4B9"/>
    <w:rsid w:val="2FF75536"/>
    <w:rsid w:val="30C47C02"/>
    <w:rsid w:val="30FF2366"/>
    <w:rsid w:val="310B1A4E"/>
    <w:rsid w:val="316E0281"/>
    <w:rsid w:val="31B60916"/>
    <w:rsid w:val="31CF1FD3"/>
    <w:rsid w:val="31EC7EA2"/>
    <w:rsid w:val="32F7F92A"/>
    <w:rsid w:val="33CFBA45"/>
    <w:rsid w:val="33DFCF55"/>
    <w:rsid w:val="33FF3250"/>
    <w:rsid w:val="35922140"/>
    <w:rsid w:val="35F5FB75"/>
    <w:rsid w:val="35F7E7C5"/>
    <w:rsid w:val="365FA5E6"/>
    <w:rsid w:val="36749DCD"/>
    <w:rsid w:val="36A258F3"/>
    <w:rsid w:val="36BFE49E"/>
    <w:rsid w:val="36E7BA37"/>
    <w:rsid w:val="36EA62BD"/>
    <w:rsid w:val="36F48C8A"/>
    <w:rsid w:val="36FF0827"/>
    <w:rsid w:val="375F26D4"/>
    <w:rsid w:val="37AF12D4"/>
    <w:rsid w:val="37BFE847"/>
    <w:rsid w:val="37FB33C9"/>
    <w:rsid w:val="37FB3EC5"/>
    <w:rsid w:val="37FBD7D5"/>
    <w:rsid w:val="37FF076E"/>
    <w:rsid w:val="39B554EC"/>
    <w:rsid w:val="39F56D63"/>
    <w:rsid w:val="39FBC0BE"/>
    <w:rsid w:val="3A3F7AD8"/>
    <w:rsid w:val="3A6D8EE1"/>
    <w:rsid w:val="3A9BAA21"/>
    <w:rsid w:val="3AA535AD"/>
    <w:rsid w:val="3AAF6323"/>
    <w:rsid w:val="3AEF229E"/>
    <w:rsid w:val="3AFC32FF"/>
    <w:rsid w:val="3B2EDDB3"/>
    <w:rsid w:val="3B751DD6"/>
    <w:rsid w:val="3B7BA7EC"/>
    <w:rsid w:val="3B7E6CBE"/>
    <w:rsid w:val="3B7F8852"/>
    <w:rsid w:val="3B9A08D1"/>
    <w:rsid w:val="3B9F09FB"/>
    <w:rsid w:val="3BB3E946"/>
    <w:rsid w:val="3BB4B42C"/>
    <w:rsid w:val="3BB72AAE"/>
    <w:rsid w:val="3BF12800"/>
    <w:rsid w:val="3BF6F591"/>
    <w:rsid w:val="3BFD05AB"/>
    <w:rsid w:val="3BFD535B"/>
    <w:rsid w:val="3BFD884E"/>
    <w:rsid w:val="3C5F5B78"/>
    <w:rsid w:val="3CDF5191"/>
    <w:rsid w:val="3CF36D6E"/>
    <w:rsid w:val="3D1FFA80"/>
    <w:rsid w:val="3D553EB6"/>
    <w:rsid w:val="3D7FD813"/>
    <w:rsid w:val="3DA90107"/>
    <w:rsid w:val="3DCF7460"/>
    <w:rsid w:val="3DD66FFF"/>
    <w:rsid w:val="3DE1CCBD"/>
    <w:rsid w:val="3DEBC932"/>
    <w:rsid w:val="3DEFDF0F"/>
    <w:rsid w:val="3DF1D56C"/>
    <w:rsid w:val="3DF72085"/>
    <w:rsid w:val="3DFD7357"/>
    <w:rsid w:val="3DFF54E3"/>
    <w:rsid w:val="3DFF6121"/>
    <w:rsid w:val="3E3F3628"/>
    <w:rsid w:val="3E7F14E1"/>
    <w:rsid w:val="3EBF0855"/>
    <w:rsid w:val="3EBF5F66"/>
    <w:rsid w:val="3EBFC0E2"/>
    <w:rsid w:val="3EC64C64"/>
    <w:rsid w:val="3EDD93E7"/>
    <w:rsid w:val="3EDEBE58"/>
    <w:rsid w:val="3EEF15C8"/>
    <w:rsid w:val="3EF2D5A2"/>
    <w:rsid w:val="3EF6B37F"/>
    <w:rsid w:val="3EF6C968"/>
    <w:rsid w:val="3EF71D10"/>
    <w:rsid w:val="3EF9FABD"/>
    <w:rsid w:val="3EFD05D8"/>
    <w:rsid w:val="3EFDD13C"/>
    <w:rsid w:val="3F1F84BD"/>
    <w:rsid w:val="3F371D3A"/>
    <w:rsid w:val="3F378588"/>
    <w:rsid w:val="3F3B059A"/>
    <w:rsid w:val="3F3F42A1"/>
    <w:rsid w:val="3F5BF5FB"/>
    <w:rsid w:val="3F5C3132"/>
    <w:rsid w:val="3F6B1DCC"/>
    <w:rsid w:val="3F72CFEE"/>
    <w:rsid w:val="3F799B10"/>
    <w:rsid w:val="3F7F9ED6"/>
    <w:rsid w:val="3F86742D"/>
    <w:rsid w:val="3F9F7324"/>
    <w:rsid w:val="3F9FB246"/>
    <w:rsid w:val="3FA1473A"/>
    <w:rsid w:val="3FB5802E"/>
    <w:rsid w:val="3FB6C9D2"/>
    <w:rsid w:val="3FBB1EDA"/>
    <w:rsid w:val="3FBBE01F"/>
    <w:rsid w:val="3FBF1B97"/>
    <w:rsid w:val="3FBF8374"/>
    <w:rsid w:val="3FCD4155"/>
    <w:rsid w:val="3FCE3B9C"/>
    <w:rsid w:val="3FDB23DE"/>
    <w:rsid w:val="3FDB2CD9"/>
    <w:rsid w:val="3FE752AC"/>
    <w:rsid w:val="3FEB4C8B"/>
    <w:rsid w:val="3FEBEC73"/>
    <w:rsid w:val="3FEF0BC6"/>
    <w:rsid w:val="3FF52E45"/>
    <w:rsid w:val="3FF5DC5C"/>
    <w:rsid w:val="3FF6E4B8"/>
    <w:rsid w:val="3FF7C700"/>
    <w:rsid w:val="3FFAE15C"/>
    <w:rsid w:val="3FFAE1D4"/>
    <w:rsid w:val="3FFB08E8"/>
    <w:rsid w:val="3FFB1066"/>
    <w:rsid w:val="3FFBE8F2"/>
    <w:rsid w:val="3FFD002E"/>
    <w:rsid w:val="3FFD0445"/>
    <w:rsid w:val="3FFFC60C"/>
    <w:rsid w:val="3FFFDCAD"/>
    <w:rsid w:val="408D1DC3"/>
    <w:rsid w:val="40C12EF4"/>
    <w:rsid w:val="40DA4023"/>
    <w:rsid w:val="41DBAF1D"/>
    <w:rsid w:val="437F6170"/>
    <w:rsid w:val="43DD12AF"/>
    <w:rsid w:val="44FDCC08"/>
    <w:rsid w:val="46270A22"/>
    <w:rsid w:val="463B1919"/>
    <w:rsid w:val="46FB3059"/>
    <w:rsid w:val="471F6662"/>
    <w:rsid w:val="47F57E5D"/>
    <w:rsid w:val="47F641A2"/>
    <w:rsid w:val="47F8F364"/>
    <w:rsid w:val="47FD6128"/>
    <w:rsid w:val="47FF1874"/>
    <w:rsid w:val="47FF71EE"/>
    <w:rsid w:val="496DF1CA"/>
    <w:rsid w:val="496E6517"/>
    <w:rsid w:val="4973B3FC"/>
    <w:rsid w:val="49EBF65B"/>
    <w:rsid w:val="4ACC451C"/>
    <w:rsid w:val="4B7D18E4"/>
    <w:rsid w:val="4B7E1AA9"/>
    <w:rsid w:val="4B7EEB95"/>
    <w:rsid w:val="4B7F96C2"/>
    <w:rsid w:val="4BBFB7DC"/>
    <w:rsid w:val="4BDAA383"/>
    <w:rsid w:val="4BEE3E0A"/>
    <w:rsid w:val="4BFF1CF4"/>
    <w:rsid w:val="4D33E2C2"/>
    <w:rsid w:val="4D6AA0CA"/>
    <w:rsid w:val="4DAA1D74"/>
    <w:rsid w:val="4DDB910E"/>
    <w:rsid w:val="4DFFB816"/>
    <w:rsid w:val="4E966D2F"/>
    <w:rsid w:val="4EB2349F"/>
    <w:rsid w:val="4EEE16B9"/>
    <w:rsid w:val="4EFF2CF6"/>
    <w:rsid w:val="4EFF6E44"/>
    <w:rsid w:val="4F67FBA0"/>
    <w:rsid w:val="4F7B4EF4"/>
    <w:rsid w:val="4F8532DF"/>
    <w:rsid w:val="4FAB08BF"/>
    <w:rsid w:val="4FBFA381"/>
    <w:rsid w:val="4FDA8D7E"/>
    <w:rsid w:val="4FE44A04"/>
    <w:rsid w:val="4FEF7A71"/>
    <w:rsid w:val="4FF21E7B"/>
    <w:rsid w:val="4FFFC9B5"/>
    <w:rsid w:val="50874EE6"/>
    <w:rsid w:val="509C32D8"/>
    <w:rsid w:val="50EDABF6"/>
    <w:rsid w:val="5167DE52"/>
    <w:rsid w:val="51BF3DA2"/>
    <w:rsid w:val="52DC925D"/>
    <w:rsid w:val="52FF4471"/>
    <w:rsid w:val="53E50156"/>
    <w:rsid w:val="53FAB2D1"/>
    <w:rsid w:val="53FDE193"/>
    <w:rsid w:val="54FDE229"/>
    <w:rsid w:val="55A9791B"/>
    <w:rsid w:val="55B554A2"/>
    <w:rsid w:val="55BEAD2C"/>
    <w:rsid w:val="55FD3D0D"/>
    <w:rsid w:val="56333143"/>
    <w:rsid w:val="564364DC"/>
    <w:rsid w:val="566A8336"/>
    <w:rsid w:val="56DBDF8C"/>
    <w:rsid w:val="56DF92B7"/>
    <w:rsid w:val="56EABD1A"/>
    <w:rsid w:val="56EBEEC3"/>
    <w:rsid w:val="56F69FEF"/>
    <w:rsid w:val="56FAF472"/>
    <w:rsid w:val="56FB6682"/>
    <w:rsid w:val="570B0C6E"/>
    <w:rsid w:val="5777CE1D"/>
    <w:rsid w:val="577B1B63"/>
    <w:rsid w:val="577B7ACB"/>
    <w:rsid w:val="57BF757C"/>
    <w:rsid w:val="57D71592"/>
    <w:rsid w:val="57DE1FCF"/>
    <w:rsid w:val="57DF7A02"/>
    <w:rsid w:val="57E708D0"/>
    <w:rsid w:val="57EE2686"/>
    <w:rsid w:val="57F4BEC3"/>
    <w:rsid w:val="57F523BA"/>
    <w:rsid w:val="57FB8F8B"/>
    <w:rsid w:val="57FD1FD5"/>
    <w:rsid w:val="57FD5094"/>
    <w:rsid w:val="57FFC842"/>
    <w:rsid w:val="597F346D"/>
    <w:rsid w:val="59FFEA38"/>
    <w:rsid w:val="5A3B68D8"/>
    <w:rsid w:val="5A7F544D"/>
    <w:rsid w:val="5B7FEB4C"/>
    <w:rsid w:val="5B9649F4"/>
    <w:rsid w:val="5B99A395"/>
    <w:rsid w:val="5BAE9408"/>
    <w:rsid w:val="5BAFA796"/>
    <w:rsid w:val="5BBC1A43"/>
    <w:rsid w:val="5BCDC8D1"/>
    <w:rsid w:val="5BCF7F6C"/>
    <w:rsid w:val="5BDB7A2A"/>
    <w:rsid w:val="5BE36145"/>
    <w:rsid w:val="5BF9D4C2"/>
    <w:rsid w:val="5BFE1856"/>
    <w:rsid w:val="5BFE6E83"/>
    <w:rsid w:val="5BFFCC13"/>
    <w:rsid w:val="5C39CDCB"/>
    <w:rsid w:val="5C9A906A"/>
    <w:rsid w:val="5CF790FF"/>
    <w:rsid w:val="5D768590"/>
    <w:rsid w:val="5D7FEA84"/>
    <w:rsid w:val="5DABEA69"/>
    <w:rsid w:val="5DBF295E"/>
    <w:rsid w:val="5DDDFB30"/>
    <w:rsid w:val="5DEEEB14"/>
    <w:rsid w:val="5DF639DF"/>
    <w:rsid w:val="5DFF0F2F"/>
    <w:rsid w:val="5E1DD256"/>
    <w:rsid w:val="5E57D49E"/>
    <w:rsid w:val="5E667822"/>
    <w:rsid w:val="5E790294"/>
    <w:rsid w:val="5E7E4FD8"/>
    <w:rsid w:val="5EAF9D25"/>
    <w:rsid w:val="5EBBE02E"/>
    <w:rsid w:val="5EBFCF38"/>
    <w:rsid w:val="5EBFCF4E"/>
    <w:rsid w:val="5EE0A77E"/>
    <w:rsid w:val="5EF78824"/>
    <w:rsid w:val="5EFAF3EC"/>
    <w:rsid w:val="5EFF50E1"/>
    <w:rsid w:val="5EFF8215"/>
    <w:rsid w:val="5F4A7ABA"/>
    <w:rsid w:val="5F77E2B1"/>
    <w:rsid w:val="5F7B3444"/>
    <w:rsid w:val="5F7B63BA"/>
    <w:rsid w:val="5FB518B3"/>
    <w:rsid w:val="5FB7EEEA"/>
    <w:rsid w:val="5FBAC155"/>
    <w:rsid w:val="5FBF869D"/>
    <w:rsid w:val="5FBFA731"/>
    <w:rsid w:val="5FEF1999"/>
    <w:rsid w:val="5FF3B5E5"/>
    <w:rsid w:val="5FF566BB"/>
    <w:rsid w:val="5FF6D85B"/>
    <w:rsid w:val="5FFBDB8C"/>
    <w:rsid w:val="5FFD6B83"/>
    <w:rsid w:val="5FFE17AF"/>
    <w:rsid w:val="5FFF1F78"/>
    <w:rsid w:val="5FFF7651"/>
    <w:rsid w:val="5FFFA2FB"/>
    <w:rsid w:val="5FFFBD1B"/>
    <w:rsid w:val="5FFFF878"/>
    <w:rsid w:val="60227FED"/>
    <w:rsid w:val="60BA26E0"/>
    <w:rsid w:val="60FF2A8B"/>
    <w:rsid w:val="60FF8152"/>
    <w:rsid w:val="61477910"/>
    <w:rsid w:val="61ADA34E"/>
    <w:rsid w:val="61EEA0DA"/>
    <w:rsid w:val="61F7B5E1"/>
    <w:rsid w:val="6367A27E"/>
    <w:rsid w:val="63FB6276"/>
    <w:rsid w:val="63FFBE78"/>
    <w:rsid w:val="6546BBA2"/>
    <w:rsid w:val="65675BF3"/>
    <w:rsid w:val="65CEF353"/>
    <w:rsid w:val="65DBCFE2"/>
    <w:rsid w:val="65FC78B0"/>
    <w:rsid w:val="65FFAE82"/>
    <w:rsid w:val="663B9F0D"/>
    <w:rsid w:val="667FAEC2"/>
    <w:rsid w:val="66BFA983"/>
    <w:rsid w:val="675B8BF2"/>
    <w:rsid w:val="676A58F9"/>
    <w:rsid w:val="677DB1AD"/>
    <w:rsid w:val="677F79DD"/>
    <w:rsid w:val="67A3B25D"/>
    <w:rsid w:val="67F9DE66"/>
    <w:rsid w:val="67FD6476"/>
    <w:rsid w:val="67FDAFE4"/>
    <w:rsid w:val="67FFC1F2"/>
    <w:rsid w:val="687AF1AA"/>
    <w:rsid w:val="697B2E03"/>
    <w:rsid w:val="697BE61F"/>
    <w:rsid w:val="6A7D042E"/>
    <w:rsid w:val="6A9F75A1"/>
    <w:rsid w:val="6ABF72E4"/>
    <w:rsid w:val="6AFDDBEF"/>
    <w:rsid w:val="6AFFD84C"/>
    <w:rsid w:val="6B5D4CB8"/>
    <w:rsid w:val="6B69C007"/>
    <w:rsid w:val="6B7B1582"/>
    <w:rsid w:val="6B8E9973"/>
    <w:rsid w:val="6B947E4D"/>
    <w:rsid w:val="6BEECE42"/>
    <w:rsid w:val="6BF01A26"/>
    <w:rsid w:val="6BF0EE72"/>
    <w:rsid w:val="6BFE920C"/>
    <w:rsid w:val="6BFEC634"/>
    <w:rsid w:val="6BFF3DFE"/>
    <w:rsid w:val="6BFFD702"/>
    <w:rsid w:val="6BFFDD3D"/>
    <w:rsid w:val="6C771AE5"/>
    <w:rsid w:val="6CDD8DAA"/>
    <w:rsid w:val="6CE9B2AE"/>
    <w:rsid w:val="6CFDF4D3"/>
    <w:rsid w:val="6D4BA8AA"/>
    <w:rsid w:val="6D778CF8"/>
    <w:rsid w:val="6D77C634"/>
    <w:rsid w:val="6D7B1FAD"/>
    <w:rsid w:val="6D9FD144"/>
    <w:rsid w:val="6DAFB06A"/>
    <w:rsid w:val="6DB39D49"/>
    <w:rsid w:val="6DCD7916"/>
    <w:rsid w:val="6DD364AB"/>
    <w:rsid w:val="6DDF5A4C"/>
    <w:rsid w:val="6DDFC0B9"/>
    <w:rsid w:val="6DEE5BDE"/>
    <w:rsid w:val="6DEF7454"/>
    <w:rsid w:val="6DF684CF"/>
    <w:rsid w:val="6DF71C90"/>
    <w:rsid w:val="6DFD4426"/>
    <w:rsid w:val="6DFDC209"/>
    <w:rsid w:val="6E5D26D1"/>
    <w:rsid w:val="6E6F69FC"/>
    <w:rsid w:val="6E6FF394"/>
    <w:rsid w:val="6E7A298E"/>
    <w:rsid w:val="6E9FAF17"/>
    <w:rsid w:val="6EDD97AF"/>
    <w:rsid w:val="6EDDA331"/>
    <w:rsid w:val="6EEFBC99"/>
    <w:rsid w:val="6EFDC417"/>
    <w:rsid w:val="6EFE3DC5"/>
    <w:rsid w:val="6F3DD9B6"/>
    <w:rsid w:val="6F5F3C20"/>
    <w:rsid w:val="6F6AC772"/>
    <w:rsid w:val="6F6E5E53"/>
    <w:rsid w:val="6F758496"/>
    <w:rsid w:val="6F7A3742"/>
    <w:rsid w:val="6F9BC649"/>
    <w:rsid w:val="6F9F570F"/>
    <w:rsid w:val="6FA73603"/>
    <w:rsid w:val="6FAFC9AE"/>
    <w:rsid w:val="6FB28774"/>
    <w:rsid w:val="6FB78D96"/>
    <w:rsid w:val="6FBE7ACD"/>
    <w:rsid w:val="6FBFBE89"/>
    <w:rsid w:val="6FD2D9CE"/>
    <w:rsid w:val="6FDDF107"/>
    <w:rsid w:val="6FDF0060"/>
    <w:rsid w:val="6FDF2616"/>
    <w:rsid w:val="6FE71522"/>
    <w:rsid w:val="6FEB2CB2"/>
    <w:rsid w:val="6FF5749E"/>
    <w:rsid w:val="6FF6DA86"/>
    <w:rsid w:val="6FF71765"/>
    <w:rsid w:val="6FF72C77"/>
    <w:rsid w:val="6FFB70CD"/>
    <w:rsid w:val="6FFC31EF"/>
    <w:rsid w:val="6FFD3929"/>
    <w:rsid w:val="6FFECC24"/>
    <w:rsid w:val="6FFF5755"/>
    <w:rsid w:val="6FFF7A48"/>
    <w:rsid w:val="6FFFF4E4"/>
    <w:rsid w:val="70EF90C9"/>
    <w:rsid w:val="70EFBDC4"/>
    <w:rsid w:val="71437EA9"/>
    <w:rsid w:val="716F8E38"/>
    <w:rsid w:val="71A36CE1"/>
    <w:rsid w:val="71F9E9F4"/>
    <w:rsid w:val="71FE5648"/>
    <w:rsid w:val="7276FCD9"/>
    <w:rsid w:val="727F68AB"/>
    <w:rsid w:val="72EE3274"/>
    <w:rsid w:val="72EFCBD9"/>
    <w:rsid w:val="72F904E1"/>
    <w:rsid w:val="72FB4396"/>
    <w:rsid w:val="737F3B8E"/>
    <w:rsid w:val="73B7B85A"/>
    <w:rsid w:val="73BC9996"/>
    <w:rsid w:val="73F36E60"/>
    <w:rsid w:val="73FA4221"/>
    <w:rsid w:val="73FB8D4A"/>
    <w:rsid w:val="73FB996D"/>
    <w:rsid w:val="73FE56FC"/>
    <w:rsid w:val="73FFA0DD"/>
    <w:rsid w:val="74F8FECC"/>
    <w:rsid w:val="74FE885E"/>
    <w:rsid w:val="756F7F88"/>
    <w:rsid w:val="758F1B7C"/>
    <w:rsid w:val="75C567D4"/>
    <w:rsid w:val="75ED0AB9"/>
    <w:rsid w:val="75F40354"/>
    <w:rsid w:val="75F9BDD0"/>
    <w:rsid w:val="75FAAB57"/>
    <w:rsid w:val="75FC4FC7"/>
    <w:rsid w:val="75FD3DE3"/>
    <w:rsid w:val="75FFA104"/>
    <w:rsid w:val="7651CC73"/>
    <w:rsid w:val="7668ADE4"/>
    <w:rsid w:val="766CA532"/>
    <w:rsid w:val="7677F9BD"/>
    <w:rsid w:val="767E569A"/>
    <w:rsid w:val="767EAFB6"/>
    <w:rsid w:val="7685ABB4"/>
    <w:rsid w:val="768F7604"/>
    <w:rsid w:val="76971B37"/>
    <w:rsid w:val="76ABCC75"/>
    <w:rsid w:val="76AF8E05"/>
    <w:rsid w:val="76C7B460"/>
    <w:rsid w:val="76C7CB2D"/>
    <w:rsid w:val="76D76DD6"/>
    <w:rsid w:val="76DFF4CE"/>
    <w:rsid w:val="76E7137D"/>
    <w:rsid w:val="76F3F753"/>
    <w:rsid w:val="76F4EB6C"/>
    <w:rsid w:val="76F6B2FD"/>
    <w:rsid w:val="76FDBAC8"/>
    <w:rsid w:val="76FDF0CC"/>
    <w:rsid w:val="770F2826"/>
    <w:rsid w:val="771B45B4"/>
    <w:rsid w:val="773D9699"/>
    <w:rsid w:val="775E47EF"/>
    <w:rsid w:val="7776579E"/>
    <w:rsid w:val="77778925"/>
    <w:rsid w:val="777E1205"/>
    <w:rsid w:val="777E268C"/>
    <w:rsid w:val="777E423D"/>
    <w:rsid w:val="777F690C"/>
    <w:rsid w:val="77A3C0CB"/>
    <w:rsid w:val="77AF61FC"/>
    <w:rsid w:val="77B05050"/>
    <w:rsid w:val="77B3ED20"/>
    <w:rsid w:val="77B73717"/>
    <w:rsid w:val="77B76BA7"/>
    <w:rsid w:val="77CB060E"/>
    <w:rsid w:val="77D7420B"/>
    <w:rsid w:val="77D74D52"/>
    <w:rsid w:val="77D7C063"/>
    <w:rsid w:val="77DDCF41"/>
    <w:rsid w:val="77EB8497"/>
    <w:rsid w:val="77EF7027"/>
    <w:rsid w:val="77EFE27E"/>
    <w:rsid w:val="77F3797A"/>
    <w:rsid w:val="77F59C55"/>
    <w:rsid w:val="77F682CF"/>
    <w:rsid w:val="77FB6955"/>
    <w:rsid w:val="77FC1CDB"/>
    <w:rsid w:val="77FD9CE2"/>
    <w:rsid w:val="77FDFDB7"/>
    <w:rsid w:val="77FEE752"/>
    <w:rsid w:val="77FF5064"/>
    <w:rsid w:val="77FF6763"/>
    <w:rsid w:val="77FF8773"/>
    <w:rsid w:val="78680C6F"/>
    <w:rsid w:val="787C07D6"/>
    <w:rsid w:val="787F0838"/>
    <w:rsid w:val="78D32B01"/>
    <w:rsid w:val="78DF6225"/>
    <w:rsid w:val="78FE773C"/>
    <w:rsid w:val="78FE7BBE"/>
    <w:rsid w:val="790A4A1C"/>
    <w:rsid w:val="793FDC53"/>
    <w:rsid w:val="795147AC"/>
    <w:rsid w:val="795520F1"/>
    <w:rsid w:val="79746710"/>
    <w:rsid w:val="79A5EE36"/>
    <w:rsid w:val="79AB7B32"/>
    <w:rsid w:val="79DDCECC"/>
    <w:rsid w:val="79EE6703"/>
    <w:rsid w:val="79F724E6"/>
    <w:rsid w:val="79FF981D"/>
    <w:rsid w:val="79FFD2B9"/>
    <w:rsid w:val="79FFF1ED"/>
    <w:rsid w:val="7A723473"/>
    <w:rsid w:val="7A7DD4ED"/>
    <w:rsid w:val="7A7E4740"/>
    <w:rsid w:val="7A98471F"/>
    <w:rsid w:val="7ACF4C39"/>
    <w:rsid w:val="7AEB055A"/>
    <w:rsid w:val="7AEF56B1"/>
    <w:rsid w:val="7AFDFDB2"/>
    <w:rsid w:val="7B2FAF38"/>
    <w:rsid w:val="7B3F0CF1"/>
    <w:rsid w:val="7B3FD83A"/>
    <w:rsid w:val="7B566B78"/>
    <w:rsid w:val="7B5F9840"/>
    <w:rsid w:val="7B694210"/>
    <w:rsid w:val="7B69B369"/>
    <w:rsid w:val="7B76880A"/>
    <w:rsid w:val="7B77345D"/>
    <w:rsid w:val="7B7B08C6"/>
    <w:rsid w:val="7B7B2EB4"/>
    <w:rsid w:val="7B7F6DE8"/>
    <w:rsid w:val="7B97E7D4"/>
    <w:rsid w:val="7B9CC157"/>
    <w:rsid w:val="7B9F4380"/>
    <w:rsid w:val="7B9F73F6"/>
    <w:rsid w:val="7BBE497C"/>
    <w:rsid w:val="7BBF5E6C"/>
    <w:rsid w:val="7BCB38B2"/>
    <w:rsid w:val="7BDF4D28"/>
    <w:rsid w:val="7BDF9B67"/>
    <w:rsid w:val="7BE20655"/>
    <w:rsid w:val="7BE7FAED"/>
    <w:rsid w:val="7BEF1BA0"/>
    <w:rsid w:val="7BEF7A0C"/>
    <w:rsid w:val="7BEFAD33"/>
    <w:rsid w:val="7BF346D5"/>
    <w:rsid w:val="7BF73FCD"/>
    <w:rsid w:val="7BF8823E"/>
    <w:rsid w:val="7BFAD90C"/>
    <w:rsid w:val="7BFD2718"/>
    <w:rsid w:val="7BFF1DCE"/>
    <w:rsid w:val="7BFF454E"/>
    <w:rsid w:val="7BFF5C87"/>
    <w:rsid w:val="7BFFE7F6"/>
    <w:rsid w:val="7C6E925E"/>
    <w:rsid w:val="7C73F8ED"/>
    <w:rsid w:val="7C7F6582"/>
    <w:rsid w:val="7CB1F602"/>
    <w:rsid w:val="7CBE8032"/>
    <w:rsid w:val="7CD27262"/>
    <w:rsid w:val="7CD37A2F"/>
    <w:rsid w:val="7CF66333"/>
    <w:rsid w:val="7CFED0AC"/>
    <w:rsid w:val="7CFFAB7E"/>
    <w:rsid w:val="7CFFC34A"/>
    <w:rsid w:val="7CFFD572"/>
    <w:rsid w:val="7D172367"/>
    <w:rsid w:val="7D3BF26F"/>
    <w:rsid w:val="7D4F08B2"/>
    <w:rsid w:val="7D5F2EB2"/>
    <w:rsid w:val="7D6F90A0"/>
    <w:rsid w:val="7D6FB2C6"/>
    <w:rsid w:val="7D775B68"/>
    <w:rsid w:val="7D7A9736"/>
    <w:rsid w:val="7D7CD57F"/>
    <w:rsid w:val="7D7D0CA5"/>
    <w:rsid w:val="7D7E84FE"/>
    <w:rsid w:val="7D7F0285"/>
    <w:rsid w:val="7D7F1ED3"/>
    <w:rsid w:val="7D9A3DF7"/>
    <w:rsid w:val="7DAD564F"/>
    <w:rsid w:val="7DAFB798"/>
    <w:rsid w:val="7DB71711"/>
    <w:rsid w:val="7DB86357"/>
    <w:rsid w:val="7DBB6D15"/>
    <w:rsid w:val="7DDF4C3E"/>
    <w:rsid w:val="7DEFA687"/>
    <w:rsid w:val="7DF732E0"/>
    <w:rsid w:val="7DF7ABBF"/>
    <w:rsid w:val="7DFB6A39"/>
    <w:rsid w:val="7DFDB411"/>
    <w:rsid w:val="7DFEF8D4"/>
    <w:rsid w:val="7DFF28AF"/>
    <w:rsid w:val="7DFF2D90"/>
    <w:rsid w:val="7DFF387A"/>
    <w:rsid w:val="7DFF634A"/>
    <w:rsid w:val="7DFFABFD"/>
    <w:rsid w:val="7DFFFA9A"/>
    <w:rsid w:val="7E1FE5E8"/>
    <w:rsid w:val="7E2E519A"/>
    <w:rsid w:val="7E39CF16"/>
    <w:rsid w:val="7E3E352E"/>
    <w:rsid w:val="7E63A65C"/>
    <w:rsid w:val="7E77CE60"/>
    <w:rsid w:val="7E7D4425"/>
    <w:rsid w:val="7E9DF5B1"/>
    <w:rsid w:val="7E9FD2CD"/>
    <w:rsid w:val="7EB30FAD"/>
    <w:rsid w:val="7EB7B85C"/>
    <w:rsid w:val="7EBB5379"/>
    <w:rsid w:val="7EBE511D"/>
    <w:rsid w:val="7EBEFFD0"/>
    <w:rsid w:val="7EBF2BF6"/>
    <w:rsid w:val="7EBF72BA"/>
    <w:rsid w:val="7ECD8F40"/>
    <w:rsid w:val="7ECE15BA"/>
    <w:rsid w:val="7EDC3059"/>
    <w:rsid w:val="7EDD0775"/>
    <w:rsid w:val="7EDF4B78"/>
    <w:rsid w:val="7EDF9A04"/>
    <w:rsid w:val="7EEFA2B1"/>
    <w:rsid w:val="7EF73CA4"/>
    <w:rsid w:val="7EFA6921"/>
    <w:rsid w:val="7EFAB338"/>
    <w:rsid w:val="7EFBD05F"/>
    <w:rsid w:val="7EFD2DD2"/>
    <w:rsid w:val="7EFD79BC"/>
    <w:rsid w:val="7EFD97AE"/>
    <w:rsid w:val="7EFDB332"/>
    <w:rsid w:val="7EFF2D3C"/>
    <w:rsid w:val="7EFF3CBB"/>
    <w:rsid w:val="7EFFC552"/>
    <w:rsid w:val="7EFFC5FE"/>
    <w:rsid w:val="7F1FF553"/>
    <w:rsid w:val="7F37DC44"/>
    <w:rsid w:val="7F3F2333"/>
    <w:rsid w:val="7F4FA669"/>
    <w:rsid w:val="7F5573AE"/>
    <w:rsid w:val="7F57320C"/>
    <w:rsid w:val="7F5C3FB4"/>
    <w:rsid w:val="7F5D2833"/>
    <w:rsid w:val="7F5F3FF8"/>
    <w:rsid w:val="7F6BAB32"/>
    <w:rsid w:val="7F6D5A36"/>
    <w:rsid w:val="7F6D9971"/>
    <w:rsid w:val="7F7378F7"/>
    <w:rsid w:val="7F73B385"/>
    <w:rsid w:val="7F77B333"/>
    <w:rsid w:val="7F7BE1A3"/>
    <w:rsid w:val="7F7D2847"/>
    <w:rsid w:val="7F7E099D"/>
    <w:rsid w:val="7F7E57BC"/>
    <w:rsid w:val="7F7F3181"/>
    <w:rsid w:val="7F7F7763"/>
    <w:rsid w:val="7F7F8E99"/>
    <w:rsid w:val="7F7F9210"/>
    <w:rsid w:val="7F7FBEAF"/>
    <w:rsid w:val="7F7FC839"/>
    <w:rsid w:val="7F7FF670"/>
    <w:rsid w:val="7F8F7BDD"/>
    <w:rsid w:val="7F9373E6"/>
    <w:rsid w:val="7F966D9C"/>
    <w:rsid w:val="7F9B828F"/>
    <w:rsid w:val="7F9D2F98"/>
    <w:rsid w:val="7F9E4406"/>
    <w:rsid w:val="7F9F2B85"/>
    <w:rsid w:val="7F9FFB05"/>
    <w:rsid w:val="7FB248A5"/>
    <w:rsid w:val="7FB28E62"/>
    <w:rsid w:val="7FB7A6D7"/>
    <w:rsid w:val="7FBB1C7F"/>
    <w:rsid w:val="7FBBC25F"/>
    <w:rsid w:val="7FBBEE8F"/>
    <w:rsid w:val="7FBCF236"/>
    <w:rsid w:val="7FBE5AD3"/>
    <w:rsid w:val="7FBF4DB6"/>
    <w:rsid w:val="7FBFBF3E"/>
    <w:rsid w:val="7FCBC157"/>
    <w:rsid w:val="7FCDD7EE"/>
    <w:rsid w:val="7FCE1BA0"/>
    <w:rsid w:val="7FCE50AF"/>
    <w:rsid w:val="7FCF547E"/>
    <w:rsid w:val="7FCFA07F"/>
    <w:rsid w:val="7FD79677"/>
    <w:rsid w:val="7FD906D2"/>
    <w:rsid w:val="7FD9176A"/>
    <w:rsid w:val="7FDBBC56"/>
    <w:rsid w:val="7FDE01A6"/>
    <w:rsid w:val="7FDF04A3"/>
    <w:rsid w:val="7FDF1C55"/>
    <w:rsid w:val="7FDF75F1"/>
    <w:rsid w:val="7FDFBCFE"/>
    <w:rsid w:val="7FDFD68B"/>
    <w:rsid w:val="7FE1C3B6"/>
    <w:rsid w:val="7FE4C172"/>
    <w:rsid w:val="7FE6A8D9"/>
    <w:rsid w:val="7FE74045"/>
    <w:rsid w:val="7FE78E5D"/>
    <w:rsid w:val="7FE80F32"/>
    <w:rsid w:val="7FEC3A29"/>
    <w:rsid w:val="7FED73E8"/>
    <w:rsid w:val="7FEF7EE9"/>
    <w:rsid w:val="7FEFD163"/>
    <w:rsid w:val="7FF1691C"/>
    <w:rsid w:val="7FF3DC34"/>
    <w:rsid w:val="7FF5A673"/>
    <w:rsid w:val="7FF70527"/>
    <w:rsid w:val="7FF7248E"/>
    <w:rsid w:val="7FF7513B"/>
    <w:rsid w:val="7FF75B4A"/>
    <w:rsid w:val="7FF77AB5"/>
    <w:rsid w:val="7FF7A904"/>
    <w:rsid w:val="7FF7B1AE"/>
    <w:rsid w:val="7FF94B55"/>
    <w:rsid w:val="7FFA3DEB"/>
    <w:rsid w:val="7FFB2A4B"/>
    <w:rsid w:val="7FFB4E95"/>
    <w:rsid w:val="7FFD04D4"/>
    <w:rsid w:val="7FFD34CC"/>
    <w:rsid w:val="7FFD4BAD"/>
    <w:rsid w:val="7FFD73F2"/>
    <w:rsid w:val="7FFDF391"/>
    <w:rsid w:val="7FFE2090"/>
    <w:rsid w:val="7FFE60F2"/>
    <w:rsid w:val="7FFE6F5B"/>
    <w:rsid w:val="7FFF1094"/>
    <w:rsid w:val="7FFF3065"/>
    <w:rsid w:val="7FFF68BB"/>
    <w:rsid w:val="7FFF78CE"/>
    <w:rsid w:val="7FFF83AD"/>
    <w:rsid w:val="7FFFAA60"/>
    <w:rsid w:val="7FFFB5C4"/>
    <w:rsid w:val="7FFFCC1E"/>
    <w:rsid w:val="83FDB65B"/>
    <w:rsid w:val="86FFC3EA"/>
    <w:rsid w:val="875F479D"/>
    <w:rsid w:val="87FD9623"/>
    <w:rsid w:val="87FE53FE"/>
    <w:rsid w:val="8ABD68FE"/>
    <w:rsid w:val="8BE71BD1"/>
    <w:rsid w:val="8BEFF5ED"/>
    <w:rsid w:val="8DEF77CC"/>
    <w:rsid w:val="8E79F831"/>
    <w:rsid w:val="8FEB9972"/>
    <w:rsid w:val="8FFEDE24"/>
    <w:rsid w:val="93BCCB87"/>
    <w:rsid w:val="93D63DBA"/>
    <w:rsid w:val="93EB20F5"/>
    <w:rsid w:val="947FD824"/>
    <w:rsid w:val="95DEECFD"/>
    <w:rsid w:val="95EEFB26"/>
    <w:rsid w:val="964BE9BC"/>
    <w:rsid w:val="96FE1C42"/>
    <w:rsid w:val="96FF047D"/>
    <w:rsid w:val="971790B1"/>
    <w:rsid w:val="97763E57"/>
    <w:rsid w:val="977D6E43"/>
    <w:rsid w:val="978F65CC"/>
    <w:rsid w:val="9794401F"/>
    <w:rsid w:val="97C7D92B"/>
    <w:rsid w:val="97CFD3A1"/>
    <w:rsid w:val="97FEBE37"/>
    <w:rsid w:val="97FF6999"/>
    <w:rsid w:val="985F33DA"/>
    <w:rsid w:val="98BF5464"/>
    <w:rsid w:val="9B75376E"/>
    <w:rsid w:val="9B96DC21"/>
    <w:rsid w:val="9BDD0B27"/>
    <w:rsid w:val="9BFF2734"/>
    <w:rsid w:val="9BFFF2C8"/>
    <w:rsid w:val="9CAB8FD2"/>
    <w:rsid w:val="9CFBE798"/>
    <w:rsid w:val="9D78C710"/>
    <w:rsid w:val="9D7E6CFC"/>
    <w:rsid w:val="9DF2B6BE"/>
    <w:rsid w:val="9E9E641F"/>
    <w:rsid w:val="9EC76481"/>
    <w:rsid w:val="9EC8EF65"/>
    <w:rsid w:val="9EF35A0F"/>
    <w:rsid w:val="9EFF186F"/>
    <w:rsid w:val="9F5F0E08"/>
    <w:rsid w:val="9FB68535"/>
    <w:rsid w:val="9FD4A83B"/>
    <w:rsid w:val="9FD6D29E"/>
    <w:rsid w:val="9FD9E069"/>
    <w:rsid w:val="9FDB8CD3"/>
    <w:rsid w:val="9FDF0EBC"/>
    <w:rsid w:val="9FEF501F"/>
    <w:rsid w:val="9FF5012B"/>
    <w:rsid w:val="9FFFC81B"/>
    <w:rsid w:val="A2EF27C3"/>
    <w:rsid w:val="A2F77096"/>
    <w:rsid w:val="A597A981"/>
    <w:rsid w:val="A6B78500"/>
    <w:rsid w:val="A6E8DAE8"/>
    <w:rsid w:val="A7278A5E"/>
    <w:rsid w:val="A77F643A"/>
    <w:rsid w:val="A7EF6FE3"/>
    <w:rsid w:val="A7FADDF0"/>
    <w:rsid w:val="A8A901AA"/>
    <w:rsid w:val="A9CFE6BC"/>
    <w:rsid w:val="AA7F0015"/>
    <w:rsid w:val="ABDFC8C2"/>
    <w:rsid w:val="ACEDD1F0"/>
    <w:rsid w:val="AEBA46BF"/>
    <w:rsid w:val="AED75E8E"/>
    <w:rsid w:val="AEE46D31"/>
    <w:rsid w:val="AEF71CFB"/>
    <w:rsid w:val="AEF7CAED"/>
    <w:rsid w:val="AEFB79FA"/>
    <w:rsid w:val="AEFBD7A5"/>
    <w:rsid w:val="AEFF00F9"/>
    <w:rsid w:val="AF56A7FC"/>
    <w:rsid w:val="AFAF3E6B"/>
    <w:rsid w:val="AFC70D19"/>
    <w:rsid w:val="AFD3C3F3"/>
    <w:rsid w:val="AFDFEDE0"/>
    <w:rsid w:val="AFE6E493"/>
    <w:rsid w:val="AFEB5708"/>
    <w:rsid w:val="AFFB8A16"/>
    <w:rsid w:val="AFFC655B"/>
    <w:rsid w:val="B2278F8C"/>
    <w:rsid w:val="B3761BEB"/>
    <w:rsid w:val="B3BE5C5F"/>
    <w:rsid w:val="B3DBB7B1"/>
    <w:rsid w:val="B3FD9AF2"/>
    <w:rsid w:val="B4F5AAD1"/>
    <w:rsid w:val="B53D1A81"/>
    <w:rsid w:val="B53FBF63"/>
    <w:rsid w:val="B5BC40F7"/>
    <w:rsid w:val="B69EEDB5"/>
    <w:rsid w:val="B6F0D4EB"/>
    <w:rsid w:val="B6FB374F"/>
    <w:rsid w:val="B726F3F9"/>
    <w:rsid w:val="B7B5C10C"/>
    <w:rsid w:val="B7B7F40D"/>
    <w:rsid w:val="B7BCD2F7"/>
    <w:rsid w:val="B7DFA69E"/>
    <w:rsid w:val="B7EF0AAE"/>
    <w:rsid w:val="B7F96AAA"/>
    <w:rsid w:val="B7FDF3F7"/>
    <w:rsid w:val="B7FFA571"/>
    <w:rsid w:val="B86296B4"/>
    <w:rsid w:val="B96A81FB"/>
    <w:rsid w:val="B9FBA064"/>
    <w:rsid w:val="BB770D8F"/>
    <w:rsid w:val="BB7A0813"/>
    <w:rsid w:val="BB7DFE62"/>
    <w:rsid w:val="BB9B89DD"/>
    <w:rsid w:val="BBB30BB0"/>
    <w:rsid w:val="BBDF70DE"/>
    <w:rsid w:val="BBFB73DE"/>
    <w:rsid w:val="BBFDECC2"/>
    <w:rsid w:val="BC795A36"/>
    <w:rsid w:val="BCBE022A"/>
    <w:rsid w:val="BCFF795E"/>
    <w:rsid w:val="BCFFB7A5"/>
    <w:rsid w:val="BD3E9238"/>
    <w:rsid w:val="BD6DDDFF"/>
    <w:rsid w:val="BD7D88B9"/>
    <w:rsid w:val="BD7EE986"/>
    <w:rsid w:val="BD931B18"/>
    <w:rsid w:val="BD9D7316"/>
    <w:rsid w:val="BDAADDFD"/>
    <w:rsid w:val="BDD52815"/>
    <w:rsid w:val="BDF764B4"/>
    <w:rsid w:val="BDFA0001"/>
    <w:rsid w:val="BDFEEEB1"/>
    <w:rsid w:val="BE3EEC13"/>
    <w:rsid w:val="BE5D1CFE"/>
    <w:rsid w:val="BE7B02E1"/>
    <w:rsid w:val="BE7F19D4"/>
    <w:rsid w:val="BE9EAE85"/>
    <w:rsid w:val="BEAB7E77"/>
    <w:rsid w:val="BEBF208B"/>
    <w:rsid w:val="BEDFF362"/>
    <w:rsid w:val="BEF62A49"/>
    <w:rsid w:val="BEFB3159"/>
    <w:rsid w:val="BEFC7E16"/>
    <w:rsid w:val="BEFF58E6"/>
    <w:rsid w:val="BF1EEC0A"/>
    <w:rsid w:val="BF1F0D85"/>
    <w:rsid w:val="BF2F8934"/>
    <w:rsid w:val="BF3D94A9"/>
    <w:rsid w:val="BF3DBBDC"/>
    <w:rsid w:val="BF5BA721"/>
    <w:rsid w:val="BF76F393"/>
    <w:rsid w:val="BF7FC3CD"/>
    <w:rsid w:val="BF99A36C"/>
    <w:rsid w:val="BFADC382"/>
    <w:rsid w:val="BFBEC4AF"/>
    <w:rsid w:val="BFDB4BED"/>
    <w:rsid w:val="BFDB5B45"/>
    <w:rsid w:val="BFDFA7E3"/>
    <w:rsid w:val="BFE7F7CF"/>
    <w:rsid w:val="BFEC084B"/>
    <w:rsid w:val="BFEFB63A"/>
    <w:rsid w:val="BFF301ED"/>
    <w:rsid w:val="BFF56917"/>
    <w:rsid w:val="BFFA38C5"/>
    <w:rsid w:val="BFFA4AA0"/>
    <w:rsid w:val="BFFB6587"/>
    <w:rsid w:val="BFFB9EBF"/>
    <w:rsid w:val="BFFC8E10"/>
    <w:rsid w:val="BFFDA2DB"/>
    <w:rsid w:val="BFFE0D54"/>
    <w:rsid w:val="BFFF59E6"/>
    <w:rsid w:val="BFFF9452"/>
    <w:rsid w:val="BFFFA018"/>
    <w:rsid w:val="BFFFBAC6"/>
    <w:rsid w:val="BFFFD29B"/>
    <w:rsid w:val="BFFFF52A"/>
    <w:rsid w:val="C33F5A7A"/>
    <w:rsid w:val="C43D0B4F"/>
    <w:rsid w:val="C4EC09B7"/>
    <w:rsid w:val="C4F89301"/>
    <w:rsid w:val="C5FFA54A"/>
    <w:rsid w:val="C5FFDBFD"/>
    <w:rsid w:val="C697E3F7"/>
    <w:rsid w:val="C6A340D6"/>
    <w:rsid w:val="C6DDFD22"/>
    <w:rsid w:val="C6FE0A14"/>
    <w:rsid w:val="C7631F64"/>
    <w:rsid w:val="C79F230F"/>
    <w:rsid w:val="C7BEAA30"/>
    <w:rsid w:val="C9E741B5"/>
    <w:rsid w:val="CAFFD514"/>
    <w:rsid w:val="CB275A14"/>
    <w:rsid w:val="CB394184"/>
    <w:rsid w:val="CD1F954C"/>
    <w:rsid w:val="CDED9B40"/>
    <w:rsid w:val="CDEF5C55"/>
    <w:rsid w:val="CDEFF952"/>
    <w:rsid w:val="CDFEE651"/>
    <w:rsid w:val="CE38326B"/>
    <w:rsid w:val="CEEF5BCD"/>
    <w:rsid w:val="CF7F14C9"/>
    <w:rsid w:val="CF7F47B9"/>
    <w:rsid w:val="CFB5B2DF"/>
    <w:rsid w:val="CFC75E3B"/>
    <w:rsid w:val="CFDF069E"/>
    <w:rsid w:val="CFF71859"/>
    <w:rsid w:val="CFFBE000"/>
    <w:rsid w:val="CFFF610F"/>
    <w:rsid w:val="D09648EF"/>
    <w:rsid w:val="D1FF9F0A"/>
    <w:rsid w:val="D25FF602"/>
    <w:rsid w:val="D29D1435"/>
    <w:rsid w:val="D35B747F"/>
    <w:rsid w:val="D3BF7C8D"/>
    <w:rsid w:val="D3DF8A2A"/>
    <w:rsid w:val="D3FD679A"/>
    <w:rsid w:val="D5B1A9C2"/>
    <w:rsid w:val="D5B4BB58"/>
    <w:rsid w:val="D5BF8965"/>
    <w:rsid w:val="D5D3CD0C"/>
    <w:rsid w:val="D5DF669C"/>
    <w:rsid w:val="D5F32647"/>
    <w:rsid w:val="D6AF22B3"/>
    <w:rsid w:val="D6BD13A4"/>
    <w:rsid w:val="D6DE7A23"/>
    <w:rsid w:val="D6FE92A4"/>
    <w:rsid w:val="D6FF433C"/>
    <w:rsid w:val="D7AF6C40"/>
    <w:rsid w:val="D7B335E6"/>
    <w:rsid w:val="D7BEC6B0"/>
    <w:rsid w:val="D7CC0CC0"/>
    <w:rsid w:val="D7DF4436"/>
    <w:rsid w:val="D7E745DB"/>
    <w:rsid w:val="D7F26E10"/>
    <w:rsid w:val="D7F3EFD2"/>
    <w:rsid w:val="D7F7807B"/>
    <w:rsid w:val="D7FB4F72"/>
    <w:rsid w:val="D7FB522F"/>
    <w:rsid w:val="D7FEDC79"/>
    <w:rsid w:val="D8BF14FC"/>
    <w:rsid w:val="D8DFEBE0"/>
    <w:rsid w:val="D9599672"/>
    <w:rsid w:val="D99F3A07"/>
    <w:rsid w:val="D9B76B1F"/>
    <w:rsid w:val="D9D5267C"/>
    <w:rsid w:val="D9F7EE8F"/>
    <w:rsid w:val="DAFC1677"/>
    <w:rsid w:val="DB173E20"/>
    <w:rsid w:val="DB6D9001"/>
    <w:rsid w:val="DB7AF125"/>
    <w:rsid w:val="DBBF944E"/>
    <w:rsid w:val="DBCEBE77"/>
    <w:rsid w:val="DBE7100F"/>
    <w:rsid w:val="DBE75A30"/>
    <w:rsid w:val="DBEF92BC"/>
    <w:rsid w:val="DBF6C35D"/>
    <w:rsid w:val="DBFA0D81"/>
    <w:rsid w:val="DBFC7403"/>
    <w:rsid w:val="DBFC902E"/>
    <w:rsid w:val="DC7DB9F0"/>
    <w:rsid w:val="DCFF509B"/>
    <w:rsid w:val="DCFFFA17"/>
    <w:rsid w:val="DD173D32"/>
    <w:rsid w:val="DD5DC92C"/>
    <w:rsid w:val="DD7A35A6"/>
    <w:rsid w:val="DD7E723C"/>
    <w:rsid w:val="DDBDE8B8"/>
    <w:rsid w:val="DDBFA2E3"/>
    <w:rsid w:val="DDBFE4C5"/>
    <w:rsid w:val="DDCF2343"/>
    <w:rsid w:val="DDE6A685"/>
    <w:rsid w:val="DDEF76DC"/>
    <w:rsid w:val="DDF36A65"/>
    <w:rsid w:val="DDF7E577"/>
    <w:rsid w:val="DDFD20CA"/>
    <w:rsid w:val="DDFDC88C"/>
    <w:rsid w:val="DDFE18F5"/>
    <w:rsid w:val="DDFE7024"/>
    <w:rsid w:val="DE5F873E"/>
    <w:rsid w:val="DE75486B"/>
    <w:rsid w:val="DEAF8F07"/>
    <w:rsid w:val="DEDF0241"/>
    <w:rsid w:val="DEDF6EF9"/>
    <w:rsid w:val="DEF55B08"/>
    <w:rsid w:val="DEF910F9"/>
    <w:rsid w:val="DEFBFA45"/>
    <w:rsid w:val="DEFEF47A"/>
    <w:rsid w:val="DEFF6FF4"/>
    <w:rsid w:val="DEFF767E"/>
    <w:rsid w:val="DF3BD86C"/>
    <w:rsid w:val="DF5FE4BE"/>
    <w:rsid w:val="DF6DEEAC"/>
    <w:rsid w:val="DF75FC2E"/>
    <w:rsid w:val="DF778173"/>
    <w:rsid w:val="DF7B7161"/>
    <w:rsid w:val="DFA8F912"/>
    <w:rsid w:val="DFB7667E"/>
    <w:rsid w:val="DFBEFB53"/>
    <w:rsid w:val="DFBF2E45"/>
    <w:rsid w:val="DFBF3ACA"/>
    <w:rsid w:val="DFBF7308"/>
    <w:rsid w:val="DFBF9E2C"/>
    <w:rsid w:val="DFCF9F73"/>
    <w:rsid w:val="DFE9A8EC"/>
    <w:rsid w:val="DFED1303"/>
    <w:rsid w:val="DFEDFE79"/>
    <w:rsid w:val="DFEE483A"/>
    <w:rsid w:val="DFEF7FB8"/>
    <w:rsid w:val="DFF3F81B"/>
    <w:rsid w:val="DFF4FD5F"/>
    <w:rsid w:val="DFF7D0B5"/>
    <w:rsid w:val="DFF81985"/>
    <w:rsid w:val="DFFA6C4D"/>
    <w:rsid w:val="DFFB66C9"/>
    <w:rsid w:val="DFFC961C"/>
    <w:rsid w:val="DFFD2F78"/>
    <w:rsid w:val="DFFD3F8B"/>
    <w:rsid w:val="DFFE25FF"/>
    <w:rsid w:val="DFFE6B94"/>
    <w:rsid w:val="DFFE8BB2"/>
    <w:rsid w:val="DFFF0B78"/>
    <w:rsid w:val="DFFF428D"/>
    <w:rsid w:val="E00F2AC7"/>
    <w:rsid w:val="E27F8893"/>
    <w:rsid w:val="E33B571E"/>
    <w:rsid w:val="E3591B86"/>
    <w:rsid w:val="E38ED72D"/>
    <w:rsid w:val="E3FE0BAE"/>
    <w:rsid w:val="E4BC84C0"/>
    <w:rsid w:val="E4FC20DF"/>
    <w:rsid w:val="E5E3D891"/>
    <w:rsid w:val="E5F839B1"/>
    <w:rsid w:val="E5FD02E1"/>
    <w:rsid w:val="E5FE63C8"/>
    <w:rsid w:val="E5FFD886"/>
    <w:rsid w:val="E66F38DA"/>
    <w:rsid w:val="E73D3DDB"/>
    <w:rsid w:val="E763D46D"/>
    <w:rsid w:val="E77B4E6F"/>
    <w:rsid w:val="E77D1B06"/>
    <w:rsid w:val="E77E603B"/>
    <w:rsid w:val="E79FB05C"/>
    <w:rsid w:val="E7BA6CA8"/>
    <w:rsid w:val="E7BED751"/>
    <w:rsid w:val="E7BF71C1"/>
    <w:rsid w:val="E7D57FEF"/>
    <w:rsid w:val="E7F38346"/>
    <w:rsid w:val="E7F63F12"/>
    <w:rsid w:val="E7F6DEB9"/>
    <w:rsid w:val="E7F9E2F3"/>
    <w:rsid w:val="E7FB456A"/>
    <w:rsid w:val="E7FDB9DC"/>
    <w:rsid w:val="E8B93C39"/>
    <w:rsid w:val="E8FF5FF2"/>
    <w:rsid w:val="E9F92AD7"/>
    <w:rsid w:val="EAD7DE42"/>
    <w:rsid w:val="EAF7D41B"/>
    <w:rsid w:val="EB3A8528"/>
    <w:rsid w:val="EB7BC2D4"/>
    <w:rsid w:val="EB9D80E3"/>
    <w:rsid w:val="EBBC41BD"/>
    <w:rsid w:val="EBBF6F2B"/>
    <w:rsid w:val="EBCE4049"/>
    <w:rsid w:val="EBD56CE4"/>
    <w:rsid w:val="EBD73EB0"/>
    <w:rsid w:val="EBDF228E"/>
    <w:rsid w:val="EBFA7E3F"/>
    <w:rsid w:val="EBFBE184"/>
    <w:rsid w:val="EBFE7508"/>
    <w:rsid w:val="ECBF37AD"/>
    <w:rsid w:val="ECDE84B4"/>
    <w:rsid w:val="ECFCB896"/>
    <w:rsid w:val="ED77E0CD"/>
    <w:rsid w:val="ED7D8FE1"/>
    <w:rsid w:val="ED8FB2DD"/>
    <w:rsid w:val="EDBF836F"/>
    <w:rsid w:val="EDC51670"/>
    <w:rsid w:val="EDC5D628"/>
    <w:rsid w:val="EDEE92E1"/>
    <w:rsid w:val="EDEF06A6"/>
    <w:rsid w:val="EDF7BA4A"/>
    <w:rsid w:val="EDFD111B"/>
    <w:rsid w:val="EDFF3B69"/>
    <w:rsid w:val="EDFF5197"/>
    <w:rsid w:val="EDFFC86B"/>
    <w:rsid w:val="EE1BE2F7"/>
    <w:rsid w:val="EE1D6850"/>
    <w:rsid w:val="EE7F229C"/>
    <w:rsid w:val="EE7F5D8B"/>
    <w:rsid w:val="EE9F76AD"/>
    <w:rsid w:val="EEB47839"/>
    <w:rsid w:val="EEB9BB4E"/>
    <w:rsid w:val="EEBE6983"/>
    <w:rsid w:val="EEBFA274"/>
    <w:rsid w:val="EED7615A"/>
    <w:rsid w:val="EEECD111"/>
    <w:rsid w:val="EEEF3AE1"/>
    <w:rsid w:val="EEEFADEC"/>
    <w:rsid w:val="EEF7F742"/>
    <w:rsid w:val="EEFBF8BE"/>
    <w:rsid w:val="EEFBF8D3"/>
    <w:rsid w:val="EEFCA7EA"/>
    <w:rsid w:val="EEFF7B28"/>
    <w:rsid w:val="EEFFC496"/>
    <w:rsid w:val="EF2AA12B"/>
    <w:rsid w:val="EF2D2DC9"/>
    <w:rsid w:val="EF3BAB42"/>
    <w:rsid w:val="EF4FB6F4"/>
    <w:rsid w:val="EF5F9EC0"/>
    <w:rsid w:val="EF6F7515"/>
    <w:rsid w:val="EF788469"/>
    <w:rsid w:val="EF7B8C65"/>
    <w:rsid w:val="EF7FAA9C"/>
    <w:rsid w:val="EF8A4AB8"/>
    <w:rsid w:val="EF9DACE4"/>
    <w:rsid w:val="EFBAA021"/>
    <w:rsid w:val="EFBAD0FB"/>
    <w:rsid w:val="EFBB7EDA"/>
    <w:rsid w:val="EFBBE6F9"/>
    <w:rsid w:val="EFBF6603"/>
    <w:rsid w:val="EFCFC065"/>
    <w:rsid w:val="EFD7ADEA"/>
    <w:rsid w:val="EFDF0C88"/>
    <w:rsid w:val="EFDF493A"/>
    <w:rsid w:val="EFDFF252"/>
    <w:rsid w:val="EFE7594D"/>
    <w:rsid w:val="EFF5BE58"/>
    <w:rsid w:val="EFF6899D"/>
    <w:rsid w:val="EFF718CA"/>
    <w:rsid w:val="EFF96170"/>
    <w:rsid w:val="EFFFCD2D"/>
    <w:rsid w:val="EFFFE6D6"/>
    <w:rsid w:val="F0FFEE6F"/>
    <w:rsid w:val="F1BE64C3"/>
    <w:rsid w:val="F1DD73C4"/>
    <w:rsid w:val="F1F1D50D"/>
    <w:rsid w:val="F1FD5AE6"/>
    <w:rsid w:val="F27DA157"/>
    <w:rsid w:val="F2EA018D"/>
    <w:rsid w:val="F33EF6A9"/>
    <w:rsid w:val="F3489BB9"/>
    <w:rsid w:val="F3C138B6"/>
    <w:rsid w:val="F3E70E15"/>
    <w:rsid w:val="F3F3C839"/>
    <w:rsid w:val="F3F45D0A"/>
    <w:rsid w:val="F3F526D4"/>
    <w:rsid w:val="F3F71BC3"/>
    <w:rsid w:val="F3FBACDD"/>
    <w:rsid w:val="F3FF3AAC"/>
    <w:rsid w:val="F3FFF175"/>
    <w:rsid w:val="F4377621"/>
    <w:rsid w:val="F4F3469E"/>
    <w:rsid w:val="F55D00EE"/>
    <w:rsid w:val="F57C4344"/>
    <w:rsid w:val="F57FB570"/>
    <w:rsid w:val="F57FCD37"/>
    <w:rsid w:val="F598FE02"/>
    <w:rsid w:val="F59DAC8F"/>
    <w:rsid w:val="F5BA2AE2"/>
    <w:rsid w:val="F5BD42AD"/>
    <w:rsid w:val="F5BEEB24"/>
    <w:rsid w:val="F5BFFB3E"/>
    <w:rsid w:val="F5CBC11D"/>
    <w:rsid w:val="F5ED6E13"/>
    <w:rsid w:val="F5ED86AA"/>
    <w:rsid w:val="F5F9FAB2"/>
    <w:rsid w:val="F5FDA8D2"/>
    <w:rsid w:val="F5FF46CE"/>
    <w:rsid w:val="F5FFC231"/>
    <w:rsid w:val="F5FFD7EB"/>
    <w:rsid w:val="F61B830F"/>
    <w:rsid w:val="F65F471F"/>
    <w:rsid w:val="F66BAE21"/>
    <w:rsid w:val="F6734E9F"/>
    <w:rsid w:val="F695C74F"/>
    <w:rsid w:val="F6A1402D"/>
    <w:rsid w:val="F6BF4C2F"/>
    <w:rsid w:val="F6D670C9"/>
    <w:rsid w:val="F6DF7CA8"/>
    <w:rsid w:val="F6F7630D"/>
    <w:rsid w:val="F6FB49FD"/>
    <w:rsid w:val="F6FF3535"/>
    <w:rsid w:val="F6FF8826"/>
    <w:rsid w:val="F70D28E6"/>
    <w:rsid w:val="F717799B"/>
    <w:rsid w:val="F73F5DBB"/>
    <w:rsid w:val="F75D1F8F"/>
    <w:rsid w:val="F77BE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4880FA"/>
  <w15:docId w15:val="{2C419AE8-DD32-45D4-8162-E0D4C5259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autoRedefine/>
    <w:qFormat/>
    <w:pPr>
      <w:widowControl w:val="0"/>
      <w:spacing w:line="360" w:lineRule="auto"/>
      <w:ind w:firstLineChars="200" w:firstLine="480"/>
    </w:pPr>
    <w:rPr>
      <w:rFonts w:eastAsia="Times New Roman" w:cstheme="minorBidi"/>
      <w:kern w:val="2"/>
      <w:sz w:val="24"/>
      <w:szCs w:val="22"/>
    </w:rPr>
  </w:style>
  <w:style w:type="paragraph" w:styleId="1">
    <w:name w:val="heading 1"/>
    <w:basedOn w:val="a"/>
    <w:next w:val="a"/>
    <w:link w:val="10"/>
    <w:autoRedefine/>
    <w:uiPriority w:val="9"/>
    <w:qFormat/>
    <w:pPr>
      <w:keepNext/>
      <w:keepLines/>
      <w:spacing w:before="340" w:after="330" w:line="579" w:lineRule="auto"/>
      <w:ind w:firstLineChars="0" w:firstLine="0"/>
      <w:outlineLvl w:val="0"/>
    </w:pPr>
    <w:rPr>
      <w:b/>
      <w:bCs/>
      <w:kern w:val="44"/>
      <w:sz w:val="28"/>
      <w:szCs w:val="44"/>
    </w:rPr>
  </w:style>
  <w:style w:type="paragraph" w:styleId="2">
    <w:name w:val="heading 2"/>
    <w:basedOn w:val="a"/>
    <w:next w:val="a"/>
    <w:link w:val="20"/>
    <w:autoRedefine/>
    <w:uiPriority w:val="9"/>
    <w:unhideWhenUsed/>
    <w:qFormat/>
    <w:pPr>
      <w:keepNext/>
      <w:keepLines/>
      <w:spacing w:before="260" w:after="260" w:line="416" w:lineRule="auto"/>
      <w:ind w:firstLineChars="0" w:firstLine="0"/>
      <w:outlineLvl w:val="1"/>
    </w:pPr>
    <w:rPr>
      <w:rFonts w:cstheme="majorBidi"/>
      <w:b/>
      <w:bCs/>
      <w:szCs w:val="32"/>
    </w:rPr>
  </w:style>
  <w:style w:type="paragraph" w:styleId="3">
    <w:name w:val="heading 3"/>
    <w:basedOn w:val="a"/>
    <w:next w:val="a"/>
    <w:link w:val="30"/>
    <w:autoRedefine/>
    <w:uiPriority w:val="9"/>
    <w:unhideWhenUsed/>
    <w:qFormat/>
    <w:pPr>
      <w:keepNext/>
      <w:keepLines/>
      <w:spacing w:before="260" w:after="260" w:line="416" w:lineRule="auto"/>
      <w:ind w:firstLineChars="0" w:firstLine="0"/>
      <w:outlineLvl w:val="2"/>
    </w:pPr>
    <w:rPr>
      <w:b/>
      <w:bCs/>
      <w:i/>
      <w:szCs w:val="32"/>
    </w:rPr>
  </w:style>
  <w:style w:type="paragraph" w:styleId="4">
    <w:name w:val="heading 4"/>
    <w:basedOn w:val="a"/>
    <w:next w:val="a"/>
    <w:autoRedefine/>
    <w:uiPriority w:val="9"/>
    <w:unhideWhenUsed/>
    <w:qFormat/>
    <w:pPr>
      <w:keepNext/>
      <w:keepLines/>
      <w:spacing w:before="280" w:after="290" w:line="372" w:lineRule="auto"/>
      <w:outlineLvl w:val="3"/>
    </w:pPr>
    <w:rPr>
      <w:rFonts w:ascii="Arial" w:eastAsia="黑体" w:hAnsi="Arial"/>
      <w:b/>
      <w:sz w:val="2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pPr>
      <w:spacing w:after="120"/>
      <w:ind w:leftChars="200" w:left="420"/>
    </w:pPr>
  </w:style>
  <w:style w:type="paragraph" w:styleId="a4">
    <w:name w:val="annotation text"/>
    <w:basedOn w:val="a"/>
    <w:link w:val="a5"/>
    <w:autoRedefine/>
    <w:uiPriority w:val="99"/>
    <w:semiHidden/>
    <w:unhideWhenUsed/>
    <w:qFormat/>
    <w:pPr>
      <w:widowControl/>
    </w:pPr>
    <w:rPr>
      <w:rFonts w:ascii="宋体" w:eastAsia="宋体" w:hAnsi="宋体" w:cs="Times New Roman" w:hint="eastAsia"/>
      <w:kern w:val="0"/>
      <w:szCs w:val="24"/>
    </w:rPr>
  </w:style>
  <w:style w:type="paragraph" w:styleId="a6">
    <w:name w:val="footer"/>
    <w:basedOn w:val="a"/>
    <w:link w:val="a7"/>
    <w:autoRedefine/>
    <w:uiPriority w:val="99"/>
    <w:unhideWhenUsed/>
    <w:qFormat/>
    <w:pPr>
      <w:tabs>
        <w:tab w:val="center" w:pos="4153"/>
        <w:tab w:val="right" w:pos="8306"/>
      </w:tabs>
      <w:snapToGrid w:val="0"/>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autoRedefine/>
    <w:uiPriority w:val="99"/>
    <w:unhideWhenUsed/>
    <w:qFormat/>
    <w:pPr>
      <w:spacing w:beforeAutospacing="1" w:afterAutospacing="1"/>
    </w:pPr>
    <w:rPr>
      <w:rFonts w:cs="Times New Roman"/>
      <w:kern w:val="0"/>
    </w:rPr>
  </w:style>
  <w:style w:type="paragraph" w:styleId="ab">
    <w:name w:val="Title"/>
    <w:basedOn w:val="a"/>
    <w:next w:val="a"/>
    <w:link w:val="ac"/>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d">
    <w:name w:val="annotation subject"/>
    <w:basedOn w:val="a4"/>
    <w:next w:val="a4"/>
    <w:link w:val="ae"/>
    <w:autoRedefine/>
    <w:uiPriority w:val="99"/>
    <w:semiHidden/>
    <w:unhideWhenUsed/>
    <w:qFormat/>
    <w:pPr>
      <w:widowControl w:val="0"/>
    </w:pPr>
    <w:rPr>
      <w:rFonts w:ascii="Times New Roman" w:eastAsia="Times New Roman" w:hAnsi="Times New Roman" w:cstheme="minorBidi" w:hint="default"/>
      <w:b/>
      <w:bCs/>
      <w:kern w:val="2"/>
      <w:szCs w:val="22"/>
    </w:rPr>
  </w:style>
  <w:style w:type="table" w:styleId="af">
    <w:name w:val="Table Grid"/>
    <w:basedOn w:val="a2"/>
    <w:autoRedefine/>
    <w:uiPriority w:val="39"/>
    <w:qFormat/>
    <w:rPr>
      <w:rFonts w:hint="eastAs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styleId="af0">
    <w:name w:val="Strong"/>
    <w:basedOn w:val="a1"/>
    <w:autoRedefine/>
    <w:uiPriority w:val="22"/>
    <w:qFormat/>
    <w:rPr>
      <w:b/>
    </w:rPr>
  </w:style>
  <w:style w:type="character" w:styleId="af1">
    <w:name w:val="FollowedHyperlink"/>
    <w:basedOn w:val="a1"/>
    <w:autoRedefine/>
    <w:uiPriority w:val="99"/>
    <w:semiHidden/>
    <w:unhideWhenUsed/>
    <w:qFormat/>
    <w:rPr>
      <w:color w:val="954F72"/>
      <w:u w:val="single"/>
    </w:rPr>
  </w:style>
  <w:style w:type="character" w:styleId="af2">
    <w:name w:val="Hyperlink"/>
    <w:basedOn w:val="a1"/>
    <w:autoRedefine/>
    <w:uiPriority w:val="99"/>
    <w:unhideWhenUsed/>
    <w:qFormat/>
    <w:rPr>
      <w:color w:val="0563C1"/>
      <w:u w:val="single"/>
    </w:rPr>
  </w:style>
  <w:style w:type="character" w:styleId="af3">
    <w:name w:val="annotation reference"/>
    <w:basedOn w:val="a1"/>
    <w:autoRedefine/>
    <w:uiPriority w:val="99"/>
    <w:semiHidden/>
    <w:unhideWhenUsed/>
    <w:qFormat/>
    <w:rPr>
      <w:sz w:val="21"/>
      <w:szCs w:val="21"/>
    </w:rPr>
  </w:style>
  <w:style w:type="character" w:customStyle="1" w:styleId="10">
    <w:name w:val="标题 1 字符"/>
    <w:basedOn w:val="a1"/>
    <w:link w:val="1"/>
    <w:autoRedefine/>
    <w:uiPriority w:val="9"/>
    <w:qFormat/>
    <w:rPr>
      <w:rFonts w:ascii="Times New Roman" w:eastAsia="Times New Roman" w:hAnsi="Times New Roman"/>
      <w:b/>
      <w:bCs/>
      <w:kern w:val="44"/>
      <w:sz w:val="28"/>
      <w:szCs w:val="44"/>
    </w:rPr>
  </w:style>
  <w:style w:type="character" w:customStyle="1" w:styleId="20">
    <w:name w:val="标题 2 字符"/>
    <w:basedOn w:val="a1"/>
    <w:link w:val="2"/>
    <w:autoRedefine/>
    <w:uiPriority w:val="9"/>
    <w:qFormat/>
    <w:rPr>
      <w:rFonts w:ascii="Times New Roman" w:eastAsia="Times New Roman" w:hAnsi="Times New Roman" w:cstheme="majorBidi"/>
      <w:b/>
      <w:bCs/>
      <w:sz w:val="24"/>
      <w:szCs w:val="32"/>
    </w:rPr>
  </w:style>
  <w:style w:type="character" w:customStyle="1" w:styleId="30">
    <w:name w:val="标题 3 字符"/>
    <w:basedOn w:val="a1"/>
    <w:link w:val="3"/>
    <w:uiPriority w:val="9"/>
    <w:qFormat/>
    <w:rPr>
      <w:rFonts w:ascii="Times New Roman" w:eastAsia="Times New Roman" w:hAnsi="Times New Roman"/>
      <w:b/>
      <w:bCs/>
      <w:i/>
      <w:sz w:val="24"/>
      <w:szCs w:val="32"/>
    </w:rPr>
  </w:style>
  <w:style w:type="character" w:customStyle="1" w:styleId="a9">
    <w:name w:val="页眉 字符"/>
    <w:basedOn w:val="a1"/>
    <w:link w:val="a8"/>
    <w:autoRedefine/>
    <w:uiPriority w:val="99"/>
    <w:qFormat/>
    <w:rPr>
      <w:sz w:val="18"/>
      <w:szCs w:val="18"/>
    </w:rPr>
  </w:style>
  <w:style w:type="character" w:customStyle="1" w:styleId="a7">
    <w:name w:val="页脚 字符"/>
    <w:basedOn w:val="a1"/>
    <w:link w:val="a6"/>
    <w:autoRedefine/>
    <w:uiPriority w:val="99"/>
    <w:qFormat/>
    <w:rPr>
      <w:sz w:val="18"/>
      <w:szCs w:val="18"/>
    </w:rPr>
  </w:style>
  <w:style w:type="paragraph" w:customStyle="1" w:styleId="11">
    <w:name w:val="列表段落1"/>
    <w:basedOn w:val="a"/>
    <w:autoRedefine/>
    <w:uiPriority w:val="34"/>
    <w:qFormat/>
    <w:pPr>
      <w:ind w:firstLine="420"/>
    </w:pPr>
  </w:style>
  <w:style w:type="paragraph" w:customStyle="1" w:styleId="12">
    <w:name w:val="1正文"/>
    <w:basedOn w:val="a"/>
    <w:autoRedefine/>
    <w:qFormat/>
    <w:pPr>
      <w:autoSpaceDE w:val="0"/>
      <w:autoSpaceDN w:val="0"/>
      <w:adjustRightInd w:val="0"/>
    </w:pPr>
    <w:rPr>
      <w:rFonts w:eastAsia="等线" w:cs="Times New Roman"/>
      <w:color w:val="000000"/>
      <w:szCs w:val="21"/>
    </w:rPr>
  </w:style>
  <w:style w:type="paragraph" w:customStyle="1" w:styleId="21">
    <w:name w:val="列表段落2"/>
    <w:basedOn w:val="a"/>
    <w:autoRedefine/>
    <w:qFormat/>
    <w:pPr>
      <w:ind w:firstLine="420"/>
    </w:pPr>
    <w:rPr>
      <w:rFonts w:ascii="等线" w:eastAsia="等线" w:hAnsi="等线" w:cs="Times New Roman"/>
      <w:szCs w:val="21"/>
    </w:rPr>
  </w:style>
  <w:style w:type="character" w:customStyle="1" w:styleId="15">
    <w:name w:val="15"/>
    <w:basedOn w:val="a1"/>
    <w:autoRedefine/>
    <w:qFormat/>
    <w:rPr>
      <w:rFonts w:ascii="Times New Roman" w:hAnsi="Times New Roman" w:cs="Times New Roman" w:hint="default"/>
      <w:color w:val="000000"/>
    </w:rPr>
  </w:style>
  <w:style w:type="paragraph" w:customStyle="1" w:styleId="1111">
    <w:name w:val="1.1.1.1"/>
    <w:basedOn w:val="a"/>
    <w:autoRedefine/>
    <w:qFormat/>
    <w:pPr>
      <w:keepNext/>
      <w:keepLines/>
      <w:autoSpaceDE w:val="0"/>
      <w:autoSpaceDN w:val="0"/>
      <w:adjustRightInd w:val="0"/>
      <w:ind w:firstLine="200"/>
      <w:outlineLvl w:val="3"/>
    </w:pPr>
    <w:rPr>
      <w:rFonts w:ascii="等线" w:eastAsia="等线" w:hAnsi="等线" w:cs="Times New Roman"/>
      <w:b/>
      <w:bCs/>
      <w:szCs w:val="21"/>
    </w:rPr>
  </w:style>
  <w:style w:type="character" w:customStyle="1" w:styleId="13">
    <w:name w:val="1正文 字符"/>
    <w:basedOn w:val="a1"/>
    <w:autoRedefine/>
    <w:qFormat/>
    <w:rPr>
      <w:rFonts w:ascii="宋体" w:eastAsia="宋体" w:hAnsi="宋体" w:cs="宋体" w:hint="eastAsia"/>
      <w:color w:val="000000"/>
      <w:sz w:val="24"/>
      <w:szCs w:val="24"/>
    </w:rPr>
  </w:style>
  <w:style w:type="character" w:customStyle="1" w:styleId="a5">
    <w:name w:val="批注文字 字符"/>
    <w:basedOn w:val="a1"/>
    <w:link w:val="a4"/>
    <w:autoRedefine/>
    <w:qFormat/>
    <w:rPr>
      <w:rFonts w:ascii="宋体" w:eastAsia="宋体" w:hAnsi="宋体" w:cs="宋体" w:hint="eastAsia"/>
      <w:sz w:val="24"/>
      <w:szCs w:val="24"/>
    </w:rPr>
  </w:style>
  <w:style w:type="character" w:customStyle="1" w:styleId="31">
    <w:name w:val="标题 3 字符1"/>
    <w:basedOn w:val="a1"/>
    <w:autoRedefine/>
    <w:qFormat/>
    <w:rPr>
      <w:rFonts w:ascii="宋体" w:eastAsia="黑体" w:hAnsi="宋体" w:cs="宋体" w:hint="eastAsia"/>
      <w:b/>
      <w:bCs/>
      <w:sz w:val="24"/>
      <w:szCs w:val="32"/>
    </w:rPr>
  </w:style>
  <w:style w:type="character" w:customStyle="1" w:styleId="100">
    <w:name w:val="10"/>
    <w:basedOn w:val="a1"/>
    <w:autoRedefine/>
    <w:qFormat/>
    <w:rPr>
      <w:rFonts w:ascii="Times New Roman" w:hAnsi="Times New Roman" w:cs="Times New Roman" w:hint="default"/>
    </w:rPr>
  </w:style>
  <w:style w:type="character" w:customStyle="1" w:styleId="Char">
    <w:name w:val="正文 Char"/>
    <w:autoRedefine/>
    <w:qFormat/>
    <w:rPr>
      <w:rFonts w:asciiTheme="minorHAnsi" w:eastAsiaTheme="minorEastAsia" w:hAnsiTheme="minorHAnsi" w:cstheme="minorBidi"/>
      <w:kern w:val="2"/>
      <w:sz w:val="21"/>
      <w:szCs w:val="22"/>
      <w:lang w:val="en-US" w:eastAsia="zh-CN" w:bidi="ar-SA"/>
    </w:rPr>
  </w:style>
  <w:style w:type="paragraph" w:customStyle="1" w:styleId="14">
    <w:name w:val="修订1"/>
    <w:autoRedefine/>
    <w:hidden/>
    <w:uiPriority w:val="99"/>
    <w:semiHidden/>
    <w:qFormat/>
    <w:rPr>
      <w:rFonts w:asciiTheme="minorHAnsi" w:eastAsiaTheme="minorEastAsia" w:hAnsiTheme="minorHAnsi" w:cstheme="minorBidi"/>
      <w:kern w:val="2"/>
      <w:sz w:val="21"/>
      <w:szCs w:val="22"/>
    </w:rPr>
  </w:style>
  <w:style w:type="paragraph" w:customStyle="1" w:styleId="EndNoteBibliographyTitle">
    <w:name w:val="EndNote Bibliography Title"/>
    <w:basedOn w:val="a"/>
    <w:link w:val="EndNoteBibliographyTitle0"/>
    <w:autoRedefine/>
    <w:qFormat/>
    <w:pPr>
      <w:jc w:val="center"/>
    </w:pPr>
    <w:rPr>
      <w:rFonts w:ascii="等线" w:eastAsia="等线" w:hAnsi="等线"/>
      <w:sz w:val="20"/>
    </w:rPr>
  </w:style>
  <w:style w:type="character" w:customStyle="1" w:styleId="EndNoteBibliographyTitle0">
    <w:name w:val="EndNote Bibliography Title 字符"/>
    <w:basedOn w:val="a1"/>
    <w:link w:val="EndNoteBibliographyTitle"/>
    <w:autoRedefine/>
    <w:qFormat/>
    <w:rPr>
      <w:rFonts w:ascii="等线" w:eastAsia="等线" w:hAnsi="等线" w:cstheme="minorBidi"/>
      <w:kern w:val="2"/>
      <w:szCs w:val="22"/>
    </w:rPr>
  </w:style>
  <w:style w:type="paragraph" w:customStyle="1" w:styleId="EndNoteBibliography">
    <w:name w:val="EndNote Bibliography"/>
    <w:basedOn w:val="a"/>
    <w:link w:val="EndNoteBibliography0"/>
    <w:autoRedefine/>
    <w:qFormat/>
    <w:pPr>
      <w:spacing w:line="240" w:lineRule="auto"/>
    </w:pPr>
    <w:rPr>
      <w:rFonts w:ascii="等线" w:eastAsia="等线" w:hAnsi="等线"/>
      <w:sz w:val="20"/>
    </w:rPr>
  </w:style>
  <w:style w:type="character" w:customStyle="1" w:styleId="EndNoteBibliography0">
    <w:name w:val="EndNote Bibliography 字符"/>
    <w:basedOn w:val="a1"/>
    <w:link w:val="EndNoteBibliography"/>
    <w:autoRedefine/>
    <w:qFormat/>
    <w:rPr>
      <w:rFonts w:ascii="等线" w:eastAsia="等线" w:hAnsi="等线" w:cstheme="minorBidi"/>
      <w:kern w:val="2"/>
      <w:szCs w:val="22"/>
    </w:rPr>
  </w:style>
  <w:style w:type="character" w:customStyle="1" w:styleId="16">
    <w:name w:val="未处理的提及1"/>
    <w:basedOn w:val="a1"/>
    <w:autoRedefine/>
    <w:uiPriority w:val="99"/>
    <w:semiHidden/>
    <w:unhideWhenUsed/>
    <w:qFormat/>
    <w:rPr>
      <w:color w:val="605E5C"/>
      <w:shd w:val="clear" w:color="auto" w:fill="E1DFDD"/>
    </w:rPr>
  </w:style>
  <w:style w:type="character" w:customStyle="1" w:styleId="fontstyle01">
    <w:name w:val="fontstyle01"/>
    <w:basedOn w:val="a1"/>
    <w:autoRedefine/>
    <w:qFormat/>
    <w:rPr>
      <w:rFonts w:ascii="AdvOT596495f2" w:eastAsia="AdvOT596495f2" w:hAnsi="AdvOT596495f2" w:cs="AdvOT596495f2"/>
      <w:color w:val="000000"/>
      <w:sz w:val="16"/>
      <w:szCs w:val="16"/>
    </w:rPr>
  </w:style>
  <w:style w:type="table" w:customStyle="1" w:styleId="17">
    <w:name w:val="网格型1"/>
    <w:basedOn w:val="a2"/>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customStyle="1" w:styleId="22">
    <w:name w:val="修订2"/>
    <w:autoRedefine/>
    <w:hidden/>
    <w:uiPriority w:val="99"/>
    <w:semiHidden/>
    <w:qFormat/>
    <w:rPr>
      <w:rFonts w:eastAsia="Times New Roman" w:cstheme="minorBidi"/>
      <w:kern w:val="2"/>
      <w:sz w:val="24"/>
      <w:szCs w:val="22"/>
    </w:rPr>
  </w:style>
  <w:style w:type="character" w:customStyle="1" w:styleId="ae">
    <w:name w:val="批注主题 字符"/>
    <w:basedOn w:val="a5"/>
    <w:link w:val="ad"/>
    <w:autoRedefine/>
    <w:uiPriority w:val="99"/>
    <w:semiHidden/>
    <w:qFormat/>
    <w:rPr>
      <w:rFonts w:ascii="Times New Roman" w:eastAsia="Times New Roman" w:hAnsi="Times New Roman" w:cstheme="minorBidi" w:hint="eastAsia"/>
      <w:b/>
      <w:bCs/>
      <w:kern w:val="2"/>
      <w:sz w:val="24"/>
      <w:szCs w:val="22"/>
    </w:rPr>
  </w:style>
  <w:style w:type="character" w:customStyle="1" w:styleId="Char1">
    <w:name w:val="正文 Char1"/>
    <w:autoRedefine/>
    <w:qFormat/>
    <w:rPr>
      <w:rFonts w:ascii="Times New Roman" w:eastAsia="Times New Roman" w:hAnsi="Times New Roman" w:cstheme="minorBidi"/>
      <w:kern w:val="2"/>
      <w:sz w:val="24"/>
      <w:szCs w:val="22"/>
      <w:lang w:val="en-US" w:eastAsia="zh-CN" w:bidi="ar-SA"/>
    </w:rPr>
  </w:style>
  <w:style w:type="character" w:customStyle="1" w:styleId="fontstyle11">
    <w:name w:val="fontstyle11"/>
    <w:basedOn w:val="a1"/>
    <w:autoRedefine/>
    <w:qFormat/>
    <w:rPr>
      <w:rFonts w:ascii="AdvTT7b515deb + fb" w:eastAsia="AdvTT7b515deb + fb" w:hAnsi="AdvTT7b515deb + fb" w:cs="AdvTT7b515deb + fb"/>
      <w:color w:val="000000"/>
      <w:sz w:val="20"/>
      <w:szCs w:val="20"/>
    </w:rPr>
  </w:style>
  <w:style w:type="character" w:customStyle="1" w:styleId="fontstyle21">
    <w:name w:val="fontstyle21"/>
    <w:basedOn w:val="a1"/>
    <w:autoRedefine/>
    <w:qFormat/>
    <w:rPr>
      <w:rFonts w:ascii="RlmqnnAdvTT86d47313 + 20" w:eastAsia="RlmqnnAdvTT86d47313 + 20" w:hAnsi="RlmqnnAdvTT86d47313 + 20" w:cs="RlmqnnAdvTT86d47313 + 20"/>
      <w:color w:val="131413"/>
      <w:sz w:val="20"/>
      <w:szCs w:val="20"/>
    </w:rPr>
  </w:style>
  <w:style w:type="paragraph" w:customStyle="1" w:styleId="32">
    <w:name w:val="修订3"/>
    <w:autoRedefine/>
    <w:hidden/>
    <w:uiPriority w:val="99"/>
    <w:semiHidden/>
    <w:qFormat/>
    <w:rPr>
      <w:rFonts w:eastAsia="Times New Roman" w:cstheme="minorBidi"/>
      <w:kern w:val="2"/>
      <w:sz w:val="24"/>
      <w:szCs w:val="22"/>
    </w:rPr>
  </w:style>
  <w:style w:type="character" w:customStyle="1" w:styleId="23">
    <w:name w:val="未处理的提及2"/>
    <w:basedOn w:val="a1"/>
    <w:autoRedefine/>
    <w:uiPriority w:val="99"/>
    <w:semiHidden/>
    <w:unhideWhenUsed/>
    <w:qFormat/>
    <w:rPr>
      <w:color w:val="605E5C"/>
      <w:shd w:val="clear" w:color="auto" w:fill="E1DFDD"/>
    </w:rPr>
  </w:style>
  <w:style w:type="character" w:customStyle="1" w:styleId="Char2">
    <w:name w:val="正文 Char2"/>
    <w:autoRedefine/>
    <w:qFormat/>
    <w:rPr>
      <w:rFonts w:ascii="Times New Roman" w:eastAsia="Times New Roman" w:hAnsi="Times New Roman" w:cstheme="minorBidi"/>
      <w:kern w:val="2"/>
      <w:sz w:val="24"/>
      <w:szCs w:val="22"/>
      <w:lang w:val="en-US" w:eastAsia="zh-CN" w:bidi="ar-SA"/>
    </w:rPr>
  </w:style>
  <w:style w:type="paragraph" w:customStyle="1" w:styleId="SupplementaryMaterial">
    <w:name w:val="Supplementary Material"/>
    <w:basedOn w:val="ab"/>
    <w:next w:val="ab"/>
    <w:autoRedefine/>
    <w:qFormat/>
    <w:pPr>
      <w:widowControl/>
      <w:suppressLineNumbers/>
      <w:spacing w:after="120" w:line="240" w:lineRule="auto"/>
      <w:ind w:firstLineChars="0" w:firstLine="0"/>
      <w:outlineLvl w:val="9"/>
    </w:pPr>
    <w:rPr>
      <w:rFonts w:ascii="Times New Roman" w:eastAsiaTheme="minorEastAsia" w:hAnsi="Times New Roman" w:cs="Times New Roman"/>
      <w:bCs w:val="0"/>
      <w:i/>
      <w:kern w:val="0"/>
      <w:lang w:eastAsia="en-US"/>
    </w:rPr>
  </w:style>
  <w:style w:type="character" w:customStyle="1" w:styleId="ac">
    <w:name w:val="标题 字符"/>
    <w:basedOn w:val="a1"/>
    <w:link w:val="ab"/>
    <w:autoRedefine/>
    <w:uiPriority w:val="10"/>
    <w:qFormat/>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5DCFE-1201-4E0C-85E1-E64BAD580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3414</Words>
  <Characters>19465</Characters>
  <Application>Microsoft Office Word</Application>
  <DocSecurity>0</DocSecurity>
  <Lines>162</Lines>
  <Paragraphs>45</Paragraphs>
  <ScaleCrop>false</ScaleCrop>
  <Company/>
  <LinksUpToDate>false</LinksUpToDate>
  <CharactersWithSpaces>22834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 jiao</dc:creator>
  <cp:lastModifiedBy>jiao yang</cp:lastModifiedBy>
  <cp:revision>8</cp:revision>
  <dcterms:created xsi:type="dcterms:W3CDTF">2023-01-13T09:49:00Z</dcterms:created>
  <dcterms:modified xsi:type="dcterms:W3CDTF">2025-09-08T04:50:00Z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FEA53CC127343E8219E53F63773D1158</vt:lpwstr>
  </property>
  <property fmtid="{D5CDD505-2E9C-101B-9397-08002B2CF9AE}" pid="4" name="KSOTemplateDocerSaveRecord">
    <vt:lpwstr>eyJoZGlkIjoiOGQ3ZGU1YTU5MDJlODAzZDg1M2M0NzA5MjgyMTI4ZGMiLCJ1c2VySWQiOiI2MDI3NDg3MzUifQ==</vt:lpwstr>
  </property>
</Properties>
</file>