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Table 1</w:t>
      </w:r>
      <w:r>
        <w:rPr>
          <w:rFonts w:ascii="Times New Roman" w:hAnsi="Times New Roman" w:cs="Times New Roman"/>
        </w:rPr>
        <w:t xml:space="preserve"> Kappa value of the CEUS features assessment and CEUS LI-RADS classification between the two radiologists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8"/>
        <w:gridCol w:w="414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414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kappa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Arterial hyperenhancement</w:t>
            </w:r>
          </w:p>
        </w:tc>
        <w:tc>
          <w:tcPr>
            <w:tcW w:w="4148" w:type="dxa"/>
            <w:tcBorders>
              <w:top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Enhanced pattern</w:t>
            </w:r>
          </w:p>
        </w:tc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0.788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Early washout(&lt;60s)</w:t>
            </w:r>
          </w:p>
        </w:tc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Washout degree (as observed within first 120s)</w:t>
            </w:r>
          </w:p>
        </w:tc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CEUS LI-RADS</w:t>
            </w:r>
          </w:p>
        </w:tc>
        <w:tc>
          <w:tcPr>
            <w:tcW w:w="4148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0.890</w:t>
            </w:r>
          </w:p>
        </w:tc>
      </w:tr>
    </w:tbl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CEUS</w:t>
      </w:r>
      <w:r>
        <w:rPr>
          <w:rFonts w:ascii="Times New Roman" w:hAnsi="Times New Roman" w:cs="Times New Roman"/>
        </w:rPr>
        <w:t xml:space="preserve">: contrast-enhanced ultrasound; </w:t>
      </w:r>
      <w:r>
        <w:rPr>
          <w:rFonts w:ascii="Times New Roman" w:hAnsi="Times New Roman" w:cs="Times New Roman"/>
          <w:i/>
          <w:iCs/>
        </w:rPr>
        <w:t>LI-RAD</w:t>
      </w:r>
      <w:r>
        <w:rPr>
          <w:rFonts w:ascii="Times New Roman" w:hAnsi="Times New Roman" w:cs="Times New Roman"/>
        </w:rPr>
        <w:t xml:space="preserve">S: liver imaging reporting and data system 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>
      <w:pPr>
        <w:rPr>
          <w:rFonts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Table 2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color w:val="131413"/>
        </w:rPr>
        <w:t xml:space="preserve">orrelation between tumor component of </w:t>
      </w:r>
      <w:r>
        <w:rPr>
          <w:rFonts w:ascii="Times New Roman" w:hAnsi="Times New Roman" w:cs="Times New Roman"/>
        </w:rPr>
        <w:t>cHCC-ICC</w:t>
      </w:r>
      <w:r>
        <w:rPr>
          <w:rFonts w:ascii="Times New Roman" w:hAnsi="Times New Roman" w:cs="Times New Roman"/>
          <w:color w:val="131413"/>
        </w:rPr>
        <w:t xml:space="preserve"> and the major imaging features of CEUS LI-RADS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6"/>
        <w:gridCol w:w="2658"/>
        <w:gridCol w:w="2693"/>
        <w:gridCol w:w="2552"/>
        <w:gridCol w:w="87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vMerge w:val="restart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CEUS features</w:t>
            </w:r>
          </w:p>
        </w:tc>
        <w:tc>
          <w:tcPr>
            <w:tcW w:w="765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ind w:firstLine="3000" w:firstLineChars="12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HCC/ICC-component ratio</w:t>
            </w:r>
          </w:p>
        </w:tc>
        <w:tc>
          <w:tcPr>
            <w:tcW w:w="850" w:type="dxa"/>
            <w:vMerge w:val="restart"/>
            <w:vAlign w:val="center"/>
          </w:tcPr>
          <w:p>
            <w:pPr>
              <w:ind w:firstLine="240" w:firstLineChars="10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HCC-predominant(n=22)</w:t>
            </w:r>
          </w:p>
        </w:tc>
        <w:tc>
          <w:tcPr>
            <w:tcW w:w="269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ICC-predominant(n=29)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Equal proportion(n=5)</w:t>
            </w:r>
          </w:p>
        </w:tc>
        <w:tc>
          <w:tcPr>
            <w:tcW w:w="850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Arterial hyperenhancement</w:t>
            </w:r>
          </w:p>
        </w:tc>
        <w:tc>
          <w:tcPr>
            <w:tcW w:w="2410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22(100)</w:t>
            </w:r>
          </w:p>
        </w:tc>
        <w:tc>
          <w:tcPr>
            <w:tcW w:w="2693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29(100)</w:t>
            </w:r>
          </w:p>
        </w:tc>
        <w:tc>
          <w:tcPr>
            <w:tcW w:w="2552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5(100)</w:t>
            </w:r>
          </w:p>
        </w:tc>
        <w:tc>
          <w:tcPr>
            <w:tcW w:w="850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Enhanced patterns</w:t>
            </w:r>
          </w:p>
        </w:tc>
        <w:tc>
          <w:tcPr>
            <w:tcW w:w="2410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Homogeneous hyperenhancement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12(54.5)</w:t>
            </w:r>
          </w:p>
        </w:tc>
        <w:tc>
          <w:tcPr>
            <w:tcW w:w="269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12(41.4)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2(40.0)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0.615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Heterogeneous hyperenhancement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8(36.4)</w:t>
            </w:r>
          </w:p>
        </w:tc>
        <w:tc>
          <w:tcPr>
            <w:tcW w:w="269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6(20.7)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2(40.0)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rim-like hyperenhancement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2(9.1)</w:t>
            </w:r>
          </w:p>
        </w:tc>
        <w:tc>
          <w:tcPr>
            <w:tcW w:w="269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11(37.9)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1(20.0)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0.039*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Early washout(≤60s）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11(50.0)</w:t>
            </w:r>
          </w:p>
        </w:tc>
        <w:tc>
          <w:tcPr>
            <w:tcW w:w="269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20(69.0)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2(40.0)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0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Marked washout (as observed within first 120s)</w:t>
            </w:r>
          </w:p>
        </w:tc>
        <w:tc>
          <w:tcPr>
            <w:tcW w:w="241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5(22.7)</w:t>
            </w:r>
          </w:p>
        </w:tc>
        <w:tc>
          <w:tcPr>
            <w:tcW w:w="269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13(44.8)</w:t>
            </w:r>
          </w:p>
        </w:tc>
        <w:tc>
          <w:tcPr>
            <w:tcW w:w="2552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1(20.0)</w:t>
            </w:r>
          </w:p>
        </w:tc>
        <w:tc>
          <w:tcPr>
            <w:tcW w:w="850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0.217</w:t>
            </w:r>
          </w:p>
        </w:tc>
      </w:tr>
    </w:tbl>
    <w:p>
      <w:pPr>
        <w:rPr>
          <w:rFonts w:ascii="Times New Roman" w:hAnsi="Times New Roman" w:cs="Times New Roma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i/>
          <w:iCs/>
        </w:rPr>
        <w:t>*P</w:t>
      </w:r>
      <w:r>
        <w:rPr>
          <w:rFonts w:ascii="Times New Roman" w:hAnsi="Times New Roman" w:cs="Times New Roman"/>
        </w:rPr>
        <w:t xml:space="preserve"> ˂ 0.05, significant; </w:t>
      </w:r>
      <w:r>
        <w:rPr>
          <w:rFonts w:ascii="Times New Roman" w:hAnsi="Times New Roman" w:cs="Times New Roman"/>
          <w:i/>
          <w:iCs/>
        </w:rPr>
        <w:t>CEUS</w:t>
      </w:r>
      <w:r>
        <w:rPr>
          <w:rFonts w:ascii="Times New Roman" w:hAnsi="Times New Roman" w:cs="Times New Roman"/>
        </w:rPr>
        <w:t xml:space="preserve">: contrast-enhanced ultrasound; </w:t>
      </w:r>
      <w:r>
        <w:rPr>
          <w:rFonts w:ascii="Times New Roman" w:hAnsi="Times New Roman" w:cs="Times New Roman"/>
          <w:i/>
          <w:iCs/>
        </w:rPr>
        <w:t>LI-RADS</w:t>
      </w:r>
      <w:r>
        <w:rPr>
          <w:rFonts w:ascii="Times New Roman" w:hAnsi="Times New Roman" w:cs="Times New Roman"/>
        </w:rPr>
        <w:t xml:space="preserve">: liver imaging reporting and data system; cHCC-ICC: combined hepatocellular-cholangiocarcinoma; </w:t>
      </w:r>
      <w:r>
        <w:rPr>
          <w:rFonts w:ascii="Times New Roman" w:hAnsi="Times New Roman" w:cs="Times New Roman"/>
          <w:i/>
          <w:iCs/>
        </w:rPr>
        <w:t>HCC</w:t>
      </w:r>
      <w:r>
        <w:rPr>
          <w:rFonts w:ascii="Times New Roman" w:hAnsi="Times New Roman" w:cs="Times New Roman"/>
        </w:rPr>
        <w:t xml:space="preserve">: hepatocellular carcinoma; </w:t>
      </w:r>
      <w:r>
        <w:rPr>
          <w:rFonts w:ascii="Times New Roman" w:hAnsi="Times New Roman" w:cs="Times New Roman"/>
          <w:i/>
          <w:iCs/>
        </w:rPr>
        <w:t>ICC</w:t>
      </w:r>
      <w:r>
        <w:rPr>
          <w:rFonts w:ascii="Times New Roman" w:hAnsi="Times New Roman" w:cs="Times New Roman"/>
        </w:rPr>
        <w:t xml:space="preserve">: intrahepatic cholangiocarcinoma </w:t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Table 3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  <w:color w:val="131413"/>
        </w:rPr>
        <w:t>orrelation between nodule size and the major imaging features of CEUS LI-RADS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1417"/>
        <w:gridCol w:w="1276"/>
        <w:gridCol w:w="112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  <w:vMerge w:val="restart"/>
            <w:vAlign w:val="center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CEUS features</w:t>
            </w:r>
          </w:p>
        </w:tc>
        <w:tc>
          <w:tcPr>
            <w:tcW w:w="2693" w:type="dxa"/>
            <w:gridSpan w:val="2"/>
            <w:tcBorders>
              <w:bottom w:val="single" w:color="auto" w:sz="4" w:space="0"/>
            </w:tcBorders>
          </w:tcPr>
          <w:p>
            <w:pPr>
              <w:ind w:firstLine="1080" w:firstLineChars="4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Tumor size</w:t>
            </w:r>
          </w:p>
        </w:tc>
        <w:tc>
          <w:tcPr>
            <w:tcW w:w="1129" w:type="dxa"/>
            <w:vMerge w:val="restart"/>
            <w:vAlign w:val="center"/>
          </w:tcPr>
          <w:p>
            <w:pPr>
              <w:ind w:firstLine="240" w:firstLineChars="100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＜30mm (n=37)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≥30mm (n=19)</w:t>
            </w:r>
          </w:p>
        </w:tc>
        <w:tc>
          <w:tcPr>
            <w:tcW w:w="1129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Arterial hyperenhancement</w:t>
            </w:r>
          </w:p>
        </w:tc>
        <w:tc>
          <w:tcPr>
            <w:tcW w:w="1417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37(100.0)</w:t>
            </w:r>
          </w:p>
        </w:tc>
        <w:tc>
          <w:tcPr>
            <w:tcW w:w="1276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19(100.0)</w:t>
            </w:r>
          </w:p>
        </w:tc>
        <w:tc>
          <w:tcPr>
            <w:tcW w:w="1129" w:type="dxa"/>
            <w:tcBorders>
              <w:top w:val="single" w:color="auto" w:sz="4" w:space="0"/>
              <w:bottom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Enhanced patterns</w:t>
            </w:r>
          </w:p>
        </w:tc>
        <w:tc>
          <w:tcPr>
            <w:tcW w:w="1417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Homogeneous hyperenhancement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24(64.9)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2(10.5)</w:t>
            </w:r>
          </w:p>
        </w:tc>
        <w:tc>
          <w:tcPr>
            <w:tcW w:w="112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＜0.001*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Heterogeneous hyperenhancement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7(18.9)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9(47.4)</w:t>
            </w:r>
          </w:p>
        </w:tc>
        <w:tc>
          <w:tcPr>
            <w:tcW w:w="112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0.026*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rim-like hyperenhancement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6(16.2)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8(42.1)</w:t>
            </w:r>
          </w:p>
        </w:tc>
        <w:tc>
          <w:tcPr>
            <w:tcW w:w="112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Early washout(≤60s）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18(48.6)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15(78.9)</w:t>
            </w:r>
          </w:p>
        </w:tc>
        <w:tc>
          <w:tcPr>
            <w:tcW w:w="112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0.029*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3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Marked washout (as observed within the first 120s)</w:t>
            </w:r>
          </w:p>
        </w:tc>
        <w:tc>
          <w:tcPr>
            <w:tcW w:w="1417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9(24.3)</w:t>
            </w:r>
          </w:p>
        </w:tc>
        <w:tc>
          <w:tcPr>
            <w:tcW w:w="1276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10(52.6)</w:t>
            </w:r>
          </w:p>
        </w:tc>
        <w:tc>
          <w:tcPr>
            <w:tcW w:w="1129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0.034*</w:t>
            </w:r>
          </w:p>
        </w:tc>
      </w:tr>
    </w:tbl>
    <w:p>
      <w:pPr>
        <w:rPr>
          <w:rFonts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 w:cs="Times New Roman"/>
          <w:i/>
          <w:iCs/>
        </w:rPr>
        <w:t>*P</w:t>
      </w:r>
      <w:r>
        <w:rPr>
          <w:rFonts w:ascii="Times New Roman" w:hAnsi="Times New Roman" w:cs="Times New Roman"/>
        </w:rPr>
        <w:t xml:space="preserve"> ˂ 0.05, significant; </w:t>
      </w:r>
      <w:r>
        <w:rPr>
          <w:rFonts w:ascii="Times New Roman" w:hAnsi="Times New Roman" w:cs="Times New Roman"/>
          <w:i/>
          <w:iCs/>
        </w:rPr>
        <w:t>CEUS</w:t>
      </w:r>
      <w:r>
        <w:rPr>
          <w:rFonts w:ascii="Times New Roman" w:hAnsi="Times New Roman" w:cs="Times New Roman"/>
        </w:rPr>
        <w:t>: contrast-enhanced ultrasound;</w:t>
      </w:r>
      <w:r>
        <w:rPr>
          <w:rFonts w:ascii="Times New Roman" w:hAnsi="Times New Roman" w:cs="Times New Roman"/>
          <w:i/>
          <w:iCs/>
        </w:rPr>
        <w:t xml:space="preserve"> LI-RADS</w:t>
      </w:r>
      <w:r>
        <w:rPr>
          <w:rFonts w:ascii="Times New Roman" w:hAnsi="Times New Roman" w:cs="Times New Roman"/>
        </w:rPr>
        <w:t>: liver imaging reporting and data syst</w:t>
      </w:r>
      <w:r>
        <w:rPr>
          <w:rFonts w:hint="eastAsia" w:ascii="Times New Roman" w:hAnsi="Times New Roman" w:cs="Times New Roman"/>
        </w:rPr>
        <w:t>em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kNzYwOTFjZmJjZTM5NjBhMjIxMzY1NzZhOWVjYjIifQ=="/>
  </w:docVars>
  <w:rsids>
    <w:rsidRoot w:val="00563C22"/>
    <w:rsid w:val="002D14AF"/>
    <w:rsid w:val="00563C22"/>
    <w:rsid w:val="0090027A"/>
    <w:rsid w:val="00953A9D"/>
    <w:rsid w:val="2C43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rFonts w:ascii="宋体" w:hAnsi="宋体" w:eastAsia="宋体" w:cs="宋体"/>
      <w:kern w:val="0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="宋体" w:hAnsi="宋体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223</Words>
  <Characters>1602</Characters>
  <Lines>13</Lines>
  <Paragraphs>3</Paragraphs>
  <TotalTime>1</TotalTime>
  <ScaleCrop>false</ScaleCrop>
  <LinksUpToDate>false</LinksUpToDate>
  <CharactersWithSpaces>1750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2022-01-02T06:02:00Z</dcterms:created>
  <dc:creator>彦玲 陈</dc:creator>
  <cp:lastModifiedBy>包静文</cp:lastModifiedBy>
  <dcterms:modified xsi:type="dcterms:W3CDTF">2024-06-22T02:05:01Z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88DA9A7055B245C0BCFBC504A1938FF7_12</vt:lpwstr>
  </property>
</Properties>
</file>