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contextualSpacing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up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plemental Material</w:t>
      </w:r>
    </w:p>
    <w:p>
      <w:pPr>
        <w:spacing w:line="480" w:lineRule="auto"/>
        <w:contextualSpacing/>
        <w:jc w:val="left"/>
        <w:rPr>
          <w:rFonts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able S1.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Sources of the antibodies used in this study.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1545"/>
        <w:gridCol w:w="1478"/>
        <w:gridCol w:w="1277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369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Target of antibody</w:t>
            </w:r>
          </w:p>
        </w:tc>
        <w:tc>
          <w:tcPr>
            <w:tcW w:w="1545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Source</w:t>
            </w:r>
          </w:p>
        </w:tc>
        <w:tc>
          <w:tcPr>
            <w:tcW w:w="1478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Application</w:t>
            </w:r>
          </w:p>
        </w:tc>
        <w:tc>
          <w:tcPr>
            <w:tcW w:w="1277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Dilution</w:t>
            </w:r>
          </w:p>
        </w:tc>
        <w:tc>
          <w:tcPr>
            <w:tcW w:w="1627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Identifier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69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ALOX15</w:t>
            </w:r>
          </w:p>
        </w:tc>
        <w:tc>
          <w:tcPr>
            <w:tcW w:w="1545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Abcam</w:t>
            </w:r>
          </w:p>
        </w:tc>
        <w:tc>
          <w:tcPr>
            <w:tcW w:w="1478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IB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,IF,IP</w:t>
            </w:r>
          </w:p>
        </w:tc>
        <w:tc>
          <w:tcPr>
            <w:tcW w:w="1277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1:100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1:50</w:t>
            </w:r>
          </w:p>
        </w:tc>
        <w:tc>
          <w:tcPr>
            <w:tcW w:w="1627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ab244205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PEBPE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Santa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IB,IP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1:100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1:50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Sc-133085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P-PEBPE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Santa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IB,IP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1:50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Sc-135779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β-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actin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Cell Signaling Technology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ACSL4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Zenbio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:100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R24265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CD163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bcam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IF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:100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ab182422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CD86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Cell Signaling Technology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IF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:100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19589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LPCAT3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Proteintech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67822-1-lg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P53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Zenbio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:1000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345567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GPX4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Zenbio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:1000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381958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GAPDH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Cell Signaling Technology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IF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SAT1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Proteintech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10708-1-AP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IL-4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Proteintech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66142-1-lg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PerCP/Cyanine 5.5 anti-mouse/human CD11b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Biolegend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APC anti-mouse Ly-6G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Biolegend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127613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369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auto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Brilliant Violet 605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TM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anti-mouse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Ly-6C</w:t>
            </w:r>
          </w:p>
        </w:tc>
        <w:tc>
          <w:tcPr>
            <w:tcW w:w="1545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auto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Biolegend</w:t>
            </w:r>
          </w:p>
        </w:tc>
        <w:tc>
          <w:tcPr>
            <w:tcW w:w="1478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277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1: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1627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auto" w:sz="4" w:space="0"/>
              <w:right w:val="single" w:color="FFFFFF" w:themeColor="background1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128035</w:t>
            </w:r>
          </w:p>
        </w:tc>
      </w:tr>
    </w:tbl>
    <w:p>
      <w:pPr>
        <w:spacing w:line="480" w:lineRule="auto"/>
        <w:contextualSpacing/>
        <w:jc w:val="left"/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IB: immunoblotting; IF: immunofluorescence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;F:Flow Cytometry.</w:t>
      </w:r>
    </w:p>
    <w:p>
      <w:pPr>
        <w:spacing w:line="480" w:lineRule="auto"/>
        <w:ind w:left="240" w:hanging="210" w:hangingChars="100"/>
        <w:contextualSpacing/>
        <w:jc w:val="left"/>
      </w:pPr>
    </w:p>
    <w:p>
      <w:pPr>
        <w:spacing w:line="480" w:lineRule="auto"/>
        <w:ind w:left="240" w:hanging="210" w:hangingChars="100"/>
        <w:contextualSpacing/>
        <w:jc w:val="left"/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9865" cy="3401060"/>
            <wp:effectExtent l="0" t="0" r="698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240" w:hanging="240" w:hangingChars="100"/>
        <w:contextualSpacing/>
        <w:jc w:val="left"/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ig. S1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2" w:name="_GoBack"/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Flow cytometry gating </w:t>
      </w:r>
      <w:bookmarkStart w:id="0" w:name="OLE_LINK1"/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strategy</w:t>
      </w:r>
      <w:bookmarkEnd w:id="2"/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End w:id="0"/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was used to define inflammatory monocytes subset Ly6c+ in the 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spleen. The blood and bone marrow </w:t>
      </w: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strategy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is also the same.</w:t>
      </w:r>
    </w:p>
    <w:p>
      <w:pPr>
        <w:spacing w:line="480" w:lineRule="auto"/>
        <w:ind w:left="240" w:hanging="240" w:hangingChars="100"/>
        <w:contextualSpacing/>
        <w:jc w:val="left"/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1135" cy="4923790"/>
            <wp:effectExtent l="0" t="0" r="5715" b="635"/>
            <wp:docPr id="7" name="图片 7" descr="ssf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sf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92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240" w:hanging="240" w:hangingChars="100"/>
        <w:contextualSpacing/>
        <w:jc w:val="left"/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ig. S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 A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Upstream and downstream of ALOX15-related pathway diagrams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. B 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The level of IL-13 in serum and </w:t>
      </w:r>
      <w:bookmarkStart w:id="1" w:name="OLE_LINK2"/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myocardium</w:t>
      </w:r>
      <w:bookmarkEnd w:id="1"/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p-PEBPE expression in HH1-3day and The binding of p-PEBP1 with ALOX15 that was examined by co-IP in HUVE cells after hypoxia exposure for 24.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Western blotting analysis of IL-4, p-38 and P38 expression in myocardium.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a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at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liNDYxYzJjMjIyNDQ5ZWYwYjAxMzQ5ODhmMzIifQ=="/>
  </w:docVars>
  <w:rsids>
    <w:rsidRoot w:val="106C3E65"/>
    <w:rsid w:val="03795BF7"/>
    <w:rsid w:val="106C3E65"/>
    <w:rsid w:val="42E3304C"/>
    <w:rsid w:val="4452069C"/>
    <w:rsid w:val="44A973E3"/>
    <w:rsid w:val="47240FA3"/>
    <w:rsid w:val="5362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208</Words>
  <Characters>1176</Characters>
  <Lines>0</Lines>
  <Paragraphs>0</Paragraphs>
  <TotalTime>4</TotalTime>
  <ScaleCrop>false</ScaleCrop>
  <LinksUpToDate>false</LinksUpToDate>
  <CharactersWithSpaces>1292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2024-03-14T03:06:00Z</dcterms:created>
  <dc:creator>小驳骨</dc:creator>
  <cp:lastModifiedBy>小驳骨</cp:lastModifiedBy>
  <dcterms:modified xsi:type="dcterms:W3CDTF">2024-03-15T09:29:09Z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B7B2A9C2A71C4758A5FAABBADDF38CE8_11</vt:lpwstr>
  </property>
</Properties>
</file>