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543514" w14:textId="2D9FBCDB" w:rsidR="00AC6361" w:rsidRDefault="00FC7823" w:rsidP="00FC7823">
      <w:pPr>
        <w:rPr>
          <w:noProof/>
        </w:rPr>
      </w:pPr>
      <w:r w:rsidRPr="00AC6361">
        <w:rPr>
          <w:rFonts w:asciiTheme="majorBidi" w:hAnsiTheme="majorBidi" w:cstheme="majorBidi"/>
          <w:b/>
          <w:bCs/>
          <w:sz w:val="24"/>
          <w:szCs w:val="24"/>
          <w:u w:val="single"/>
        </w:rPr>
        <w:t>figure 7A</w:t>
      </w:r>
    </w:p>
    <w:p w14:paraId="41A8AB23" w14:textId="1E5F0A9A" w:rsidR="006E2543" w:rsidRPr="00FC7823" w:rsidRDefault="006E2543" w:rsidP="00FC7823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74AB60BC" wp14:editId="01C2ED29">
            <wp:extent cx="4053840" cy="3901440"/>
            <wp:effectExtent l="0" t="0" r="3810" b="3810"/>
            <wp:docPr id="1177776593" name="Picture 2" descr="A close-up of a blue and purpl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776593" name="Picture 2" descr="A close-up of a blue and purpl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840" cy="390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24C95" w14:textId="0C2EFD95" w:rsidR="00AC6361" w:rsidRDefault="006E2543" w:rsidP="006E2543">
      <w:pPr>
        <w:jc w:val="both"/>
      </w:pPr>
      <w:r w:rsidRPr="009E0F89">
        <w:rPr>
          <w:rFonts w:asciiTheme="majorBidi" w:hAnsiTheme="majorBidi" w:cstheme="majorBidi"/>
          <w:sz w:val="24"/>
          <w:szCs w:val="24"/>
        </w:rPr>
        <w:t>Figure 7</w:t>
      </w:r>
      <w:r>
        <w:rPr>
          <w:rFonts w:asciiTheme="majorBidi" w:hAnsiTheme="majorBidi" w:cstheme="majorBidi"/>
          <w:sz w:val="24"/>
          <w:szCs w:val="24"/>
        </w:rPr>
        <w:t>A</w:t>
      </w:r>
      <w:r w:rsidRPr="009E0F89">
        <w:rPr>
          <w:rFonts w:asciiTheme="majorBidi" w:hAnsiTheme="majorBidi" w:cstheme="majorBidi"/>
          <w:sz w:val="24"/>
          <w:szCs w:val="24"/>
        </w:rPr>
        <w:t xml:space="preserve">. Results of </w:t>
      </w:r>
      <w:r>
        <w:rPr>
          <w:rFonts w:ascii="Times New Roman" w:eastAsia="Calibri" w:hAnsi="Times New Roman" w:cs="Times New Roman"/>
          <w:sz w:val="24"/>
          <w:szCs w:val="24"/>
        </w:rPr>
        <w:t>agarose gel electrophoresis and sodium dodecyl sulfate‒polyacrylamide gel electrophoresis</w:t>
      </w:r>
      <w:r w:rsidRPr="009E0F89">
        <w:rPr>
          <w:rFonts w:asciiTheme="majorBidi" w:hAnsiTheme="majorBidi" w:cstheme="majorBidi"/>
          <w:sz w:val="24"/>
          <w:szCs w:val="24"/>
        </w:rPr>
        <w:t xml:space="preserve">; the ɸEcM-vB1 phage genome, as detected by agarose (0.7%) gel electrophoresis. Lane 1 shows </w:t>
      </w:r>
      <w:r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9E0F89">
        <w:rPr>
          <w:rFonts w:asciiTheme="majorBidi" w:hAnsiTheme="majorBidi" w:cstheme="majorBidi"/>
          <w:sz w:val="24"/>
          <w:szCs w:val="24"/>
        </w:rPr>
        <w:t>XLarge DNA ladder (Gene DireX)</w:t>
      </w:r>
      <w:r>
        <w:rPr>
          <w:rFonts w:ascii="Times New Roman" w:eastAsia="Calibri" w:hAnsi="Times New Roman" w:cs="Times New Roman"/>
          <w:sz w:val="24"/>
          <w:szCs w:val="24"/>
        </w:rPr>
        <w:t xml:space="preserve"> and</w:t>
      </w:r>
      <w:r w:rsidRPr="009E0F89">
        <w:rPr>
          <w:rFonts w:asciiTheme="majorBidi" w:hAnsiTheme="majorBidi" w:cstheme="majorBidi"/>
          <w:sz w:val="24"/>
          <w:szCs w:val="24"/>
        </w:rPr>
        <w:t xml:space="preserve"> lane 2 shows a band of phage DNA </w:t>
      </w:r>
      <w:r>
        <w:rPr>
          <w:rFonts w:ascii="Times New Roman" w:eastAsia="Calibri" w:hAnsi="Times New Roman" w:cs="Times New Roman"/>
          <w:sz w:val="24"/>
          <w:szCs w:val="24"/>
        </w:rPr>
        <w:t>with</w:t>
      </w:r>
      <w:r w:rsidRPr="009E0F89">
        <w:rPr>
          <w:rFonts w:asciiTheme="majorBidi" w:hAnsiTheme="majorBidi" w:cstheme="majorBidi"/>
          <w:sz w:val="24"/>
          <w:szCs w:val="24"/>
        </w:rPr>
        <w:t xml:space="preserve"> a size of approximately 30-40 kb</w:t>
      </w:r>
    </w:p>
    <w:p w14:paraId="185BD5D5" w14:textId="77777777" w:rsidR="00093AF7" w:rsidRDefault="00093AF7" w:rsidP="00093AF7">
      <w:pPr>
        <w:rPr>
          <w:rFonts w:asciiTheme="majorBidi" w:hAnsiTheme="majorBidi" w:cstheme="majorBidi"/>
          <w:sz w:val="24"/>
          <w:szCs w:val="24"/>
        </w:rPr>
      </w:pPr>
    </w:p>
    <w:p w14:paraId="73BBE900" w14:textId="77777777" w:rsidR="00093AF7" w:rsidRDefault="00093AF7" w:rsidP="00093AF7">
      <w:pPr>
        <w:rPr>
          <w:rFonts w:asciiTheme="majorBidi" w:hAnsiTheme="majorBidi" w:cstheme="majorBidi"/>
          <w:sz w:val="24"/>
          <w:szCs w:val="24"/>
        </w:rPr>
      </w:pPr>
    </w:p>
    <w:p w14:paraId="4BB320C7" w14:textId="77777777" w:rsidR="00093AF7" w:rsidRDefault="00093AF7" w:rsidP="00093AF7">
      <w:pPr>
        <w:rPr>
          <w:rFonts w:asciiTheme="majorBidi" w:hAnsiTheme="majorBidi" w:cstheme="majorBidi"/>
          <w:sz w:val="24"/>
          <w:szCs w:val="24"/>
        </w:rPr>
      </w:pPr>
    </w:p>
    <w:p w14:paraId="5DC3217F" w14:textId="77777777" w:rsidR="00093AF7" w:rsidRDefault="00093AF7" w:rsidP="00093AF7">
      <w:pPr>
        <w:rPr>
          <w:rFonts w:asciiTheme="majorBidi" w:hAnsiTheme="majorBidi" w:cstheme="majorBidi"/>
          <w:sz w:val="24"/>
          <w:szCs w:val="24"/>
        </w:rPr>
      </w:pPr>
    </w:p>
    <w:p w14:paraId="7F0F3F5C" w14:textId="77777777" w:rsidR="00093AF7" w:rsidRDefault="00093AF7" w:rsidP="00093AF7">
      <w:pPr>
        <w:rPr>
          <w:rFonts w:asciiTheme="majorBidi" w:hAnsiTheme="majorBidi" w:cstheme="majorBidi"/>
          <w:sz w:val="24"/>
          <w:szCs w:val="24"/>
        </w:rPr>
      </w:pPr>
    </w:p>
    <w:p w14:paraId="6FDB8E5B" w14:textId="77777777" w:rsidR="00093AF7" w:rsidRDefault="00093AF7" w:rsidP="00093AF7">
      <w:pPr>
        <w:rPr>
          <w:rFonts w:asciiTheme="majorBidi" w:hAnsiTheme="majorBidi" w:cstheme="majorBidi"/>
          <w:sz w:val="24"/>
          <w:szCs w:val="24"/>
        </w:rPr>
      </w:pPr>
    </w:p>
    <w:p w14:paraId="40E7626F" w14:textId="77777777" w:rsidR="00093AF7" w:rsidRDefault="00093AF7" w:rsidP="00093AF7">
      <w:pPr>
        <w:rPr>
          <w:rFonts w:asciiTheme="majorBidi" w:hAnsiTheme="majorBidi" w:cstheme="majorBidi"/>
          <w:sz w:val="24"/>
          <w:szCs w:val="24"/>
        </w:rPr>
      </w:pPr>
    </w:p>
    <w:p w14:paraId="5DBB6F1B" w14:textId="54F11CB6" w:rsidR="001D25C9" w:rsidRDefault="00AC6361" w:rsidP="00093AF7">
      <w:r>
        <w:rPr>
          <w:rFonts w:asciiTheme="majorBidi" w:hAnsiTheme="majorBidi" w:cstheme="majorBidi"/>
          <w:sz w:val="24"/>
          <w:szCs w:val="24"/>
        </w:rPr>
        <w:t xml:space="preserve">                   </w:t>
      </w:r>
    </w:p>
    <w:p w14:paraId="40D09706" w14:textId="77777777" w:rsidR="001D25C9" w:rsidRPr="00AC6361" w:rsidRDefault="001D25C9" w:rsidP="00AC6361"/>
    <w:p w14:paraId="1680EEB8" w14:textId="77777777" w:rsidR="00AC6361" w:rsidRDefault="00AC6361" w:rsidP="00AC6361">
      <w:pPr>
        <w:tabs>
          <w:tab w:val="left" w:pos="1145"/>
          <w:tab w:val="left" w:pos="1505"/>
        </w:tabs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4E350525" w14:textId="77777777" w:rsidR="0048792D" w:rsidRDefault="0048792D" w:rsidP="0048792D">
      <w:pPr>
        <w:tabs>
          <w:tab w:val="left" w:pos="1145"/>
          <w:tab w:val="left" w:pos="1505"/>
        </w:tabs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AC6361">
        <w:rPr>
          <w:rFonts w:asciiTheme="majorBidi" w:hAnsiTheme="majorBidi" w:cstheme="majorBidi"/>
          <w:b/>
          <w:bCs/>
          <w:sz w:val="24"/>
          <w:szCs w:val="24"/>
          <w:u w:val="single"/>
        </w:rPr>
        <w:lastRenderedPageBreak/>
        <w:t>Figure 7B</w:t>
      </w:r>
    </w:p>
    <w:p w14:paraId="3EFCD47E" w14:textId="0BF9AE29" w:rsidR="008949A5" w:rsidRDefault="008949A5" w:rsidP="00AC6361">
      <w:pPr>
        <w:tabs>
          <w:tab w:val="left" w:pos="1145"/>
          <w:tab w:val="left" w:pos="1505"/>
        </w:tabs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2D17D7EB" wp14:editId="48E289E7">
            <wp:extent cx="2743200" cy="4076487"/>
            <wp:effectExtent l="0" t="0" r="0" b="635"/>
            <wp:docPr id="600733951" name="Picture 3" descr="A close-up of a blue liqui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733951" name="Picture 3" descr="A close-up of a blue liqui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610" cy="408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93314" w14:textId="19219174" w:rsidR="001D25C9" w:rsidRDefault="0048792D" w:rsidP="0048792D">
      <w:pPr>
        <w:tabs>
          <w:tab w:val="left" w:pos="1145"/>
          <w:tab w:val="left" w:pos="1505"/>
        </w:tabs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48792D">
        <w:rPr>
          <w:rFonts w:asciiTheme="majorBidi" w:hAnsiTheme="majorBidi" w:cstheme="majorBidi"/>
          <w:sz w:val="24"/>
          <w:szCs w:val="24"/>
        </w:rPr>
        <w:t>Figure 7B</w:t>
      </w:r>
      <w:r w:rsidRPr="0048792D">
        <w:rPr>
          <w:rFonts w:asciiTheme="majorBidi" w:hAnsiTheme="majorBidi" w:cstheme="majorBidi"/>
          <w:sz w:val="24"/>
          <w:szCs w:val="24"/>
        </w:rPr>
        <w:t xml:space="preserve">: </w:t>
      </w:r>
      <w:r w:rsidR="008949A5" w:rsidRPr="0048792D">
        <w:rPr>
          <w:rFonts w:asciiTheme="majorBidi" w:hAnsiTheme="majorBidi" w:cstheme="majorBidi"/>
          <w:sz w:val="24"/>
          <w:szCs w:val="24"/>
        </w:rPr>
        <w:t xml:space="preserve">Results of </w:t>
      </w:r>
      <w:r w:rsidR="008949A5" w:rsidRPr="0048792D">
        <w:rPr>
          <w:rFonts w:ascii="Times New Roman" w:eastAsia="Calibri" w:hAnsi="Times New Roman" w:cs="Times New Roman"/>
          <w:sz w:val="24"/>
          <w:szCs w:val="24"/>
        </w:rPr>
        <w:t>agarose gel electrophoresis and sodium dodecyl sulfate‒polyacrylamide</w:t>
      </w:r>
      <w:r w:rsidR="008949A5">
        <w:rPr>
          <w:rFonts w:ascii="Times New Roman" w:eastAsia="Calibri" w:hAnsi="Times New Roman" w:cs="Times New Roman"/>
          <w:sz w:val="24"/>
          <w:szCs w:val="24"/>
        </w:rPr>
        <w:t xml:space="preserve"> gel electrophoresis</w:t>
      </w:r>
      <w:r w:rsidR="008949A5" w:rsidRPr="009E0F89">
        <w:rPr>
          <w:rFonts w:asciiTheme="majorBidi" w:hAnsiTheme="majorBidi" w:cstheme="majorBidi"/>
          <w:sz w:val="24"/>
          <w:szCs w:val="24"/>
        </w:rPr>
        <w:t xml:space="preserve"> Lane 1 shows a 1 kb DNA ladder (New England Biolabs) and lane 2 shows the ɸEcM-vB1 phage DNA restriction analysis with EcoR1; </w:t>
      </w:r>
    </w:p>
    <w:p w14:paraId="2409C6CB" w14:textId="74473729" w:rsidR="001D25C9" w:rsidRDefault="001D25C9" w:rsidP="00AC6361">
      <w:pPr>
        <w:tabs>
          <w:tab w:val="left" w:pos="1145"/>
          <w:tab w:val="left" w:pos="1505"/>
        </w:tabs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Figure 7C</w:t>
      </w:r>
    </w:p>
    <w:p w14:paraId="7B6910A5" w14:textId="54D5239D" w:rsidR="001D25C9" w:rsidRDefault="0048792D" w:rsidP="00AC6361">
      <w:pPr>
        <w:tabs>
          <w:tab w:val="left" w:pos="1145"/>
          <w:tab w:val="left" w:pos="1505"/>
        </w:tabs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drawing>
          <wp:inline distT="0" distB="0" distL="0" distR="0" wp14:anchorId="2889D4EC" wp14:editId="63133E39">
            <wp:extent cx="3002280" cy="1965960"/>
            <wp:effectExtent l="0" t="0" r="7620" b="0"/>
            <wp:docPr id="763147435" name="Picture 1" descr="A close-up of a greyscale im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147435" name="Picture 1" descr="A close-up of a greyscale imag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3B050" w14:textId="5393FEF2" w:rsidR="001D25C9" w:rsidRDefault="0048792D" w:rsidP="0048792D">
      <w:pPr>
        <w:tabs>
          <w:tab w:val="left" w:pos="1145"/>
          <w:tab w:val="left" w:pos="1505"/>
        </w:tabs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Figure 7B: </w:t>
      </w:r>
      <w:r w:rsidR="001D25C9">
        <w:rPr>
          <w:rFonts w:asciiTheme="majorBidi" w:hAnsiTheme="majorBidi" w:cstheme="majorBidi"/>
          <w:sz w:val="24"/>
          <w:szCs w:val="24"/>
        </w:rPr>
        <w:t xml:space="preserve">The </w:t>
      </w:r>
      <w:r w:rsidR="001D25C9" w:rsidRPr="006C138A">
        <w:rPr>
          <w:rFonts w:asciiTheme="majorBidi" w:hAnsiTheme="majorBidi" w:cstheme="majorBidi"/>
          <w:sz w:val="24"/>
          <w:szCs w:val="24"/>
        </w:rPr>
        <w:t xml:space="preserve">Image shows the SDS-PAGE analysis of the ɸEcM-vB1 phage structural proteins; lane 1 shows broad range protein molecular weight markers (The Novex™️ sharp pre-stained </w:t>
      </w:r>
      <w:r w:rsidR="001D25C9" w:rsidRPr="006C138A">
        <w:rPr>
          <w:rFonts w:asciiTheme="majorBidi" w:hAnsiTheme="majorBidi" w:cstheme="majorBidi"/>
          <w:sz w:val="24"/>
          <w:szCs w:val="24"/>
        </w:rPr>
        <w:lastRenderedPageBreak/>
        <w:t>protein standard,Life Technologies) and lane 2 shows the ɸEcM-vB1 phage proteins</w:t>
      </w:r>
      <w:r w:rsidR="001D25C9">
        <w:rPr>
          <w:rFonts w:asciiTheme="majorBidi" w:hAnsiTheme="majorBidi" w:cstheme="majorBidi"/>
          <w:sz w:val="24"/>
          <w:szCs w:val="24"/>
        </w:rPr>
        <w:br w:type="textWrapping" w:clear="all"/>
      </w:r>
    </w:p>
    <w:p w14:paraId="3B107EE0" w14:textId="77777777" w:rsidR="001D25C9" w:rsidRDefault="001D25C9" w:rsidP="00AC6361">
      <w:pPr>
        <w:tabs>
          <w:tab w:val="left" w:pos="1145"/>
          <w:tab w:val="left" w:pos="1505"/>
        </w:tabs>
        <w:rPr>
          <w:rFonts w:asciiTheme="majorBidi" w:hAnsiTheme="majorBidi" w:cstheme="majorBidi"/>
          <w:sz w:val="24"/>
          <w:szCs w:val="24"/>
        </w:rPr>
      </w:pPr>
    </w:p>
    <w:p w14:paraId="6EF20F75" w14:textId="4F0625BA" w:rsidR="001D25C9" w:rsidRPr="001D25C9" w:rsidRDefault="001D25C9" w:rsidP="00AC6361">
      <w:pPr>
        <w:tabs>
          <w:tab w:val="left" w:pos="1145"/>
          <w:tab w:val="left" w:pos="1505"/>
        </w:tabs>
        <w:rPr>
          <w:rFonts w:asciiTheme="majorBidi" w:hAnsiTheme="majorBidi" w:cstheme="majorBidi"/>
          <w:sz w:val="24"/>
          <w:szCs w:val="24"/>
        </w:rPr>
      </w:pPr>
    </w:p>
    <w:sectPr w:rsidR="001D25C9" w:rsidRPr="001D25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80919E" w14:textId="77777777" w:rsidR="008F0219" w:rsidRDefault="008F0219" w:rsidP="00FC7823">
      <w:pPr>
        <w:spacing w:after="0" w:line="240" w:lineRule="auto"/>
      </w:pPr>
      <w:r>
        <w:separator/>
      </w:r>
    </w:p>
  </w:endnote>
  <w:endnote w:type="continuationSeparator" w:id="0">
    <w:p w14:paraId="7FC53E69" w14:textId="77777777" w:rsidR="008F0219" w:rsidRDefault="008F0219" w:rsidP="00FC7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624A88" w14:textId="77777777" w:rsidR="008F0219" w:rsidRDefault="008F0219" w:rsidP="00FC7823">
      <w:pPr>
        <w:spacing w:after="0" w:line="240" w:lineRule="auto"/>
      </w:pPr>
      <w:r>
        <w:separator/>
      </w:r>
    </w:p>
  </w:footnote>
  <w:footnote w:type="continuationSeparator" w:id="0">
    <w:p w14:paraId="5DEA1762" w14:textId="77777777" w:rsidR="008F0219" w:rsidRDefault="008F0219" w:rsidP="00FC78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412"/>
    <w:rsid w:val="00093AF7"/>
    <w:rsid w:val="001D25C9"/>
    <w:rsid w:val="0048792D"/>
    <w:rsid w:val="005B40B6"/>
    <w:rsid w:val="0061470A"/>
    <w:rsid w:val="006E2543"/>
    <w:rsid w:val="008949A5"/>
    <w:rsid w:val="008F0219"/>
    <w:rsid w:val="009C3D06"/>
    <w:rsid w:val="00A16F02"/>
    <w:rsid w:val="00AC6361"/>
    <w:rsid w:val="00AE7CA3"/>
    <w:rsid w:val="00E61412"/>
    <w:rsid w:val="00FC7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8BAA2"/>
  <w15:chartTrackingRefBased/>
  <w15:docId w15:val="{3CB78EE5-1E63-486B-86F2-AD21E81C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14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14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14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14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14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14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14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14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14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14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14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14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14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14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14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14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14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14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14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14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14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14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14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14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14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14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14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14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141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C7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C78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823"/>
  </w:style>
  <w:style w:type="paragraph" w:styleId="Footer">
    <w:name w:val="footer"/>
    <w:basedOn w:val="Normal"/>
    <w:link w:val="FooterChar"/>
    <w:uiPriority w:val="99"/>
    <w:unhideWhenUsed/>
    <w:rsid w:val="00FC78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8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1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 shalkamy</dc:creator>
  <cp:keywords/>
  <dc:description/>
  <cp:lastModifiedBy>Rania Abozahra</cp:lastModifiedBy>
  <cp:revision>4</cp:revision>
  <dcterms:created xsi:type="dcterms:W3CDTF">2024-06-14T16:11:00Z</dcterms:created>
  <dcterms:modified xsi:type="dcterms:W3CDTF">2024-06-14T16:30:00Z</dcterms:modified>
</cp:coreProperties>
</file>