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F6" w:rsidRPr="00341814" w:rsidRDefault="009830F6" w:rsidP="00846C89">
      <w:pPr>
        <w:spacing w:line="480" w:lineRule="auto"/>
        <w:rPr>
          <w:rFonts w:ascii="Arial" w:eastAsiaTheme="minorEastAsia" w:hAnsi="Arial" w:cs="Arial"/>
          <w:b/>
          <w:sz w:val="22"/>
          <w:szCs w:val="22"/>
          <w:lang w:eastAsia="ja-JP"/>
        </w:rPr>
      </w:pPr>
      <w:bookmarkStart w:id="0" w:name="_GoBack"/>
      <w:r>
        <w:rPr>
          <w:rFonts w:ascii="Arial" w:eastAsiaTheme="minorEastAsia" w:hAnsi="Arial" w:cs="Arial"/>
          <w:b/>
          <w:sz w:val="22"/>
          <w:szCs w:val="22"/>
          <w:lang w:eastAsia="ja-JP"/>
        </w:rPr>
        <w:t xml:space="preserve">Supplemental </w:t>
      </w:r>
      <w:r w:rsidRPr="00341814">
        <w:rPr>
          <w:rFonts w:ascii="Arial" w:eastAsiaTheme="minorEastAsia" w:hAnsi="Arial" w:cs="Arial"/>
          <w:b/>
          <w:sz w:val="22"/>
          <w:szCs w:val="22"/>
          <w:lang w:eastAsia="ja-JP"/>
        </w:rPr>
        <w:t>M</w:t>
      </w:r>
      <w:r>
        <w:rPr>
          <w:rFonts w:ascii="Arial" w:eastAsiaTheme="minorEastAsia" w:hAnsi="Arial" w:cs="Arial"/>
          <w:b/>
          <w:sz w:val="22"/>
          <w:szCs w:val="22"/>
          <w:lang w:eastAsia="ja-JP"/>
        </w:rPr>
        <w:t>aterials</w:t>
      </w:r>
      <w:r w:rsidRPr="00341814">
        <w:rPr>
          <w:rFonts w:ascii="Arial" w:eastAsiaTheme="minorEastAsia" w:hAnsi="Arial" w:cs="Arial"/>
          <w:b/>
          <w:sz w:val="22"/>
          <w:szCs w:val="22"/>
          <w:lang w:eastAsia="ja-JP"/>
        </w:rPr>
        <w:t xml:space="preserve"> </w:t>
      </w:r>
      <w:r>
        <w:rPr>
          <w:rFonts w:ascii="Arial" w:eastAsiaTheme="minorEastAsia" w:hAnsi="Arial" w:cs="Arial"/>
          <w:b/>
          <w:sz w:val="22"/>
          <w:szCs w:val="22"/>
          <w:lang w:eastAsia="ja-JP"/>
        </w:rPr>
        <w:t>and</w:t>
      </w:r>
      <w:r w:rsidRPr="00341814">
        <w:rPr>
          <w:rFonts w:ascii="Arial" w:eastAsiaTheme="minorEastAsia" w:hAnsi="Arial" w:cs="Arial"/>
          <w:b/>
          <w:sz w:val="22"/>
          <w:szCs w:val="22"/>
          <w:lang w:eastAsia="ja-JP"/>
        </w:rPr>
        <w:t xml:space="preserve"> M</w:t>
      </w:r>
      <w:r>
        <w:rPr>
          <w:rFonts w:ascii="Arial" w:eastAsiaTheme="minorEastAsia" w:hAnsi="Arial" w:cs="Arial"/>
          <w:b/>
          <w:sz w:val="22"/>
          <w:szCs w:val="22"/>
          <w:lang w:eastAsia="ja-JP"/>
        </w:rPr>
        <w:t>ethods</w:t>
      </w:r>
      <w:bookmarkEnd w:id="0"/>
    </w:p>
    <w:p w:rsidR="009830F6" w:rsidRDefault="009830F6" w:rsidP="00846C89">
      <w:pPr>
        <w:spacing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Cells</w:t>
      </w:r>
      <w:r w:rsidRPr="004E39EC">
        <w:rPr>
          <w:rFonts w:ascii="Arial" w:hAnsi="Arial" w:cs="Arial"/>
          <w:sz w:val="22"/>
          <w:u w:val="single"/>
        </w:rPr>
        <w:t>.</w:t>
      </w:r>
      <w:r w:rsidRPr="004E39E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HVOX human VF fibroblasts and THP-1 human monocytic cells (ATCC, </w:t>
      </w:r>
      <w:r w:rsidRPr="006F3899">
        <w:rPr>
          <w:rFonts w:ascii="Arial" w:hAnsi="Arial" w:cs="Arial"/>
          <w:sz w:val="22"/>
        </w:rPr>
        <w:t>Manassas</w:t>
      </w:r>
      <w:r>
        <w:rPr>
          <w:rFonts w:ascii="Arial" w:hAnsi="Arial" w:cs="Arial"/>
          <w:sz w:val="22"/>
        </w:rPr>
        <w:t>, VA) were expanded to P16-18 and P13-15 as described previously.</w:t>
      </w:r>
      <w:r w:rsidRPr="00335A3F">
        <w:rPr>
          <w:rFonts w:ascii="Arial" w:hAnsi="Arial" w:cs="Arial"/>
          <w:noProof/>
          <w:sz w:val="22"/>
          <w:vertAlign w:val="superscript"/>
        </w:rPr>
        <w:t>36</w:t>
      </w:r>
      <w:r>
        <w:rPr>
          <w:rFonts w:ascii="Arial" w:hAnsi="Arial" w:cs="Arial"/>
          <w:sz w:val="22"/>
        </w:rPr>
        <w:t xml:space="preserve"> Green fluorescent protein-expressing THP-1 (GFP-THP-1) were prepared by transfection of pAcGFP1-Actin (Takara Bio, Shiga, Japan) using </w:t>
      </w:r>
      <w:r w:rsidRPr="002E0FE4">
        <w:rPr>
          <w:rFonts w:ascii="Arial" w:hAnsi="Arial" w:cs="Arial"/>
          <w:sz w:val="22"/>
        </w:rPr>
        <w:t>DMRIE-C</w:t>
      </w:r>
      <w:r>
        <w:rPr>
          <w:rFonts w:ascii="Arial" w:hAnsi="Arial" w:cs="Arial"/>
          <w:sz w:val="22"/>
        </w:rPr>
        <w:t xml:space="preserve"> Transfection Reagent (Invitrogen) in accordance with manufacturer’s instructions. </w:t>
      </w:r>
      <w:r w:rsidRPr="002E0FE4">
        <w:rPr>
          <w:rFonts w:ascii="Arial" w:hAnsi="Arial" w:cs="Arial"/>
          <w:sz w:val="22"/>
        </w:rPr>
        <w:t>GFP-THP-1</w:t>
      </w:r>
      <w:r>
        <w:rPr>
          <w:rFonts w:ascii="Arial" w:hAnsi="Arial" w:cs="Arial"/>
          <w:sz w:val="22"/>
        </w:rPr>
        <w:t xml:space="preserve"> cells were separated from GFP-negative cells using FACS Aria IIu (BD), and maintained in the growth medium containing 2mg/mL G418 sulfate (Gibco). Prior to co-culture, VF fibroblasts were exposed to </w:t>
      </w:r>
      <w:r w:rsidRPr="006D2801">
        <w:rPr>
          <w:rFonts w:ascii="Arial" w:hAnsi="Arial" w:cs="Arial"/>
          <w:sz w:val="22"/>
        </w:rPr>
        <w:t>serum-free Dulbecco’s Modified Eagle’s Medium (DMEM) overnight</w:t>
      </w:r>
      <w:r>
        <w:rPr>
          <w:rFonts w:ascii="Arial" w:hAnsi="Arial" w:cs="Arial"/>
          <w:sz w:val="22"/>
        </w:rPr>
        <w:t>;</w:t>
      </w:r>
      <w:r w:rsidRPr="006D2801" w:rsidDel="004F219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meanwhile, THP-1-derived macrophages, differentiated through exposure to </w:t>
      </w:r>
      <w:r w:rsidRPr="00C6608C">
        <w:rPr>
          <w:rFonts w:ascii="Arial" w:hAnsi="Arial" w:cs="Arial"/>
          <w:sz w:val="22"/>
        </w:rPr>
        <w:t>50nM phorbol-12-myristate-13-acetate</w:t>
      </w:r>
      <w:r>
        <w:rPr>
          <w:rFonts w:ascii="Arial" w:hAnsi="Arial" w:cs="Arial"/>
          <w:sz w:val="22"/>
        </w:rPr>
        <w:t>,</w:t>
      </w:r>
      <w:r w:rsidRPr="00C660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were treated with </w:t>
      </w:r>
      <w:r w:rsidRPr="006D2801">
        <w:rPr>
          <w:rFonts w:ascii="Arial" w:hAnsi="Arial" w:cs="Arial"/>
          <w:sz w:val="22"/>
        </w:rPr>
        <w:t xml:space="preserve">100ng/mL IFN-γ and 100ng/mL LPS </w:t>
      </w:r>
      <w:r>
        <w:rPr>
          <w:rFonts w:ascii="Arial" w:hAnsi="Arial" w:cs="Arial"/>
          <w:sz w:val="22"/>
        </w:rPr>
        <w:t>(M(IFN/LPS)), and</w:t>
      </w:r>
      <w:r w:rsidRPr="006100B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</w:t>
      </w:r>
      <w:r w:rsidRPr="006D2801">
        <w:rPr>
          <w:rFonts w:ascii="Arial" w:hAnsi="Arial" w:cs="Arial"/>
          <w:sz w:val="22"/>
        </w:rPr>
        <w:t xml:space="preserve">0ng/mL </w:t>
      </w:r>
      <w:r>
        <w:rPr>
          <w:rFonts w:ascii="Arial" w:eastAsiaTheme="minorEastAsia" w:hAnsi="Arial" w:cs="Arial"/>
          <w:sz w:val="22"/>
          <w:lang w:eastAsia="ja-JP"/>
        </w:rPr>
        <w:t>TGF-</w:t>
      </w:r>
      <w:r w:rsidRPr="00C04187">
        <w:rPr>
          <w:rFonts w:ascii="Arial" w:eastAsiaTheme="minorEastAsia" w:hAnsi="Arial" w:cs="Arial"/>
          <w:sz w:val="22"/>
          <w:lang w:eastAsia="ja-JP"/>
        </w:rPr>
        <w:t>β</w:t>
      </w:r>
      <w:r>
        <w:rPr>
          <w:rFonts w:ascii="Arial" w:eastAsiaTheme="minorEastAsia" w:hAnsi="Arial" w:cs="Arial"/>
          <w:sz w:val="22"/>
          <w:lang w:eastAsia="ja-JP"/>
        </w:rPr>
        <w:t>1</w:t>
      </w:r>
      <w:r>
        <w:rPr>
          <w:rFonts w:ascii="Arial" w:hAnsi="Arial" w:cs="Arial"/>
          <w:sz w:val="22"/>
        </w:rPr>
        <w:t xml:space="preserve"> (M(TGF)).</w:t>
      </w:r>
    </w:p>
    <w:p w:rsidR="009830F6" w:rsidRDefault="009830F6" w:rsidP="00846C89">
      <w:pPr>
        <w:spacing w:line="480" w:lineRule="auto"/>
        <w:contextualSpacing/>
        <w:rPr>
          <w:rFonts w:ascii="Arial" w:hAnsi="Arial" w:cs="Arial"/>
          <w:sz w:val="22"/>
          <w:vertAlign w:val="subscript"/>
        </w:rPr>
      </w:pPr>
    </w:p>
    <w:p w:rsidR="009830F6" w:rsidRDefault="009830F6" w:rsidP="00846C89">
      <w:pPr>
        <w:spacing w:line="480" w:lineRule="auto"/>
        <w:contextualSpacing/>
        <w:rPr>
          <w:rFonts w:ascii="Arial" w:eastAsiaTheme="minorEastAsia" w:hAnsi="Arial" w:cs="Arial"/>
          <w:sz w:val="22"/>
          <w:lang w:eastAsia="ja-JP"/>
        </w:rPr>
      </w:pPr>
      <w:r w:rsidRPr="001E0074">
        <w:rPr>
          <w:rFonts w:ascii="Arial" w:eastAsiaTheme="minorEastAsia" w:hAnsi="Arial" w:cs="Arial"/>
          <w:sz w:val="22"/>
          <w:u w:val="single"/>
          <w:lang w:eastAsia="ja-JP"/>
        </w:rPr>
        <w:t>Human Vocal Fold Fibroblast and Macrophage</w:t>
      </w:r>
      <w:r>
        <w:rPr>
          <w:rFonts w:ascii="Arial" w:eastAsiaTheme="minorEastAsia" w:hAnsi="Arial" w:cs="Arial"/>
          <w:sz w:val="22"/>
          <w:u w:val="single"/>
          <w:lang w:eastAsia="ja-JP"/>
        </w:rPr>
        <w:t xml:space="preserve"> Co-Culture</w:t>
      </w:r>
      <w:r w:rsidRPr="001E0074">
        <w:rPr>
          <w:rFonts w:ascii="Arial" w:eastAsiaTheme="minorEastAsia" w:hAnsi="Arial" w:cs="Arial"/>
          <w:sz w:val="22"/>
          <w:u w:val="single"/>
          <w:lang w:eastAsia="ja-JP"/>
        </w:rPr>
        <w:t>.</w:t>
      </w:r>
      <w:r>
        <w:rPr>
          <w:rFonts w:ascii="Arial" w:eastAsiaTheme="minorEastAsia" w:hAnsi="Arial" w:cs="Arial"/>
          <w:sz w:val="22"/>
          <w:lang w:eastAsia="ja-JP"/>
        </w:rPr>
        <w:t xml:space="preserve"> Direct macrophage-fibroblast co-culture was performed as described previously, with some modifications.</w:t>
      </w:r>
      <w:r w:rsidRPr="00335A3F">
        <w:rPr>
          <w:rFonts w:ascii="Arial" w:eastAsiaTheme="minorEastAsia" w:hAnsi="Arial" w:cs="Arial"/>
          <w:noProof/>
          <w:sz w:val="22"/>
          <w:vertAlign w:val="superscript"/>
          <w:lang w:eastAsia="ja-JP"/>
        </w:rPr>
        <w:t>27</w:t>
      </w:r>
      <w:r>
        <w:rPr>
          <w:rFonts w:ascii="Arial" w:eastAsiaTheme="minorEastAsia" w:hAnsi="Arial" w:cs="Arial"/>
          <w:sz w:val="22"/>
          <w:lang w:eastAsia="ja-JP"/>
        </w:rPr>
        <w:t xml:space="preserve"> Briefly, M(IFN/LPS) and M(TGF)</w:t>
      </w:r>
      <w:r w:rsidRPr="00C6608C">
        <w:rPr>
          <w:rFonts w:ascii="Arial" w:eastAsiaTheme="minorEastAsia" w:hAnsi="Arial" w:cs="Arial"/>
          <w:sz w:val="22"/>
          <w:lang w:eastAsia="ja-JP"/>
        </w:rPr>
        <w:t xml:space="preserve"> macroph</w:t>
      </w:r>
      <w:r>
        <w:rPr>
          <w:rFonts w:ascii="Arial" w:eastAsiaTheme="minorEastAsia" w:hAnsi="Arial" w:cs="Arial"/>
          <w:sz w:val="22"/>
          <w:lang w:eastAsia="ja-JP"/>
        </w:rPr>
        <w:t>ages were washed twice with PBS</w:t>
      </w:r>
      <w:r w:rsidRPr="00C6608C">
        <w:rPr>
          <w:rFonts w:ascii="Arial" w:eastAsiaTheme="minorEastAsia" w:hAnsi="Arial" w:cs="Arial"/>
          <w:sz w:val="22"/>
          <w:lang w:eastAsia="ja-JP"/>
        </w:rPr>
        <w:t xml:space="preserve"> and then </w:t>
      </w:r>
      <w:r>
        <w:rPr>
          <w:rFonts w:ascii="Arial" w:eastAsiaTheme="minorEastAsia" w:hAnsi="Arial" w:cs="Arial"/>
          <w:sz w:val="22"/>
          <w:lang w:eastAsia="ja-JP"/>
        </w:rPr>
        <w:t>collect</w:t>
      </w:r>
      <w:r w:rsidRPr="00C6608C">
        <w:rPr>
          <w:rFonts w:ascii="Arial" w:eastAsiaTheme="minorEastAsia" w:hAnsi="Arial" w:cs="Arial"/>
          <w:sz w:val="22"/>
          <w:lang w:eastAsia="ja-JP"/>
        </w:rPr>
        <w:t xml:space="preserve">ed </w:t>
      </w:r>
      <w:r>
        <w:rPr>
          <w:rFonts w:ascii="Arial" w:eastAsiaTheme="minorEastAsia" w:hAnsi="Arial" w:cs="Arial"/>
          <w:sz w:val="22"/>
          <w:lang w:eastAsia="ja-JP"/>
        </w:rPr>
        <w:t>using Hank's balanced salt s</w:t>
      </w:r>
      <w:r w:rsidRPr="00C6608C">
        <w:rPr>
          <w:rFonts w:ascii="Arial" w:eastAsiaTheme="minorEastAsia" w:hAnsi="Arial" w:cs="Arial"/>
          <w:sz w:val="22"/>
          <w:lang w:eastAsia="ja-JP"/>
        </w:rPr>
        <w:t xml:space="preserve">olution </w:t>
      </w:r>
      <w:r>
        <w:rPr>
          <w:rFonts w:ascii="Arial" w:eastAsiaTheme="minorEastAsia" w:hAnsi="Arial" w:cs="Arial"/>
          <w:sz w:val="22"/>
          <w:lang w:eastAsia="ja-JP"/>
        </w:rPr>
        <w:t>containing 2mM EDTA and 1mg/mL bovine serum albumin (BSA)</w:t>
      </w:r>
      <w:r w:rsidRPr="00C6608C">
        <w:rPr>
          <w:rFonts w:ascii="Arial" w:eastAsiaTheme="minorEastAsia" w:hAnsi="Arial" w:cs="Arial"/>
          <w:sz w:val="22"/>
          <w:lang w:eastAsia="ja-JP"/>
        </w:rPr>
        <w:t xml:space="preserve">. </w:t>
      </w:r>
      <w:r>
        <w:rPr>
          <w:rFonts w:ascii="Arial" w:eastAsiaTheme="minorEastAsia" w:hAnsi="Arial" w:cs="Arial"/>
          <w:sz w:val="22"/>
          <w:lang w:eastAsia="ja-JP"/>
        </w:rPr>
        <w:t>Following removal of the solution by centrifuge, macrophages</w:t>
      </w:r>
      <w:r w:rsidRPr="00C6608C">
        <w:rPr>
          <w:rFonts w:ascii="Arial" w:eastAsiaTheme="minorEastAsia" w:hAnsi="Arial" w:cs="Arial"/>
          <w:sz w:val="22"/>
          <w:lang w:eastAsia="ja-JP"/>
        </w:rPr>
        <w:t xml:space="preserve"> were </w:t>
      </w:r>
      <w:r>
        <w:rPr>
          <w:rFonts w:ascii="Arial" w:eastAsiaTheme="minorEastAsia" w:hAnsi="Arial" w:cs="Arial"/>
          <w:sz w:val="22"/>
          <w:lang w:eastAsia="ja-JP"/>
        </w:rPr>
        <w:t xml:space="preserve">spread </w:t>
      </w:r>
      <w:r w:rsidRPr="00C6608C">
        <w:rPr>
          <w:rFonts w:ascii="Arial" w:eastAsiaTheme="minorEastAsia" w:hAnsi="Arial" w:cs="Arial"/>
          <w:sz w:val="22"/>
          <w:lang w:eastAsia="ja-JP"/>
        </w:rPr>
        <w:t xml:space="preserve">onto serum-starved </w:t>
      </w:r>
      <w:r>
        <w:rPr>
          <w:rFonts w:ascii="Arial" w:eastAsiaTheme="minorEastAsia" w:hAnsi="Arial" w:cs="Arial"/>
          <w:sz w:val="22"/>
          <w:lang w:eastAsia="ja-JP"/>
        </w:rPr>
        <w:t xml:space="preserve">confluent </w:t>
      </w:r>
      <w:r w:rsidRPr="00C6608C">
        <w:rPr>
          <w:rFonts w:ascii="Arial" w:eastAsiaTheme="minorEastAsia" w:hAnsi="Arial" w:cs="Arial"/>
          <w:sz w:val="22"/>
          <w:lang w:eastAsia="ja-JP"/>
        </w:rPr>
        <w:t>fibroblasts</w:t>
      </w:r>
      <w:r>
        <w:rPr>
          <w:rFonts w:ascii="Arial" w:eastAsiaTheme="minorEastAsia" w:hAnsi="Arial" w:cs="Arial"/>
          <w:sz w:val="22"/>
          <w:lang w:eastAsia="ja-JP"/>
        </w:rPr>
        <w:t xml:space="preserve"> at 2</w:t>
      </w:r>
      <w:r w:rsidRPr="00C6608C">
        <w:rPr>
          <w:rFonts w:ascii="Arial" w:eastAsiaTheme="minorEastAsia" w:hAnsi="Arial" w:cs="Arial"/>
          <w:sz w:val="22"/>
          <w:lang w:eastAsia="ja-JP"/>
        </w:rPr>
        <w:t xml:space="preserve"> × 10</w:t>
      </w:r>
      <w:r w:rsidRPr="001A7357">
        <w:rPr>
          <w:rFonts w:ascii="Arial" w:eastAsiaTheme="minorEastAsia" w:hAnsi="Arial" w:cs="Arial"/>
          <w:sz w:val="22"/>
          <w:vertAlign w:val="superscript"/>
          <w:lang w:eastAsia="ja-JP"/>
        </w:rPr>
        <w:t>4</w:t>
      </w:r>
      <w:r w:rsidRPr="00C6608C">
        <w:rPr>
          <w:rFonts w:ascii="Arial" w:eastAsiaTheme="minorEastAsia" w:hAnsi="Arial" w:cs="Arial"/>
          <w:sz w:val="22"/>
          <w:lang w:eastAsia="ja-JP"/>
        </w:rPr>
        <w:t xml:space="preserve"> cells/cm</w:t>
      </w:r>
      <w:r w:rsidRPr="001A7357">
        <w:rPr>
          <w:rFonts w:ascii="Arial" w:eastAsiaTheme="minorEastAsia" w:hAnsi="Arial" w:cs="Arial"/>
          <w:sz w:val="22"/>
          <w:vertAlign w:val="superscript"/>
          <w:lang w:eastAsia="ja-JP"/>
        </w:rPr>
        <w:t>2</w:t>
      </w:r>
      <w:r>
        <w:rPr>
          <w:rFonts w:ascii="Arial" w:eastAsiaTheme="minorEastAsia" w:hAnsi="Arial" w:cs="Arial"/>
          <w:sz w:val="22"/>
          <w:lang w:eastAsia="ja-JP"/>
        </w:rPr>
        <w:t xml:space="preserve">. Macrophages and fibroblasts were co-cultured in DMEM containing 100 µg/mL BSA +/- 0.1 – 3,000nM methylprednisolone </w:t>
      </w:r>
      <w:r w:rsidRPr="009E3B5C">
        <w:rPr>
          <w:rFonts w:ascii="Arial" w:eastAsiaTheme="minorEastAsia" w:hAnsi="Arial" w:cs="Arial"/>
          <w:sz w:val="22"/>
          <w:lang w:eastAsia="ja-JP"/>
        </w:rPr>
        <w:t xml:space="preserve">+/- </w:t>
      </w:r>
      <w:r>
        <w:rPr>
          <w:rFonts w:ascii="Arial" w:eastAsiaTheme="minorEastAsia" w:hAnsi="Arial" w:cs="Arial"/>
          <w:sz w:val="22"/>
          <w:lang w:eastAsia="ja-JP"/>
        </w:rPr>
        <w:t>3µM verteporfin</w:t>
      </w:r>
      <w:r w:rsidRPr="009E3B5C">
        <w:rPr>
          <w:rFonts w:ascii="Arial" w:eastAsiaTheme="minorEastAsia" w:hAnsi="Arial" w:cs="Arial"/>
          <w:sz w:val="22"/>
          <w:lang w:eastAsia="ja-JP"/>
        </w:rPr>
        <w:t xml:space="preserve"> </w:t>
      </w:r>
      <w:r>
        <w:rPr>
          <w:rFonts w:ascii="Arial" w:eastAsiaTheme="minorEastAsia" w:hAnsi="Arial" w:cs="Arial"/>
          <w:sz w:val="22"/>
          <w:lang w:eastAsia="ja-JP"/>
        </w:rPr>
        <w:t>for 24 hours. Indirect macrophage-fibroblast co-culture was performed as described previously.</w:t>
      </w:r>
      <w:r w:rsidRPr="00335A3F">
        <w:rPr>
          <w:rFonts w:ascii="Arial" w:eastAsiaTheme="minorEastAsia" w:hAnsi="Arial" w:cs="Arial"/>
          <w:noProof/>
          <w:sz w:val="22"/>
          <w:vertAlign w:val="superscript"/>
          <w:lang w:eastAsia="ja-JP"/>
        </w:rPr>
        <w:t>31</w:t>
      </w:r>
    </w:p>
    <w:p w:rsidR="009830F6" w:rsidRDefault="009830F6" w:rsidP="00846C89">
      <w:pPr>
        <w:spacing w:line="480" w:lineRule="auto"/>
        <w:ind w:firstLine="720"/>
        <w:contextualSpacing/>
        <w:rPr>
          <w:rFonts w:ascii="Arial" w:hAnsi="Arial" w:cs="Arial"/>
          <w:sz w:val="22"/>
        </w:rPr>
      </w:pPr>
    </w:p>
    <w:p w:rsidR="009830F6" w:rsidRDefault="009830F6" w:rsidP="00846C89">
      <w:pPr>
        <w:spacing w:line="480" w:lineRule="auto"/>
        <w:rPr>
          <w:rFonts w:ascii="Arial" w:hAnsi="Arial" w:cs="Arial"/>
          <w:sz w:val="22"/>
        </w:rPr>
      </w:pPr>
      <w:r w:rsidRPr="004E39EC">
        <w:rPr>
          <w:rFonts w:ascii="Arial" w:hAnsi="Arial" w:cs="Arial"/>
          <w:sz w:val="22"/>
          <w:u w:val="single"/>
        </w:rPr>
        <w:t>Quantitative Real-Time Polymerase Chain Reaction (qPCR).</w:t>
      </w:r>
      <w:r w:rsidRPr="004E39E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Following direct co-culture, HVOX fibroblasts and GFP-positive macrophages were collected together by trypsin/EDTA treatment, and then separated based on GFP expression using FACS Aria IIu. RNA extraction and reverse transcription were performed </w:t>
      </w:r>
      <w:r w:rsidRPr="00D5631F">
        <w:rPr>
          <w:rFonts w:ascii="Arial" w:hAnsi="Arial" w:cs="Arial"/>
          <w:sz w:val="22"/>
        </w:rPr>
        <w:t>using the RNeasy Mini Kit (Qiagen, Valencia, CA) and High-Capacity cDNA Reverse Transcription Kit (Applied Biosystems)</w:t>
      </w:r>
      <w:r>
        <w:rPr>
          <w:rFonts w:ascii="Arial" w:hAnsi="Arial" w:cs="Arial"/>
          <w:sz w:val="22"/>
        </w:rPr>
        <w:t>.</w:t>
      </w:r>
      <w:r w:rsidRPr="004E39EC">
        <w:rPr>
          <w:rFonts w:ascii="Arial" w:hAnsi="Arial" w:cs="Arial"/>
          <w:sz w:val="22"/>
        </w:rPr>
        <w:t xml:space="preserve"> The TaqMan Gene Expression </w:t>
      </w:r>
      <w:r w:rsidRPr="004E39EC">
        <w:rPr>
          <w:rFonts w:ascii="Arial" w:hAnsi="Arial" w:cs="Arial"/>
          <w:sz w:val="22"/>
        </w:rPr>
        <w:lastRenderedPageBreak/>
        <w:t xml:space="preserve">kit (Life Technologies) </w:t>
      </w:r>
      <w:r>
        <w:rPr>
          <w:rFonts w:ascii="Arial" w:hAnsi="Arial" w:cs="Arial"/>
          <w:sz w:val="22"/>
        </w:rPr>
        <w:t xml:space="preserve">was </w:t>
      </w:r>
      <w:r w:rsidRPr="004E39EC">
        <w:rPr>
          <w:rFonts w:ascii="Arial" w:hAnsi="Arial" w:cs="Arial"/>
          <w:sz w:val="22"/>
        </w:rPr>
        <w:t>employed for</w:t>
      </w:r>
      <w:r>
        <w:rPr>
          <w:rFonts w:ascii="Arial" w:hAnsi="Arial" w:cs="Arial"/>
          <w:sz w:val="22"/>
        </w:rPr>
        <w:t xml:space="preserve"> real-time polymerase chain reaction in</w:t>
      </w:r>
      <w:r w:rsidRPr="004E39EC">
        <w:rPr>
          <w:rFonts w:ascii="Arial" w:hAnsi="Arial" w:cs="Arial"/>
          <w:sz w:val="22"/>
        </w:rPr>
        <w:t xml:space="preserve"> </w:t>
      </w:r>
      <w:r w:rsidRPr="008A5086">
        <w:rPr>
          <w:rFonts w:ascii="Arial" w:hAnsi="Arial" w:cs="Arial"/>
          <w:sz w:val="22"/>
        </w:rPr>
        <w:t>StepOne Plus (Applied Biosystems)</w:t>
      </w:r>
      <w:r>
        <w:rPr>
          <w:rFonts w:ascii="Arial" w:hAnsi="Arial" w:cs="Arial"/>
          <w:sz w:val="22"/>
        </w:rPr>
        <w:t>.</w:t>
      </w:r>
      <w:r w:rsidRPr="004E39EC">
        <w:rPr>
          <w:rFonts w:ascii="Arial" w:hAnsi="Arial" w:cs="Arial"/>
          <w:sz w:val="22"/>
        </w:rPr>
        <w:t xml:space="preserve"> Taqman primer probes for human </w:t>
      </w:r>
      <w:r w:rsidRPr="004E39EC">
        <w:rPr>
          <w:rFonts w:ascii="Arial" w:hAnsi="Arial" w:cs="Arial"/>
          <w:i/>
          <w:iCs/>
          <w:color w:val="000000"/>
          <w:sz w:val="22"/>
        </w:rPr>
        <w:t>ACTA2</w:t>
      </w:r>
      <w:r>
        <w:rPr>
          <w:rFonts w:ascii="Arial" w:hAnsi="Arial" w:cs="Arial"/>
          <w:color w:val="000000"/>
          <w:sz w:val="22"/>
        </w:rPr>
        <w:t xml:space="preserve"> (Hs00426835_g1)</w:t>
      </w:r>
      <w:r w:rsidRPr="004E39EC">
        <w:rPr>
          <w:rFonts w:ascii="Arial" w:hAnsi="Arial" w:cs="Arial"/>
          <w:color w:val="000000"/>
          <w:sz w:val="22"/>
        </w:rPr>
        <w:t xml:space="preserve">, </w:t>
      </w:r>
      <w:r w:rsidRPr="004E39EC">
        <w:rPr>
          <w:rFonts w:ascii="Arial" w:hAnsi="Arial" w:cs="Arial"/>
          <w:i/>
          <w:iCs/>
          <w:color w:val="000000"/>
          <w:sz w:val="22"/>
        </w:rPr>
        <w:t>CCN2</w:t>
      </w:r>
      <w:r w:rsidRPr="004E39EC">
        <w:rPr>
          <w:rFonts w:ascii="Arial" w:hAnsi="Arial" w:cs="Arial"/>
          <w:color w:val="000000"/>
          <w:sz w:val="22"/>
        </w:rPr>
        <w:t xml:space="preserve"> (Hs1026927_g1), </w:t>
      </w:r>
      <w:r w:rsidRPr="001B7540">
        <w:rPr>
          <w:rFonts w:ascii="Arial" w:hAnsi="Arial" w:cs="Arial"/>
          <w:i/>
          <w:color w:val="000000"/>
          <w:sz w:val="22"/>
        </w:rPr>
        <w:t>COL1A1</w:t>
      </w:r>
      <w:r w:rsidRPr="001B7540">
        <w:rPr>
          <w:rFonts w:ascii="Arial" w:hAnsi="Arial" w:cs="Arial"/>
          <w:color w:val="000000"/>
          <w:sz w:val="22"/>
        </w:rPr>
        <w:t xml:space="preserve"> (Hs00164004_m1)</w:t>
      </w:r>
      <w:r>
        <w:rPr>
          <w:rFonts w:ascii="Arial" w:hAnsi="Arial" w:cs="Arial"/>
          <w:color w:val="000000"/>
          <w:sz w:val="22"/>
        </w:rPr>
        <w:t xml:space="preserve">, </w:t>
      </w:r>
      <w:r w:rsidRPr="001B7540">
        <w:rPr>
          <w:rFonts w:ascii="Arial" w:hAnsi="Arial" w:cs="Arial"/>
          <w:i/>
          <w:color w:val="000000"/>
          <w:sz w:val="22"/>
        </w:rPr>
        <w:t>CXCL10</w:t>
      </w:r>
      <w:r>
        <w:rPr>
          <w:rFonts w:ascii="Arial" w:hAnsi="Arial" w:cs="Arial"/>
          <w:color w:val="000000"/>
          <w:sz w:val="22"/>
        </w:rPr>
        <w:t xml:space="preserve"> (Hs00171042_m1),</w:t>
      </w:r>
      <w:r w:rsidRPr="00465100">
        <w:t xml:space="preserve"> </w:t>
      </w:r>
      <w:r w:rsidRPr="00957336">
        <w:rPr>
          <w:rFonts w:ascii="Arial" w:hAnsi="Arial" w:cs="Arial"/>
          <w:i/>
          <w:color w:val="000000"/>
          <w:sz w:val="22"/>
        </w:rPr>
        <w:t>FN1</w:t>
      </w:r>
      <w:r w:rsidRPr="00465100">
        <w:rPr>
          <w:rFonts w:ascii="Arial" w:hAnsi="Arial" w:cs="Arial"/>
          <w:color w:val="000000"/>
          <w:sz w:val="22"/>
        </w:rPr>
        <w:t xml:space="preserve"> (Hs01549976_m1),</w:t>
      </w:r>
      <w:r>
        <w:rPr>
          <w:rFonts w:ascii="Arial" w:hAnsi="Arial" w:cs="Arial"/>
          <w:color w:val="000000"/>
          <w:sz w:val="22"/>
        </w:rPr>
        <w:t xml:space="preserve"> </w:t>
      </w:r>
      <w:r w:rsidRPr="00957336">
        <w:rPr>
          <w:rFonts w:ascii="Arial" w:hAnsi="Arial" w:cs="Arial"/>
          <w:i/>
          <w:color w:val="000000"/>
          <w:sz w:val="22"/>
        </w:rPr>
        <w:t>IL1B</w:t>
      </w:r>
      <w:r w:rsidRPr="00465100">
        <w:rPr>
          <w:rFonts w:ascii="Arial" w:hAnsi="Arial" w:cs="Arial"/>
          <w:color w:val="000000"/>
          <w:sz w:val="22"/>
        </w:rPr>
        <w:t xml:space="preserve"> (Hs01555410_m1),</w:t>
      </w:r>
      <w:r>
        <w:rPr>
          <w:rFonts w:ascii="Arial" w:hAnsi="Arial" w:cs="Arial"/>
          <w:color w:val="000000"/>
          <w:sz w:val="22"/>
        </w:rPr>
        <w:t xml:space="preserve"> </w:t>
      </w:r>
      <w:r w:rsidRPr="00957336">
        <w:rPr>
          <w:rFonts w:ascii="Arial" w:hAnsi="Arial" w:cs="Arial"/>
          <w:i/>
          <w:color w:val="000000"/>
          <w:sz w:val="22"/>
        </w:rPr>
        <w:t>TGM2</w:t>
      </w:r>
      <w:r w:rsidRPr="00465100">
        <w:rPr>
          <w:rFonts w:ascii="Arial" w:hAnsi="Arial" w:cs="Arial"/>
          <w:color w:val="000000"/>
          <w:sz w:val="22"/>
        </w:rPr>
        <w:t xml:space="preserve"> (Hs00190278_m1),</w:t>
      </w:r>
      <w:r>
        <w:rPr>
          <w:rFonts w:ascii="Arial" w:hAnsi="Arial" w:cs="Arial"/>
          <w:color w:val="000000"/>
          <w:sz w:val="22"/>
        </w:rPr>
        <w:t xml:space="preserve"> </w:t>
      </w:r>
      <w:r w:rsidRPr="001B7540">
        <w:rPr>
          <w:rFonts w:ascii="Arial" w:hAnsi="Arial" w:cs="Arial"/>
          <w:i/>
          <w:color w:val="000000"/>
          <w:sz w:val="22"/>
        </w:rPr>
        <w:t>TNF</w:t>
      </w:r>
      <w:r>
        <w:rPr>
          <w:rFonts w:ascii="Arial" w:hAnsi="Arial" w:cs="Arial"/>
          <w:color w:val="000000"/>
          <w:sz w:val="22"/>
        </w:rPr>
        <w:t xml:space="preserve"> (Hs00174128_m1), </w:t>
      </w:r>
      <w:r w:rsidRPr="001B7540">
        <w:rPr>
          <w:rFonts w:ascii="Arial" w:hAnsi="Arial" w:cs="Arial"/>
          <w:i/>
          <w:color w:val="000000"/>
          <w:sz w:val="22"/>
        </w:rPr>
        <w:t>PTGS2</w:t>
      </w:r>
      <w:r>
        <w:rPr>
          <w:rFonts w:ascii="Arial" w:hAnsi="Arial" w:cs="Arial"/>
          <w:color w:val="000000"/>
          <w:sz w:val="22"/>
        </w:rPr>
        <w:t xml:space="preserve"> (Hs00153133_m1), </w:t>
      </w:r>
      <w:r w:rsidRPr="004E39EC">
        <w:rPr>
          <w:rFonts w:ascii="Arial" w:hAnsi="Arial" w:cs="Arial"/>
          <w:color w:val="000000"/>
          <w:sz w:val="22"/>
        </w:rPr>
        <w:t xml:space="preserve">and </w:t>
      </w:r>
      <w:r w:rsidRPr="004E39EC">
        <w:rPr>
          <w:rFonts w:ascii="Arial" w:hAnsi="Arial" w:cs="Arial"/>
          <w:i/>
          <w:iCs/>
          <w:color w:val="000000"/>
          <w:sz w:val="22"/>
        </w:rPr>
        <w:t>GAPDH</w:t>
      </w:r>
      <w:r w:rsidRPr="004E39EC">
        <w:rPr>
          <w:rFonts w:ascii="Arial" w:hAnsi="Arial" w:cs="Arial"/>
          <w:color w:val="000000"/>
          <w:sz w:val="22"/>
        </w:rPr>
        <w:t xml:space="preserve"> (Hs02758991_g1)</w:t>
      </w:r>
      <w:r>
        <w:rPr>
          <w:rFonts w:ascii="Arial" w:hAnsi="Arial" w:cs="Arial"/>
          <w:color w:val="000000"/>
          <w:sz w:val="22"/>
        </w:rPr>
        <w:t xml:space="preserve"> were used</w:t>
      </w:r>
      <w:r>
        <w:rPr>
          <w:rFonts w:ascii="Arial" w:hAnsi="Arial" w:cs="Arial"/>
          <w:sz w:val="22"/>
        </w:rPr>
        <w:t>.</w:t>
      </w:r>
      <w:r w:rsidRPr="004E39E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Expression levels relative to </w:t>
      </w:r>
      <w:r w:rsidRPr="0092128C">
        <w:rPr>
          <w:rFonts w:ascii="Arial" w:hAnsi="Arial" w:cs="Arial"/>
          <w:i/>
          <w:sz w:val="22"/>
        </w:rPr>
        <w:t>GAPDH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were quantified by t</w:t>
      </w:r>
      <w:r w:rsidRPr="004E39EC">
        <w:rPr>
          <w:rFonts w:ascii="Arial" w:hAnsi="Arial" w:cs="Arial"/>
          <w:sz w:val="22"/>
        </w:rPr>
        <w:t>he ΔΔCt method</w:t>
      </w:r>
      <w:r w:rsidRPr="000701B6">
        <w:rPr>
          <w:rFonts w:ascii="Arial" w:hAnsi="Arial" w:cs="Arial"/>
          <w:sz w:val="22"/>
        </w:rPr>
        <w:t>.</w:t>
      </w:r>
    </w:p>
    <w:p w:rsidR="009830F6" w:rsidRDefault="009830F6" w:rsidP="00846C89">
      <w:pPr>
        <w:spacing w:line="480" w:lineRule="auto"/>
        <w:rPr>
          <w:rFonts w:ascii="Arial" w:hAnsi="Arial" w:cs="Arial"/>
          <w:sz w:val="22"/>
        </w:rPr>
      </w:pPr>
    </w:p>
    <w:p w:rsidR="009830F6" w:rsidRPr="006F3899" w:rsidRDefault="009830F6" w:rsidP="00846C89">
      <w:pPr>
        <w:spacing w:line="480" w:lineRule="auto"/>
        <w:rPr>
          <w:rFonts w:ascii="Arial" w:hAnsi="Arial" w:cs="Arial"/>
          <w:sz w:val="22"/>
        </w:rPr>
      </w:pPr>
      <w:r w:rsidRPr="00957336">
        <w:rPr>
          <w:rFonts w:ascii="Arial" w:hAnsi="Arial" w:cs="Arial"/>
          <w:sz w:val="22"/>
          <w:u w:val="single"/>
        </w:rPr>
        <w:t>Western blotting.</w:t>
      </w:r>
      <w:r w:rsidRPr="006F38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Following direct co-culture of fibroblasts and GFP-negative macrophages, protein expression and phosphorylation were assessed by Western blotting as described previously.</w:t>
      </w:r>
      <w:r w:rsidRPr="00335A3F">
        <w:rPr>
          <w:rFonts w:ascii="Arial" w:hAnsi="Arial" w:cs="Arial"/>
          <w:noProof/>
          <w:sz w:val="22"/>
          <w:vertAlign w:val="superscript"/>
        </w:rPr>
        <w:t>27</w:t>
      </w:r>
      <w:r>
        <w:rPr>
          <w:rFonts w:ascii="Arial" w:hAnsi="Arial" w:cs="Arial"/>
          <w:sz w:val="22"/>
        </w:rPr>
        <w:t xml:space="preserve"> Briefly, c</w:t>
      </w:r>
      <w:r w:rsidRPr="006F3899">
        <w:rPr>
          <w:rFonts w:ascii="Arial" w:hAnsi="Arial" w:cs="Arial"/>
          <w:sz w:val="22"/>
        </w:rPr>
        <w:t>ells</w:t>
      </w:r>
      <w:r>
        <w:rPr>
          <w:rFonts w:ascii="Arial" w:hAnsi="Arial" w:cs="Arial"/>
          <w:sz w:val="22"/>
        </w:rPr>
        <w:t xml:space="preserve"> </w:t>
      </w:r>
      <w:r w:rsidRPr="006F3899">
        <w:rPr>
          <w:rFonts w:ascii="Arial" w:hAnsi="Arial" w:cs="Arial"/>
          <w:sz w:val="22"/>
        </w:rPr>
        <w:t>collected using a lysis buffer</w:t>
      </w:r>
      <w:r>
        <w:rPr>
          <w:rFonts w:ascii="Arial" w:hAnsi="Arial" w:cs="Arial"/>
          <w:sz w:val="22"/>
        </w:rPr>
        <w:t xml:space="preserve"> containing protease and phosphatase inhibitors </w:t>
      </w:r>
      <w:r w:rsidRPr="006F3899">
        <w:rPr>
          <w:rFonts w:ascii="Arial" w:hAnsi="Arial" w:cs="Arial"/>
          <w:sz w:val="22"/>
        </w:rPr>
        <w:t xml:space="preserve">were combined with 4x Laemmli Sample buffer (Bio-Rad) and 2-mercaptoethanol. </w:t>
      </w:r>
      <w:r>
        <w:rPr>
          <w:rFonts w:ascii="Arial" w:hAnsi="Arial" w:cs="Arial"/>
          <w:sz w:val="22"/>
        </w:rPr>
        <w:t>Following electrophoresis, s</w:t>
      </w:r>
      <w:r w:rsidRPr="006F3899">
        <w:rPr>
          <w:rFonts w:ascii="Arial" w:hAnsi="Arial" w:cs="Arial"/>
          <w:sz w:val="22"/>
        </w:rPr>
        <w:t>amples were transferred to PVDF membranes (Invitrogen)</w:t>
      </w:r>
      <w:r>
        <w:rPr>
          <w:rFonts w:ascii="Arial" w:hAnsi="Arial" w:cs="Arial"/>
          <w:sz w:val="22"/>
        </w:rPr>
        <w:t>. Membranes were</w:t>
      </w:r>
      <w:r w:rsidRPr="006F3899">
        <w:rPr>
          <w:rFonts w:ascii="Arial" w:hAnsi="Arial" w:cs="Arial"/>
          <w:sz w:val="22"/>
        </w:rPr>
        <w:t xml:space="preserve"> blocked with 5% BSA (Fisher Scientific)</w:t>
      </w:r>
      <w:r>
        <w:rPr>
          <w:rFonts w:ascii="Arial" w:hAnsi="Arial" w:cs="Arial"/>
          <w:sz w:val="22"/>
        </w:rPr>
        <w:t xml:space="preserve"> and</w:t>
      </w:r>
      <w:r w:rsidRPr="006F3899">
        <w:rPr>
          <w:rFonts w:ascii="Arial" w:hAnsi="Arial" w:cs="Arial"/>
          <w:sz w:val="22"/>
        </w:rPr>
        <w:t xml:space="preserve"> incubated with the antibodies shown in Table S1. Signals </w:t>
      </w:r>
      <w:r>
        <w:rPr>
          <w:rFonts w:ascii="Arial" w:hAnsi="Arial" w:cs="Arial"/>
          <w:sz w:val="22"/>
        </w:rPr>
        <w:t xml:space="preserve">developed </w:t>
      </w:r>
      <w:r w:rsidRPr="0000002D">
        <w:rPr>
          <w:rFonts w:ascii="Arial" w:hAnsi="Arial" w:cs="Arial"/>
          <w:sz w:val="22"/>
        </w:rPr>
        <w:t>with SuperSignal™ West Femto Maximum Sensitivity Substrate (Pierce Biotechnology, Rockford, IL)</w:t>
      </w:r>
      <w:r>
        <w:rPr>
          <w:rFonts w:ascii="Arial" w:hAnsi="Arial" w:cs="Arial"/>
          <w:sz w:val="22"/>
        </w:rPr>
        <w:t xml:space="preserve"> </w:t>
      </w:r>
      <w:r w:rsidRPr="006F3899">
        <w:rPr>
          <w:rFonts w:ascii="Arial" w:hAnsi="Arial" w:cs="Arial"/>
          <w:sz w:val="22"/>
        </w:rPr>
        <w:t xml:space="preserve">were </w:t>
      </w:r>
      <w:r>
        <w:rPr>
          <w:rFonts w:ascii="Arial" w:hAnsi="Arial" w:cs="Arial"/>
          <w:sz w:val="22"/>
        </w:rPr>
        <w:t>observed under</w:t>
      </w:r>
      <w:r w:rsidRPr="006F3899">
        <w:rPr>
          <w:rFonts w:ascii="Arial" w:hAnsi="Arial" w:cs="Arial"/>
          <w:sz w:val="22"/>
        </w:rPr>
        <w:t xml:space="preserve"> ChemiDoc MP (Bio-rad, Hercules, CA).</w:t>
      </w:r>
    </w:p>
    <w:p w:rsidR="009830F6" w:rsidRPr="006F3899" w:rsidRDefault="009830F6" w:rsidP="00846C89">
      <w:pPr>
        <w:spacing w:line="480" w:lineRule="auto"/>
        <w:rPr>
          <w:rFonts w:ascii="Arial" w:hAnsi="Arial" w:cs="Arial"/>
          <w:sz w:val="22"/>
        </w:rPr>
      </w:pPr>
    </w:p>
    <w:p w:rsidR="009830F6" w:rsidRDefault="009830F6" w:rsidP="00846C89">
      <w:pPr>
        <w:spacing w:line="480" w:lineRule="auto"/>
        <w:rPr>
          <w:rFonts w:ascii="Arial" w:hAnsi="Arial" w:cs="Arial"/>
          <w:sz w:val="22"/>
        </w:rPr>
      </w:pPr>
      <w:r w:rsidRPr="00957336">
        <w:rPr>
          <w:rFonts w:ascii="Arial" w:hAnsi="Arial" w:cs="Arial"/>
          <w:sz w:val="22"/>
          <w:u w:val="single"/>
        </w:rPr>
        <w:t>Immunocytochemistry.</w:t>
      </w:r>
      <w:r w:rsidRPr="006F38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Following direct co-culture of fibroblasts and GFP-negative macrophages, nuclear localization of GR and YAP/TAZ was assessed by immunocytochemistry as described previously.</w:t>
      </w:r>
      <w:r w:rsidRPr="00335A3F">
        <w:rPr>
          <w:rFonts w:ascii="Arial" w:hAnsi="Arial" w:cs="Arial"/>
          <w:noProof/>
          <w:sz w:val="22"/>
          <w:vertAlign w:val="superscript"/>
        </w:rPr>
        <w:t>37</w:t>
      </w:r>
      <w:r>
        <w:rPr>
          <w:rFonts w:ascii="Arial" w:hAnsi="Arial" w:cs="Arial"/>
          <w:sz w:val="22"/>
        </w:rPr>
        <w:t xml:space="preserve"> Briefly, c</w:t>
      </w:r>
      <w:r w:rsidRPr="006F3899">
        <w:rPr>
          <w:rFonts w:ascii="Arial" w:hAnsi="Arial" w:cs="Arial"/>
          <w:sz w:val="22"/>
        </w:rPr>
        <w:t>ells fixed using 4% paraformaldehyde were permeabilized with 0.2% Triton-X</w:t>
      </w:r>
      <w:r>
        <w:rPr>
          <w:rFonts w:ascii="Arial" w:hAnsi="Arial" w:cs="Arial"/>
          <w:sz w:val="22"/>
        </w:rPr>
        <w:t>,</w:t>
      </w:r>
      <w:r w:rsidRPr="006F3899">
        <w:rPr>
          <w:rFonts w:ascii="Arial" w:hAnsi="Arial" w:cs="Arial"/>
          <w:sz w:val="22"/>
        </w:rPr>
        <w:t xml:space="preserve"> incubated in PBS containing 0.05% Tween-20 and </w:t>
      </w:r>
      <w:r>
        <w:rPr>
          <w:rFonts w:ascii="Arial" w:hAnsi="Arial" w:cs="Arial"/>
          <w:sz w:val="22"/>
        </w:rPr>
        <w:t>2</w:t>
      </w:r>
      <w:r w:rsidRPr="006F3899">
        <w:rPr>
          <w:rFonts w:ascii="Arial" w:hAnsi="Arial" w:cs="Arial"/>
          <w:sz w:val="22"/>
        </w:rPr>
        <w:t xml:space="preserve">% </w:t>
      </w:r>
      <w:r>
        <w:rPr>
          <w:rFonts w:ascii="Arial" w:hAnsi="Arial" w:cs="Arial"/>
          <w:sz w:val="22"/>
        </w:rPr>
        <w:t>normal donkey serum (</w:t>
      </w:r>
      <w:r w:rsidRPr="00C429DF">
        <w:rPr>
          <w:rFonts w:ascii="Arial" w:hAnsi="Arial" w:cs="Arial"/>
          <w:sz w:val="22"/>
        </w:rPr>
        <w:t>Southern Biotech</w:t>
      </w:r>
      <w:r>
        <w:rPr>
          <w:rFonts w:ascii="Arial" w:hAnsi="Arial" w:cs="Arial"/>
          <w:sz w:val="22"/>
        </w:rPr>
        <w:t xml:space="preserve">, </w:t>
      </w:r>
      <w:r w:rsidRPr="00C429DF">
        <w:rPr>
          <w:rFonts w:ascii="Arial" w:hAnsi="Arial" w:cs="Arial"/>
          <w:sz w:val="22"/>
        </w:rPr>
        <w:t>Birmingham, AL</w:t>
      </w:r>
      <w:r>
        <w:rPr>
          <w:rFonts w:ascii="Arial" w:hAnsi="Arial" w:cs="Arial"/>
          <w:sz w:val="22"/>
        </w:rPr>
        <w:t>), and reacted with</w:t>
      </w:r>
      <w:r w:rsidRPr="006F38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Pr="006F3899">
        <w:rPr>
          <w:rFonts w:ascii="Arial" w:hAnsi="Arial" w:cs="Arial"/>
          <w:sz w:val="22"/>
        </w:rPr>
        <w:t xml:space="preserve">rimary and secondary antibodies shown in Table S1. </w:t>
      </w:r>
      <w:r>
        <w:rPr>
          <w:rFonts w:ascii="Arial" w:hAnsi="Arial" w:cs="Arial"/>
          <w:sz w:val="22"/>
        </w:rPr>
        <w:t xml:space="preserve">To determine nuclear regions, </w:t>
      </w:r>
      <w:r w:rsidRPr="006F3899">
        <w:rPr>
          <w:rFonts w:ascii="Arial" w:hAnsi="Arial" w:cs="Arial"/>
          <w:sz w:val="22"/>
        </w:rPr>
        <w:t>4′,6-diamidino-2-phenylindole (DAPI; PromoCell, Heidelberg, Germany)</w:t>
      </w:r>
      <w:r>
        <w:rPr>
          <w:rFonts w:ascii="Arial" w:hAnsi="Arial" w:cs="Arial"/>
          <w:sz w:val="22"/>
        </w:rPr>
        <w:t xml:space="preserve"> was employed</w:t>
      </w:r>
      <w:r w:rsidRPr="006F3899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Specimens were inspected using</w:t>
      </w:r>
      <w:r w:rsidRPr="006F38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 w:rsidRPr="006F3899">
        <w:rPr>
          <w:rFonts w:ascii="Arial" w:hAnsi="Arial" w:cs="Arial"/>
          <w:sz w:val="22"/>
        </w:rPr>
        <w:t xml:space="preserve"> confocal laser microscope (</w:t>
      </w:r>
      <w:r>
        <w:rPr>
          <w:rFonts w:ascii="Arial" w:hAnsi="Arial" w:cs="Arial"/>
          <w:sz w:val="22"/>
        </w:rPr>
        <w:t xml:space="preserve">LSM700; </w:t>
      </w:r>
      <w:r w:rsidRPr="006F3899">
        <w:rPr>
          <w:rFonts w:ascii="Arial" w:hAnsi="Arial" w:cs="Arial"/>
          <w:sz w:val="22"/>
        </w:rPr>
        <w:t>Carl Zeiss, Oberkochen, Germany).</w:t>
      </w:r>
    </w:p>
    <w:p w:rsidR="009830F6" w:rsidRDefault="009830F6" w:rsidP="00846C89">
      <w:pPr>
        <w:spacing w:line="480" w:lineRule="auto"/>
        <w:rPr>
          <w:rFonts w:ascii="Arial" w:hAnsi="Arial" w:cs="Arial"/>
          <w:sz w:val="22"/>
        </w:rPr>
      </w:pPr>
      <w:r w:rsidRPr="000701B6">
        <w:rPr>
          <w:rFonts w:ascii="Arial" w:hAnsi="Arial" w:cs="Arial"/>
          <w:sz w:val="22"/>
        </w:rPr>
        <w:t xml:space="preserve"> </w:t>
      </w:r>
    </w:p>
    <w:p w:rsidR="009830F6" w:rsidRPr="00477F07" w:rsidRDefault="009830F6" w:rsidP="00846C89">
      <w:pPr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525EC2">
        <w:rPr>
          <w:rFonts w:ascii="Arial" w:hAnsi="Arial" w:cs="Arial"/>
          <w:sz w:val="22"/>
          <w:szCs w:val="22"/>
          <w:u w:val="single"/>
        </w:rPr>
        <w:lastRenderedPageBreak/>
        <w:t>Data analysis.</w:t>
      </w:r>
      <w:r w:rsidRPr="00525E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Data were collected</w:t>
      </w:r>
      <w:r w:rsidRPr="00525E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 independently performed</w:t>
      </w:r>
      <w:r w:rsidRPr="00525E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technical </w:t>
      </w:r>
      <w:r w:rsidRPr="00525EC2">
        <w:rPr>
          <w:rFonts w:ascii="Arial" w:hAnsi="Arial" w:cs="Arial"/>
          <w:sz w:val="22"/>
          <w:szCs w:val="22"/>
        </w:rPr>
        <w:t>triplicate</w:t>
      </w:r>
      <w:r>
        <w:rPr>
          <w:rFonts w:ascii="Arial" w:hAnsi="Arial" w:cs="Arial"/>
          <w:sz w:val="22"/>
          <w:szCs w:val="22"/>
        </w:rPr>
        <w:t xml:space="preserve"> experiments</w:t>
      </w:r>
      <w:r w:rsidRPr="00525EC2">
        <w:rPr>
          <w:rFonts w:ascii="Arial" w:hAnsi="Arial" w:cs="Arial"/>
          <w:sz w:val="22"/>
          <w:szCs w:val="22"/>
        </w:rPr>
        <w:t xml:space="preserve">, at least. </w:t>
      </w:r>
      <w:r>
        <w:rPr>
          <w:rFonts w:ascii="Arial" w:hAnsi="Arial" w:cs="Arial"/>
          <w:sz w:val="22"/>
          <w:szCs w:val="22"/>
        </w:rPr>
        <w:t xml:space="preserve">The </w:t>
      </w:r>
      <w:r w:rsidRPr="00525EC2"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i/>
          <w:sz w:val="22"/>
          <w:szCs w:val="22"/>
        </w:rPr>
        <w:t>drc</w:t>
      </w:r>
      <w:r>
        <w:rPr>
          <w:rFonts w:ascii="Arial" w:hAnsi="Arial" w:cs="Arial"/>
          <w:sz w:val="22"/>
          <w:szCs w:val="22"/>
        </w:rPr>
        <w:t xml:space="preserve"> package was employed on R studio to determine</w:t>
      </w:r>
      <w:r w:rsidRPr="00525EC2">
        <w:rPr>
          <w:rFonts w:ascii="Arial" w:hAnsi="Arial" w:cs="Arial"/>
          <w:sz w:val="22"/>
          <w:szCs w:val="22"/>
        </w:rPr>
        <w:t xml:space="preserve"> EC</w:t>
      </w:r>
      <w:r w:rsidRPr="005E62A8">
        <w:rPr>
          <w:rFonts w:ascii="Arial" w:hAnsi="Arial" w:cs="Arial"/>
          <w:sz w:val="22"/>
          <w:szCs w:val="22"/>
          <w:vertAlign w:val="subscript"/>
        </w:rPr>
        <w:t>50</w:t>
      </w:r>
      <w:r w:rsidRPr="00525EC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25EC2">
        <w:rPr>
          <w:rFonts w:ascii="Arial" w:hAnsi="Arial" w:cs="Arial"/>
          <w:sz w:val="22"/>
          <w:szCs w:val="22"/>
        </w:rPr>
        <w:t>IC</w:t>
      </w:r>
      <w:r w:rsidRPr="005E62A8">
        <w:rPr>
          <w:rFonts w:ascii="Arial" w:hAnsi="Arial" w:cs="Arial"/>
          <w:sz w:val="22"/>
          <w:szCs w:val="22"/>
          <w:vertAlign w:val="subscript"/>
        </w:rPr>
        <w:t>50</w:t>
      </w:r>
      <w:r w:rsidRPr="00525EC2">
        <w:rPr>
          <w:rFonts w:ascii="Arial" w:hAnsi="Arial" w:cs="Arial"/>
          <w:sz w:val="22"/>
          <w:szCs w:val="22"/>
        </w:rPr>
        <w:t>, EC</w:t>
      </w:r>
      <w:r w:rsidRPr="005E62A8">
        <w:rPr>
          <w:rFonts w:ascii="Arial" w:hAnsi="Arial" w:cs="Arial"/>
          <w:sz w:val="22"/>
          <w:szCs w:val="22"/>
          <w:vertAlign w:val="subscript"/>
        </w:rPr>
        <w:t>90</w:t>
      </w:r>
      <w:r w:rsidRPr="00525EC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 </w:t>
      </w:r>
      <w:r w:rsidRPr="00525EC2">
        <w:rPr>
          <w:rFonts w:ascii="Arial" w:hAnsi="Arial" w:cs="Arial"/>
          <w:sz w:val="22"/>
          <w:szCs w:val="22"/>
        </w:rPr>
        <w:t>IC</w:t>
      </w:r>
      <w:r w:rsidRPr="005E62A8">
        <w:rPr>
          <w:rFonts w:ascii="Arial" w:hAnsi="Arial" w:cs="Arial"/>
          <w:sz w:val="22"/>
          <w:szCs w:val="22"/>
          <w:vertAlign w:val="subscript"/>
        </w:rPr>
        <w:t>90</w:t>
      </w:r>
      <w:r>
        <w:rPr>
          <w:rFonts w:ascii="Arial" w:hAnsi="Arial" w:cs="Arial"/>
          <w:sz w:val="22"/>
          <w:szCs w:val="22"/>
        </w:rPr>
        <w:t>.</w:t>
      </w:r>
      <w:r w:rsidRPr="00BD5827">
        <w:rPr>
          <w:rFonts w:ascii="Arial" w:hAnsi="Arial" w:cs="Arial"/>
          <w:noProof/>
          <w:sz w:val="22"/>
          <w:szCs w:val="22"/>
          <w:vertAlign w:val="superscript"/>
        </w:rPr>
        <w:t>40</w:t>
      </w:r>
      <w:r w:rsidRPr="00525EC2">
        <w:rPr>
          <w:rFonts w:ascii="Arial" w:hAnsi="Arial" w:cs="Arial"/>
          <w:sz w:val="22"/>
          <w:szCs w:val="22"/>
        </w:rPr>
        <w:t xml:space="preserve"> </w:t>
      </w:r>
      <w:r w:rsidRPr="0095683A">
        <w:rPr>
          <w:rFonts w:ascii="Arial" w:hAnsi="Arial" w:cs="Arial"/>
          <w:sz w:val="22"/>
          <w:szCs w:val="22"/>
        </w:rPr>
        <w:t xml:space="preserve">Concentration-dependent curves are </w:t>
      </w:r>
      <w:r>
        <w:rPr>
          <w:rFonts w:ascii="Arial" w:hAnsi="Arial" w:cs="Arial"/>
          <w:sz w:val="22"/>
          <w:szCs w:val="22"/>
        </w:rPr>
        <w:t>illustrated</w:t>
      </w:r>
      <w:r w:rsidRPr="0095683A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 xml:space="preserve">data that were </w:t>
      </w:r>
      <w:r w:rsidRPr="0095683A">
        <w:rPr>
          <w:rFonts w:ascii="Arial" w:hAnsi="Arial" w:cs="Arial"/>
          <w:sz w:val="22"/>
          <w:szCs w:val="22"/>
        </w:rPr>
        <w:t xml:space="preserve">applicable </w:t>
      </w:r>
      <w:r>
        <w:rPr>
          <w:rFonts w:ascii="Arial" w:hAnsi="Arial" w:cs="Arial"/>
          <w:sz w:val="22"/>
          <w:szCs w:val="22"/>
        </w:rPr>
        <w:t>of the estimation of EC</w:t>
      </w:r>
      <w:r w:rsidRPr="00E37EB7">
        <w:rPr>
          <w:rFonts w:ascii="Arial" w:hAnsi="Arial" w:cs="Arial"/>
          <w:sz w:val="22"/>
          <w:szCs w:val="22"/>
          <w:vertAlign w:val="subscript"/>
        </w:rPr>
        <w:t>50</w:t>
      </w:r>
      <w:r>
        <w:rPr>
          <w:rFonts w:ascii="Arial" w:hAnsi="Arial" w:cs="Arial"/>
          <w:sz w:val="22"/>
          <w:szCs w:val="22"/>
        </w:rPr>
        <w:t>/IC</w:t>
      </w:r>
      <w:r w:rsidRPr="00E37EB7">
        <w:rPr>
          <w:rFonts w:ascii="Arial" w:hAnsi="Arial" w:cs="Arial"/>
          <w:sz w:val="22"/>
          <w:szCs w:val="22"/>
          <w:vertAlign w:val="subscript"/>
        </w:rPr>
        <w:t>50</w:t>
      </w:r>
      <w:r>
        <w:rPr>
          <w:rFonts w:ascii="Arial" w:hAnsi="Arial" w:cs="Arial"/>
          <w:sz w:val="22"/>
          <w:szCs w:val="22"/>
        </w:rPr>
        <w:t xml:space="preserve"> and fitting into sigmoid curves in all triplicate experiments. Smooth curves are presented for the other data. Means of </w:t>
      </w:r>
      <w:r w:rsidRPr="00525EC2">
        <w:rPr>
          <w:rFonts w:ascii="Arial" w:hAnsi="Arial" w:cs="Arial"/>
          <w:sz w:val="22"/>
          <w:szCs w:val="22"/>
        </w:rPr>
        <w:t>EC</w:t>
      </w:r>
      <w:r>
        <w:rPr>
          <w:rFonts w:ascii="Arial" w:hAnsi="Arial" w:cs="Arial"/>
          <w:sz w:val="22"/>
          <w:szCs w:val="22"/>
          <w:vertAlign w:val="subscript"/>
        </w:rPr>
        <w:t>x</w:t>
      </w:r>
      <w:r w:rsidRPr="00D861E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I</w:t>
      </w:r>
      <w:r w:rsidRPr="00525EC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vertAlign w:val="subscript"/>
        </w:rPr>
        <w:t>x</w:t>
      </w:r>
      <w:r w:rsidRPr="00957336">
        <w:rPr>
          <w:rFonts w:ascii="Arial" w:hAnsi="Arial" w:cs="Arial"/>
          <w:sz w:val="22"/>
          <w:szCs w:val="22"/>
        </w:rPr>
        <w:t>, as well as standard deviations,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were calculated from the </w:t>
      </w:r>
      <w:r w:rsidRPr="00525EC2">
        <w:rPr>
          <w:rFonts w:ascii="Arial" w:hAnsi="Arial" w:cs="Arial"/>
          <w:sz w:val="22"/>
          <w:szCs w:val="22"/>
        </w:rPr>
        <w:t>EC</w:t>
      </w:r>
      <w:r>
        <w:rPr>
          <w:rFonts w:ascii="Arial" w:hAnsi="Arial" w:cs="Arial"/>
          <w:sz w:val="22"/>
          <w:szCs w:val="22"/>
          <w:vertAlign w:val="subscript"/>
        </w:rPr>
        <w:t>x</w:t>
      </w:r>
      <w:r w:rsidRPr="00D861E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I</w:t>
      </w:r>
      <w:r w:rsidRPr="00525EC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  <w:vertAlign w:val="subscript"/>
        </w:rPr>
        <w:t xml:space="preserve">x </w:t>
      </w:r>
      <w:r>
        <w:rPr>
          <w:rFonts w:ascii="Arial" w:hAnsi="Arial" w:cs="Arial"/>
          <w:sz w:val="22"/>
          <w:szCs w:val="22"/>
        </w:rPr>
        <w:t>estimations of triplicate experiments.</w:t>
      </w:r>
      <w:r w:rsidRPr="008C40E6">
        <w:rPr>
          <w:rFonts w:ascii="Arial" w:hAnsi="Arial" w:cs="Arial"/>
          <w:sz w:val="22"/>
          <w:szCs w:val="22"/>
        </w:rPr>
        <w:t xml:space="preserve"> </w:t>
      </w:r>
    </w:p>
    <w:p w:rsidR="009830F6" w:rsidRDefault="009830F6" w:rsidP="00FE05F9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9830F6" w:rsidSect="00CB5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190F"/>
    <w:multiLevelType w:val="hybridMultilevel"/>
    <w:tmpl w:val="62C69D08"/>
    <w:lvl w:ilvl="0" w:tplc="96F4870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830F6"/>
    <w:rsid w:val="00312C13"/>
    <w:rsid w:val="0098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AAAA"/>
  <w15:chartTrackingRefBased/>
  <w15:docId w15:val="{EC621C3B-5228-49F4-838B-7B54EA79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830F6"/>
    <w:pPr>
      <w:spacing w:before="100" w:beforeAutospacing="1" w:after="100" w:afterAutospacing="1"/>
      <w:outlineLvl w:val="0"/>
    </w:pPr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  <w:rsid w:val="009830F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830F6"/>
  </w:style>
  <w:style w:type="character" w:customStyle="1" w:styleId="Heading1Char">
    <w:name w:val="Heading 1 Char"/>
    <w:basedOn w:val="DefaultParagraphFont"/>
    <w:link w:val="Heading1"/>
    <w:uiPriority w:val="9"/>
    <w:rsid w:val="009830F6"/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paragraph" w:styleId="ListParagraph">
    <w:name w:val="List Paragraph"/>
    <w:basedOn w:val="Normal"/>
    <w:uiPriority w:val="34"/>
    <w:qFormat/>
    <w:rsid w:val="009830F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830F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9830F6"/>
    <w:rPr>
      <w:rFonts w:eastAsiaTheme="minorEastAsia"/>
      <w:kern w:val="2"/>
      <w:sz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830F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830F6"/>
    <w:rPr>
      <w:rFonts w:eastAsiaTheme="minorEastAsia"/>
      <w:kern w:val="2"/>
      <w:sz w:val="2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830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830F6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0F6"/>
    <w:rPr>
      <w:rFonts w:eastAsiaTheme="minorEastAsia"/>
      <w:kern w:val="2"/>
      <w:sz w:val="21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0F6"/>
    <w:rPr>
      <w:rFonts w:eastAsiaTheme="minorEastAsia"/>
      <w:b/>
      <w:bCs/>
      <w:kern w:val="2"/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F6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0F6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830F6"/>
    <w:pPr>
      <w:widowControl w:val="0"/>
      <w:jc w:val="center"/>
    </w:pPr>
    <w:rPr>
      <w:rFonts w:eastAsia="Yu Mincho"/>
      <w:noProof/>
      <w:kern w:val="2"/>
      <w:szCs w:val="22"/>
      <w:lang w:eastAsia="ja-JP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830F6"/>
    <w:rPr>
      <w:rFonts w:ascii="Times New Roman" w:eastAsia="Yu Mincho" w:hAnsi="Times New Roman" w:cs="Times New Roman"/>
      <w:noProof/>
      <w:kern w:val="2"/>
      <w:sz w:val="24"/>
      <w:lang w:eastAsia="ja-JP"/>
    </w:rPr>
  </w:style>
  <w:style w:type="paragraph" w:customStyle="1" w:styleId="EndNoteBibliography">
    <w:name w:val="EndNote Bibliography"/>
    <w:basedOn w:val="Normal"/>
    <w:link w:val="EndNoteBibliographyChar"/>
    <w:rsid w:val="009830F6"/>
    <w:pPr>
      <w:widowControl w:val="0"/>
      <w:jc w:val="both"/>
    </w:pPr>
    <w:rPr>
      <w:rFonts w:eastAsia="Yu Mincho"/>
      <w:noProof/>
      <w:kern w:val="2"/>
      <w:szCs w:val="22"/>
      <w:lang w:eastAsia="ja-JP"/>
    </w:rPr>
  </w:style>
  <w:style w:type="character" w:customStyle="1" w:styleId="EndNoteBibliographyChar">
    <w:name w:val="EndNote Bibliography Char"/>
    <w:basedOn w:val="DefaultParagraphFont"/>
    <w:link w:val="EndNoteBibliography"/>
    <w:rsid w:val="009830F6"/>
    <w:rPr>
      <w:rFonts w:ascii="Times New Roman" w:eastAsia="Yu Mincho" w:hAnsi="Times New Roman" w:cs="Times New Roman"/>
      <w:noProof/>
      <w:kern w:val="2"/>
      <w:sz w:val="24"/>
      <w:lang w:eastAsia="ja-JP"/>
    </w:rPr>
  </w:style>
  <w:style w:type="character" w:customStyle="1" w:styleId="expandable-author">
    <w:name w:val="expandable-author"/>
    <w:basedOn w:val="DefaultParagraphFont"/>
    <w:rsid w:val="009830F6"/>
  </w:style>
  <w:style w:type="character" w:customStyle="1" w:styleId="contribdegrees">
    <w:name w:val="contribdegrees"/>
    <w:basedOn w:val="DefaultParagraphFont"/>
    <w:rsid w:val="009830F6"/>
  </w:style>
  <w:style w:type="character" w:customStyle="1" w:styleId="degreescomma">
    <w:name w:val="degreescomma"/>
    <w:basedOn w:val="DefaultParagraphFont"/>
    <w:rsid w:val="009830F6"/>
  </w:style>
  <w:style w:type="paragraph" w:styleId="Revision">
    <w:name w:val="Revision"/>
    <w:hidden/>
    <w:uiPriority w:val="99"/>
    <w:semiHidden/>
    <w:rsid w:val="0098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3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Langone Health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Nakamura, Ryosuke</dc:creator>
  <cp:keywords/>
  <dc:description/>
  <cp:lastModifiedBy>Nakamura, Ryosuke</cp:lastModifiedBy>
  <cp:revision>1</cp:revision>
  <dcterms:created xsi:type="dcterms:W3CDTF">2024-02-22T16:17:00Z</dcterms:created>
  <dcterms:modified xsi:type="dcterms:W3CDTF">2024-02-22T16:18:00Z</dcterms:modified>
</cp:coreProperties>
</file>