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9AA394" w14:textId="77777777" w:rsidR="00C32465" w:rsidRPr="00C32465" w:rsidRDefault="00C32465" w:rsidP="00C32465">
      <w:pPr>
        <w:rPr>
          <w:b/>
          <w:bCs/>
          <w:lang w:val="en-GB"/>
        </w:rPr>
      </w:pPr>
      <w:r w:rsidRPr="00C32465">
        <w:rPr>
          <w:b/>
          <w:bCs/>
          <w:lang w:val="en-GB"/>
        </w:rPr>
        <w:t>Appendix A: Additional analyses</w:t>
      </w:r>
    </w:p>
    <w:p w14:paraId="27824619" w14:textId="77777777" w:rsidR="00C32465" w:rsidRPr="00C32465" w:rsidRDefault="00C32465" w:rsidP="00C32465">
      <w:pPr>
        <w:numPr>
          <w:ilvl w:val="0"/>
          <w:numId w:val="1"/>
        </w:numPr>
        <w:rPr>
          <w:lang w:val="en-GB"/>
        </w:rPr>
      </w:pPr>
      <w:r w:rsidRPr="00C32465">
        <w:rPr>
          <w:lang w:val="en-GB"/>
        </w:rPr>
        <w:t>Image analysis – analysis of technical outcome</w:t>
      </w:r>
    </w:p>
    <w:p w14:paraId="4BC8050C" w14:textId="77777777" w:rsidR="00C32465" w:rsidRPr="00C32465" w:rsidRDefault="00C32465" w:rsidP="00C32465">
      <w:pPr>
        <w:rPr>
          <w:lang w:val="en-GB"/>
        </w:rPr>
      </w:pPr>
      <w:r w:rsidRPr="00C32465">
        <w:rPr>
          <w:lang w:val="en-GB"/>
        </w:rPr>
        <w:t>CT image data acquired pre-operatively and at the two post-operative intervals will be uploaded to the system for analysis. All image data will be reviewed independently by two experienced clinicians blinded to the image guidance method used during endovascular aortic repair. Anatomical measurements will be performed with central luminal line reconstructions using dedicated software. Measurements will include: aneurysm size, aortic neck (diameter, length,α and β angulation), iliac diameter and stenosis, distance from the lowermost renal artery to the beginning of the covered part of the endograft; the length of the proximal sealing zone, length of the distal sealing zone and detection of endoleak. Technical success will be defined as proximal and distal seal zone at least 10mm with no evidence of endoleak.</w:t>
      </w:r>
      <w:r w:rsidRPr="00C32465">
        <w:rPr>
          <w:lang w:val="en-GB"/>
        </w:rPr>
        <w:fldChar w:fldCharType="begin"/>
      </w:r>
      <w:r w:rsidRPr="00C32465">
        <w:rPr>
          <w:lang w:val="en-GB"/>
        </w:rPr>
        <w:instrText xml:space="preserve"> ADDIN EN.CITE &lt;EndNote&gt;&lt;Cite&gt;&lt;Author&gt;Baderkhan&lt;/Author&gt;&lt;Year&gt;2018&lt;/Year&gt;&lt;RecNum&gt;276&lt;/RecNum&gt;&lt;DisplayText&gt;&lt;style face="superscript"&gt;1&lt;/style&gt;&lt;/DisplayText&gt;&lt;record&gt;&lt;rec-number&gt;276&lt;/rec-number&gt;&lt;foreign-keys&gt;&lt;key app="EN" db-id="2eazpp9zxz2eaqeprz9vavvys2rpasvxrzzr" timestamp="1656601482"&gt;276&lt;/key&gt;&lt;/foreign-keys&gt;&lt;ref-type name="Journal Article"&gt;17&lt;/ref-type&gt;&lt;contributors&gt;&lt;authors&gt;&lt;author&gt;Baderkhan, H.&lt;/author&gt;&lt;author&gt;Haller, O.&lt;/author&gt;&lt;author&gt;Wanhainen, A.&lt;/author&gt;&lt;author&gt;Bjorck, M.&lt;/author&gt;&lt;author&gt;Mani, K.&lt;/author&gt;&lt;/authors&gt;&lt;/contributors&gt;&lt;auth-address&gt;Uppsala Univ, Vasc Surg Sect, Dept Surg Sci, S-75185 Uppsala, Sweden&amp;#xD;Gavle Cent Hosp, Dept Radiol, Gavle, Sweden&lt;/auth-address&gt;&lt;titles&gt;&lt;title&gt;Follow-up after endovascular aortic aneurysm repair can be stratified based on first postoperative imaging&lt;/title&gt;&lt;secondary-title&gt;British Journal of Surgery&lt;/secondary-title&gt;&lt;alt-title&gt;Brit J Surg&lt;/alt-title&gt;&lt;/titles&gt;&lt;pages&gt;709-718&lt;/pages&gt;&lt;volume&gt;105&lt;/volume&gt;&lt;number&gt;6&lt;/number&gt;&lt;keywords&gt;&lt;keyword&gt;computed-tomography&lt;/keyword&gt;&lt;keyword&gt;endoleak&lt;/keyword&gt;&lt;keyword&gt;complications&lt;/keyword&gt;&lt;keyword&gt;predicts&lt;/keyword&gt;&lt;keyword&gt;outcomes&lt;/keyword&gt;&lt;keyword&gt;trial&lt;/keyword&gt;&lt;keyword&gt;risk&lt;/keyword&gt;&lt;keyword&gt;sac&lt;/keyword&gt;&lt;/keywords&gt;&lt;dates&gt;&lt;year&gt;2018&lt;/year&gt;&lt;pub-dates&gt;&lt;date&gt;May&lt;/date&gt;&lt;/pub-dates&gt;&lt;/dates&gt;&lt;isbn&gt;0007-1323&lt;/isbn&gt;&lt;accession-num&gt;WOS:000430058000014&lt;/accession-num&gt;&lt;urls&gt;&lt;related-urls&gt;&lt;url&gt;&amp;lt;Go to ISI&amp;gt;://WOS:000430058000014&lt;/url&gt;&lt;/related-urls&gt;&lt;/urls&gt;&lt;electronic-resource-num&gt;10.1002/bjs.10766&lt;/electronic-resource-num&gt;&lt;language&gt;English&lt;/language&gt;&lt;/record&gt;&lt;/Cite&gt;&lt;/EndNote&gt;</w:instrText>
      </w:r>
      <w:r w:rsidRPr="00C32465">
        <w:rPr>
          <w:lang w:val="en-GB"/>
        </w:rPr>
        <w:fldChar w:fldCharType="separate"/>
      </w:r>
      <w:r w:rsidRPr="00C32465">
        <w:rPr>
          <w:vertAlign w:val="superscript"/>
          <w:lang w:val="en-GB"/>
        </w:rPr>
        <w:t>1</w:t>
      </w:r>
      <w:r w:rsidRPr="00C32465">
        <w:fldChar w:fldCharType="end"/>
      </w:r>
    </w:p>
    <w:p w14:paraId="537680A3" w14:textId="77777777" w:rsidR="00C32465" w:rsidRPr="00C32465" w:rsidRDefault="00C32465" w:rsidP="00C32465">
      <w:pPr>
        <w:numPr>
          <w:ilvl w:val="0"/>
          <w:numId w:val="1"/>
        </w:numPr>
        <w:rPr>
          <w:lang w:val="en-GB"/>
        </w:rPr>
      </w:pPr>
      <w:r w:rsidRPr="00C32465">
        <w:rPr>
          <w:lang w:val="en-GB"/>
        </w:rPr>
        <w:t>System efficiency</w:t>
      </w:r>
    </w:p>
    <w:p w14:paraId="0431E0E8" w14:textId="77777777" w:rsidR="00C32465" w:rsidRPr="00C32465" w:rsidRDefault="00C32465" w:rsidP="00C32465">
      <w:pPr>
        <w:rPr>
          <w:lang w:val="en-GB"/>
        </w:rPr>
      </w:pPr>
      <w:r w:rsidRPr="00C32465">
        <w:rPr>
          <w:lang w:val="en-GB"/>
        </w:rPr>
        <w:t>A key link between the primary outcome measure (procedure time) and the cost-effectiveness of the intervention is measured in terms of improvements in the planning and utilisation of operating theatre resources. The average procedure time in England for a standard EVAR procedure is 110 minutes. Assuming operating theatre capacity of 420 minutes (7 hours) daily, it would currently be possible to complete three EVAR procedures daily with an allowance for turn-around time. Assuming a similar reduction in procedure time as was observed in the Duke University study (18%), with Cydar-EV it would be possible to complete four procedures daily with the same capacity, an increase of 33%. The HRG EVAR tariff can be used as a proxy for the value to the NHS of the additional procedure. Because Cydar-EV is also expected to reduce variability in procedure times there should also be a reduction in the number of cancelled operations because of over-runs, and more predictability in waiting list planning and bed occupancy.</w:t>
      </w:r>
    </w:p>
    <w:p w14:paraId="088DE925" w14:textId="77777777" w:rsidR="00C32465" w:rsidRPr="00C32465" w:rsidRDefault="00C32465" w:rsidP="00C32465">
      <w:pPr>
        <w:rPr>
          <w:lang w:val="en-GB"/>
        </w:rPr>
      </w:pPr>
      <w:r w:rsidRPr="00C32465">
        <w:rPr>
          <w:lang w:val="en-GB"/>
        </w:rPr>
        <w:t xml:space="preserve">We will explore the implications of improvements in system efficiency by comparing the distributions of procedure times for Cydar-EV and standard fluoroscopy and assessing these against current capacity constraints (e.g. operating theatre capacity, turn-around times etc). We will also assess the potential implications of any ‘learning curve’ effects in the procedure times for Cydar-EV. We will use these analyses to develop a series of scenarios which capture the potential impact on Cydar-EV on improving the planning and utilisation of operating resources in terms of costs and potential health consequences. The impact of these scenarios on the overall cost-effectiveness of Cydar-EV will be assessed using sensitivity analysis. </w:t>
      </w:r>
    </w:p>
    <w:p w14:paraId="4735E125" w14:textId="77777777" w:rsidR="00C32465" w:rsidRPr="00C32465" w:rsidRDefault="00C32465" w:rsidP="00C32465">
      <w:pPr>
        <w:numPr>
          <w:ilvl w:val="0"/>
          <w:numId w:val="1"/>
        </w:numPr>
        <w:rPr>
          <w:lang w:val="en-GB"/>
        </w:rPr>
      </w:pPr>
      <w:r w:rsidRPr="00C32465">
        <w:rPr>
          <w:lang w:val="en-GB"/>
        </w:rPr>
        <w:t>Value of information</w:t>
      </w:r>
    </w:p>
    <w:p w14:paraId="790B24D3" w14:textId="77777777" w:rsidR="00C32465" w:rsidRPr="00C32465" w:rsidRDefault="00C32465" w:rsidP="00C32465">
      <w:pPr>
        <w:rPr>
          <w:lang w:val="en-GB"/>
        </w:rPr>
      </w:pPr>
      <w:r w:rsidRPr="00C32465">
        <w:rPr>
          <w:lang w:val="en-GB"/>
        </w:rPr>
        <w:t>Decisions based on 12-month follow up (and the exploratory model based analysis) for Cydar-EV will be subject to uncertainty and there will always be a chance that the wrong decision could be made. If the wrong decision is made, there will be costs in terms of health benefit and resources forgone. The maximum amount the NHS should be willing to invest to further reduce remaining uncertainty in the decision can be informed by the expected value of perfect information (EVPI). EVPI evaluates the expected cost of current decision uncertainty, based on results from the ARIA trial, by accounting for both the probability that a decision based on existing evidence is wrong and for the magnitude of the consequences of making the wrong decision.</w:t>
      </w:r>
    </w:p>
    <w:p w14:paraId="3B90B16E" w14:textId="77777777" w:rsidR="00C32465" w:rsidRPr="00C32465" w:rsidRDefault="00C32465" w:rsidP="00C32465">
      <w:pPr>
        <w:rPr>
          <w:lang w:val="en-GB"/>
        </w:rPr>
      </w:pPr>
      <w:r w:rsidRPr="00C32465">
        <w:rPr>
          <w:lang w:val="en-GB"/>
        </w:rPr>
        <w:lastRenderedPageBreak/>
        <w:t xml:space="preserve">The EVPI estimates will be used to assess the potential value of further research and to inform future research priorities. EVPI also represents the maximum amount that a decision-maker should be willing to pay for additional evidence to inform this decision in the future. EVPI provides an upper bound on the value of additional research. This valuation provides an initial hurdle, acting as a necessary requirement for determining the potential efficiency of further primary research. Applying this decision rule, additional research should only be considered if the EVPI exceeds the expected cost of the research.     </w:t>
      </w:r>
    </w:p>
    <w:p w14:paraId="18287790" w14:textId="77777777" w:rsidR="00AD1398" w:rsidRDefault="00AD1398"/>
    <w:sectPr w:rsidR="00AD139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B92A7B"/>
    <w:multiLevelType w:val="hybridMultilevel"/>
    <w:tmpl w:val="956615D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872499152">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465"/>
    <w:rsid w:val="005374DE"/>
    <w:rsid w:val="00871FE1"/>
    <w:rsid w:val="00A9122F"/>
    <w:rsid w:val="00AD1398"/>
    <w:rsid w:val="00C32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F9B0E3"/>
  <w15:chartTrackingRefBased/>
  <w15:docId w15:val="{9A6FDF46-DFC0-4244-854D-5E52B5EA05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24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24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24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24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24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24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24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24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24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4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24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24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24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24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24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24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24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2465"/>
    <w:rPr>
      <w:rFonts w:eastAsiaTheme="majorEastAsia" w:cstheme="majorBidi"/>
      <w:color w:val="272727" w:themeColor="text1" w:themeTint="D8"/>
    </w:rPr>
  </w:style>
  <w:style w:type="paragraph" w:styleId="Title">
    <w:name w:val="Title"/>
    <w:basedOn w:val="Normal"/>
    <w:next w:val="Normal"/>
    <w:link w:val="TitleChar"/>
    <w:uiPriority w:val="10"/>
    <w:qFormat/>
    <w:rsid w:val="00C324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24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24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24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2465"/>
    <w:pPr>
      <w:spacing w:before="160"/>
      <w:jc w:val="center"/>
    </w:pPr>
    <w:rPr>
      <w:i/>
      <w:iCs/>
      <w:color w:val="404040" w:themeColor="text1" w:themeTint="BF"/>
    </w:rPr>
  </w:style>
  <w:style w:type="character" w:customStyle="1" w:styleId="QuoteChar">
    <w:name w:val="Quote Char"/>
    <w:basedOn w:val="DefaultParagraphFont"/>
    <w:link w:val="Quote"/>
    <w:uiPriority w:val="29"/>
    <w:rsid w:val="00C32465"/>
    <w:rPr>
      <w:i/>
      <w:iCs/>
      <w:color w:val="404040" w:themeColor="text1" w:themeTint="BF"/>
    </w:rPr>
  </w:style>
  <w:style w:type="paragraph" w:styleId="ListParagraph">
    <w:name w:val="List Paragraph"/>
    <w:basedOn w:val="Normal"/>
    <w:uiPriority w:val="34"/>
    <w:qFormat/>
    <w:rsid w:val="00C32465"/>
    <w:pPr>
      <w:ind w:left="720"/>
      <w:contextualSpacing/>
    </w:pPr>
  </w:style>
  <w:style w:type="character" w:styleId="IntenseEmphasis">
    <w:name w:val="Intense Emphasis"/>
    <w:basedOn w:val="DefaultParagraphFont"/>
    <w:uiPriority w:val="21"/>
    <w:qFormat/>
    <w:rsid w:val="00C32465"/>
    <w:rPr>
      <w:i/>
      <w:iCs/>
      <w:color w:val="0F4761" w:themeColor="accent1" w:themeShade="BF"/>
    </w:rPr>
  </w:style>
  <w:style w:type="paragraph" w:styleId="IntenseQuote">
    <w:name w:val="Intense Quote"/>
    <w:basedOn w:val="Normal"/>
    <w:next w:val="Normal"/>
    <w:link w:val="IntenseQuoteChar"/>
    <w:uiPriority w:val="30"/>
    <w:qFormat/>
    <w:rsid w:val="00C324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2465"/>
    <w:rPr>
      <w:i/>
      <w:iCs/>
      <w:color w:val="0F4761" w:themeColor="accent1" w:themeShade="BF"/>
    </w:rPr>
  </w:style>
  <w:style w:type="character" w:styleId="IntenseReference">
    <w:name w:val="Intense Reference"/>
    <w:basedOn w:val="DefaultParagraphFont"/>
    <w:uiPriority w:val="32"/>
    <w:qFormat/>
    <w:rsid w:val="00C3246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7756302">
      <w:bodyDiv w:val="1"/>
      <w:marLeft w:val="0"/>
      <w:marRight w:val="0"/>
      <w:marTop w:val="0"/>
      <w:marBottom w:val="0"/>
      <w:divBdr>
        <w:top w:val="none" w:sz="0" w:space="0" w:color="auto"/>
        <w:left w:val="none" w:sz="0" w:space="0" w:color="auto"/>
        <w:bottom w:val="none" w:sz="0" w:space="0" w:color="auto"/>
        <w:right w:val="none" w:sz="0" w:space="0" w:color="auto"/>
      </w:divBdr>
    </w:div>
    <w:div w:id="79410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842</Words>
  <Characters>4803</Characters>
  <Application>Microsoft Office Word</Application>
  <DocSecurity>0</DocSecurity>
  <Lines>40</Lines>
  <Paragraphs>11</Paragraphs>
  <ScaleCrop>false</ScaleCrop>
  <Company>Springer Nature</Company>
  <LinksUpToDate>false</LinksUpToDate>
  <CharactersWithSpaces>5634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Bhushan Tandale</dc:creator>
  <cp:keywords/>
  <dc:description/>
  <cp:lastModifiedBy>Bhushan Tandale</cp:lastModifiedBy>
  <cp:revision>1</cp:revision>
  <dcterms:created xsi:type="dcterms:W3CDTF">2024-10-14T11:33:00Z</dcterms:created>
  <dcterms:modified xsi:type="dcterms:W3CDTF">2024-10-14T11:33:00Z</dcterms:modified>
</cp:coreProperties>
</file>