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64087" w14:textId="77777777" w:rsidR="00E942D1" w:rsidRPr="00DE2542" w:rsidRDefault="00E942D1" w:rsidP="00E942D1">
      <w:pPr>
        <w:spacing w:line="480" w:lineRule="auto"/>
        <w:rPr>
          <w:b/>
          <w:bCs/>
          <w:sz w:val="28"/>
          <w:szCs w:val="28"/>
        </w:rPr>
      </w:pPr>
      <w:r w:rsidRPr="00DE2542">
        <w:rPr>
          <w:b/>
          <w:bCs/>
          <w:sz w:val="28"/>
          <w:szCs w:val="28"/>
        </w:rPr>
        <w:t>TOC Graphic</w:t>
      </w:r>
    </w:p>
    <w:p w14:paraId="680653FB" w14:textId="77777777" w:rsidR="00E942D1" w:rsidRPr="00DE2542" w:rsidRDefault="00E942D1" w:rsidP="00E942D1">
      <w:pPr>
        <w:spacing w:line="480" w:lineRule="auto"/>
        <w:jc w:val="center"/>
        <w:rPr>
          <w:b/>
          <w:bCs/>
        </w:rPr>
      </w:pPr>
      <w:r w:rsidRPr="00DE2542">
        <w:rPr>
          <w:noProof/>
        </w:rPr>
        <w:drawing>
          <wp:inline distT="0" distB="0" distL="0" distR="0" wp14:anchorId="42C915A2" wp14:editId="374FB195">
            <wp:extent cx="2971800" cy="1600200"/>
            <wp:effectExtent l="0" t="0" r="0" b="0"/>
            <wp:docPr id="1520036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0B553" w14:textId="77777777" w:rsidR="00E942D1" w:rsidRPr="00DB3F0F" w:rsidRDefault="00E942D1" w:rsidP="00E942D1">
      <w:pPr>
        <w:spacing w:line="480" w:lineRule="auto"/>
        <w:rPr>
          <w:rFonts w:ascii="Times New Roman" w:hAnsi="Times New Roman"/>
          <w:szCs w:val="24"/>
        </w:rPr>
      </w:pPr>
      <w:r w:rsidRPr="00DE2542">
        <w:rPr>
          <w:rFonts w:ascii="Times New Roman" w:hAnsi="Times New Roman"/>
          <w:szCs w:val="24"/>
        </w:rPr>
        <w:t>Temperature-dependent dual/triple fluorescence from the red fluorescent protein mBeRFP is reported and explicated.</w:t>
      </w:r>
    </w:p>
    <w:p w14:paraId="7FBD9FC0" w14:textId="77777777" w:rsidR="00DE6AE2" w:rsidRDefault="00DE6AE2"/>
    <w:sectPr w:rsidR="00DE6AE2" w:rsidSect="00E942D1">
      <w:headerReference w:type="even" r:id="rId5"/>
      <w:footerReference w:type="even" r:id="rId6"/>
      <w:footerReference w:type="default" r:id="rId7"/>
      <w:pgSz w:w="12240" w:h="15840"/>
      <w:pgMar w:top="720" w:right="1094" w:bottom="720" w:left="1094" w:header="720" w:footer="720" w:gutter="0"/>
      <w:cols w:space="4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9F076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4EAC6DE" w14:textId="77777777" w:rsidR="00000000" w:rsidRDefault="00000000">
    <w:pPr>
      <w:pStyle w:val="Footer"/>
      <w:ind w:right="360"/>
    </w:pPr>
  </w:p>
  <w:p w14:paraId="6DDC1F5E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8C069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39AA5EE7" w14:textId="77777777" w:rsidR="00000000" w:rsidRDefault="00000000">
    <w:pPr>
      <w:pStyle w:val="Footer"/>
      <w:ind w:right="360"/>
    </w:pPr>
  </w:p>
  <w:p w14:paraId="580786D4" w14:textId="77777777" w:rsidR="00000000" w:rsidRDefault="0000000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C70C8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2D1"/>
    <w:rsid w:val="00920DD9"/>
    <w:rsid w:val="00A3738C"/>
    <w:rsid w:val="00DE6AE2"/>
    <w:rsid w:val="00E9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FD4CC"/>
  <w15:chartTrackingRefBased/>
  <w15:docId w15:val="{EDAFE3B8-2841-4427-8161-B6C36702A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2D1"/>
    <w:pPr>
      <w:spacing w:after="200" w:line="240" w:lineRule="auto"/>
      <w:jc w:val="both"/>
    </w:pPr>
    <w:rPr>
      <w:rFonts w:ascii="Times" w:eastAsia="Times New Roman" w:hAnsi="Times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2D1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2D1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2D1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2D1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2D1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2D1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2D1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2D1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2D1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2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2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2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2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2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2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2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2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2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2D1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4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2D1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4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2D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42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2D1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42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2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2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2D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E942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42D1"/>
    <w:rPr>
      <w:rFonts w:ascii="Times" w:eastAsia="Times New Roman" w:hAnsi="Times" w:cs="Times New Roman"/>
      <w:kern w:val="0"/>
      <w:sz w:val="24"/>
      <w:szCs w:val="20"/>
      <w14:ligatures w14:val="none"/>
    </w:rPr>
  </w:style>
  <w:style w:type="character" w:styleId="PageNumber">
    <w:name w:val="page number"/>
    <w:basedOn w:val="DefaultParagraphFont"/>
    <w:rsid w:val="00E942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Springer Nature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2025-01-22T06:27:00Z</dcterms:created>
  <dcterms:modified xsi:type="dcterms:W3CDTF">2025-01-22T06:27:00Z</dcterms:modified>
</cp:coreProperties>
</file>