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65B010" w14:textId="77777777" w:rsidR="00FD643B" w:rsidRPr="00601B7E" w:rsidRDefault="00FD643B" w:rsidP="00FD643B">
      <w:pPr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601B7E">
        <w:rPr>
          <w:rFonts w:ascii="Times New Roman" w:hAnsi="Times New Roman" w:cs="Times New Roman"/>
          <w:b/>
          <w:bCs/>
          <w:sz w:val="21"/>
          <w:szCs w:val="21"/>
        </w:rPr>
        <w:t>Supplementary Figure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s and </w:t>
      </w:r>
      <w:r w:rsidRPr="00601B7E">
        <w:rPr>
          <w:rFonts w:ascii="Times New Roman" w:hAnsi="Times New Roman" w:cs="Times New Roman"/>
          <w:b/>
          <w:bCs/>
          <w:sz w:val="21"/>
          <w:szCs w:val="21"/>
        </w:rPr>
        <w:t>Legends</w:t>
      </w:r>
    </w:p>
    <w:p w14:paraId="242028D6" w14:textId="77777777" w:rsidR="00FD643B" w:rsidRPr="00601B7E" w:rsidRDefault="00FD643B" w:rsidP="00FD643B">
      <w:pPr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drawing>
          <wp:inline distT="0" distB="0" distL="0" distR="0" wp14:anchorId="322FCAAD" wp14:editId="6E7F1354">
            <wp:extent cx="5274310" cy="3556000"/>
            <wp:effectExtent l="0" t="0" r="2540" b="6350"/>
            <wp:docPr id="1125543207" name="图片 6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543207" name="图片 6" descr="图表&#10;&#10;中度可信度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1B7E">
        <w:rPr>
          <w:rFonts w:ascii="Times New Roman" w:hAnsi="Times New Roman" w:cs="Times New Roman"/>
          <w:b/>
          <w:bCs/>
          <w:sz w:val="21"/>
          <w:szCs w:val="21"/>
        </w:rPr>
        <w:t>Fig. S1. Prognostic models based on the multivariate Cox regression and the LASSO Cox regression.</w:t>
      </w:r>
    </w:p>
    <w:p w14:paraId="00CB571D" w14:textId="77777777" w:rsidR="00FD643B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01B7E">
        <w:rPr>
          <w:rFonts w:ascii="Times New Roman" w:hAnsi="Times New Roman" w:cs="Times New Roman"/>
          <w:b/>
          <w:bCs/>
          <w:sz w:val="21"/>
          <w:szCs w:val="21"/>
        </w:rPr>
        <w:t>a)</w:t>
      </w:r>
      <w:r w:rsidRPr="00601B7E">
        <w:rPr>
          <w:rFonts w:ascii="Times New Roman" w:hAnsi="Times New Roman" w:cs="Times New Roman"/>
          <w:sz w:val="21"/>
          <w:szCs w:val="21"/>
        </w:rPr>
        <w:t xml:space="preserve"> The optimal λ values are indicated by the vertical black lines, and a λ value of 0.04 was selected. </w:t>
      </w:r>
      <w:r w:rsidRPr="00601B7E">
        <w:rPr>
          <w:rFonts w:ascii="Times New Roman" w:hAnsi="Times New Roman" w:cs="Times New Roman"/>
          <w:b/>
          <w:bCs/>
          <w:sz w:val="21"/>
          <w:szCs w:val="21"/>
        </w:rPr>
        <w:t>b, c</w:t>
      </w:r>
      <w:r w:rsidRPr="00601B7E">
        <w:t xml:space="preserve">) </w:t>
      </w:r>
      <w:r w:rsidRPr="00601B7E">
        <w:rPr>
          <w:rFonts w:ascii="Times New Roman" w:hAnsi="Times New Roman" w:cs="Times New Roman"/>
          <w:sz w:val="21"/>
          <w:szCs w:val="21"/>
        </w:rPr>
        <w:t>The heatmap of the expression level of the chosen miRNAs in EEC patients alive or dead.</w:t>
      </w:r>
    </w:p>
    <w:p w14:paraId="13D99DF3" w14:textId="77777777" w:rsidR="00FD643B" w:rsidRPr="00E2405A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E8D1F6A" w14:textId="77777777" w:rsidR="00FD643B" w:rsidRDefault="00FD643B" w:rsidP="00FD643B">
      <w:pPr>
        <w:spacing w:line="360" w:lineRule="auto"/>
        <w:jc w:val="both"/>
        <w:rPr>
          <w:noProof/>
        </w:rPr>
      </w:pPr>
      <w:r>
        <w:rPr>
          <w:noProof/>
        </w:rPr>
        <w:br w:type="page"/>
      </w:r>
    </w:p>
    <w:p w14:paraId="26FAE3F6" w14:textId="77777777" w:rsidR="00FD643B" w:rsidRPr="00601B7E" w:rsidRDefault="00FD643B" w:rsidP="00FD643B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1C157E78" wp14:editId="7FA18C4B">
            <wp:extent cx="5274310" cy="2370455"/>
            <wp:effectExtent l="0" t="0" r="2540" b="0"/>
            <wp:docPr id="1549792527" name="图片 7" descr="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92527" name="图片 7" descr="散点图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82A47" w14:textId="77777777" w:rsidR="00FD643B" w:rsidRPr="00601B7E" w:rsidRDefault="00FD643B" w:rsidP="00FD643B">
      <w:pPr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601B7E">
        <w:rPr>
          <w:rFonts w:ascii="Times New Roman" w:hAnsi="Times New Roman" w:cs="Times New Roman"/>
          <w:b/>
          <w:bCs/>
          <w:sz w:val="21"/>
          <w:szCs w:val="21"/>
        </w:rPr>
        <w:t>Fig. S2. UMAP plot showing cell clusters</w:t>
      </w:r>
    </w:p>
    <w:p w14:paraId="0E4A8FB8" w14:textId="77777777" w:rsidR="00FD643B" w:rsidRPr="00601B7E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01B7E">
        <w:rPr>
          <w:rFonts w:ascii="Times New Roman" w:hAnsi="Times New Roman" w:cs="Times New Roman"/>
          <w:b/>
          <w:bCs/>
          <w:sz w:val="21"/>
          <w:szCs w:val="21"/>
        </w:rPr>
        <w:t>a)</w:t>
      </w:r>
      <w:r w:rsidRPr="00601B7E">
        <w:rPr>
          <w:rFonts w:ascii="Times New Roman" w:hAnsi="Times New Roman" w:cs="Times New Roman"/>
          <w:sz w:val="21"/>
          <w:szCs w:val="21"/>
        </w:rPr>
        <w:t xml:space="preserve"> </w:t>
      </w:r>
      <w:r w:rsidRPr="00601B7E">
        <w:rPr>
          <w:rFonts w:ascii="Times New Roman" w:hAnsi="Times New Roman" w:cs="Times New Roman"/>
          <w:szCs w:val="21"/>
        </w:rPr>
        <w:t xml:space="preserve">Clustering of high-quality cells from </w:t>
      </w:r>
      <w:r w:rsidRPr="00601B7E">
        <w:rPr>
          <w:rFonts w:ascii="Times New Roman" w:hAnsi="Times New Roman" w:cs="Times New Roman"/>
          <w:sz w:val="21"/>
          <w:szCs w:val="21"/>
        </w:rPr>
        <w:t xml:space="preserve">normal (n = 5) and endometrioid endometrial carcinoma (EEC; n = 5) endometrial pathology among the single-cell transcriptome dataset SRP349751. </w:t>
      </w:r>
      <w:r w:rsidRPr="00601B7E">
        <w:rPr>
          <w:rFonts w:ascii="Times New Roman" w:hAnsi="Times New Roman" w:cs="Times New Roman"/>
          <w:b/>
          <w:bCs/>
          <w:sz w:val="21"/>
          <w:szCs w:val="21"/>
        </w:rPr>
        <w:t>b)</w:t>
      </w:r>
      <w:r w:rsidRPr="00601B7E">
        <w:rPr>
          <w:rFonts w:ascii="Times New Roman" w:hAnsi="Times New Roman" w:cs="Times New Roman"/>
          <w:sz w:val="21"/>
          <w:szCs w:val="21"/>
        </w:rPr>
        <w:t xml:space="preserve"> UMAP plot of six main cell type clusters</w:t>
      </w:r>
      <w:r w:rsidRPr="00601B7E">
        <w:t xml:space="preserve"> </w:t>
      </w:r>
      <w:r w:rsidRPr="00601B7E">
        <w:rPr>
          <w:rFonts w:ascii="Times New Roman" w:hAnsi="Times New Roman" w:cs="Times New Roman"/>
          <w:sz w:val="21"/>
          <w:szCs w:val="21"/>
        </w:rPr>
        <w:t>from every normal (n = 5) and EEC (n = 5) sample.</w:t>
      </w:r>
    </w:p>
    <w:p w14:paraId="5D783E3A" w14:textId="77777777" w:rsidR="00FD643B" w:rsidRPr="00601B7E" w:rsidRDefault="00FD643B" w:rsidP="00FD643B">
      <w:pPr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68F82EFE" w14:textId="77777777" w:rsidR="00FD643B" w:rsidRPr="00601B7E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42FA86F" w14:textId="77777777" w:rsidR="00FD643B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01B7E">
        <w:rPr>
          <w:rFonts w:ascii="Times New Roman" w:hAnsi="Times New Roman" w:cs="Times New Roman"/>
          <w:sz w:val="21"/>
          <w:szCs w:val="21"/>
        </w:rPr>
        <w:softHyphen/>
      </w:r>
      <w:r w:rsidRPr="00601B7E">
        <w:rPr>
          <w:rFonts w:ascii="Times New Roman" w:hAnsi="Times New Roman" w:cs="Times New Roman"/>
          <w:sz w:val="21"/>
          <w:szCs w:val="21"/>
        </w:rPr>
        <w:softHyphen/>
      </w:r>
      <w:r w:rsidRPr="00601B7E">
        <w:rPr>
          <w:rFonts w:ascii="Times New Roman" w:hAnsi="Times New Roman" w:cs="Times New Roman"/>
          <w:sz w:val="21"/>
          <w:szCs w:val="21"/>
        </w:rPr>
        <w:softHyphen/>
      </w:r>
      <w:r w:rsidRPr="00601B7E">
        <w:rPr>
          <w:rFonts w:ascii="Times New Roman" w:hAnsi="Times New Roman" w:cs="Times New Roman"/>
          <w:sz w:val="21"/>
          <w:szCs w:val="21"/>
        </w:rPr>
        <w:softHyphen/>
      </w:r>
    </w:p>
    <w:p w14:paraId="035D5BDB" w14:textId="77777777" w:rsidR="00FD643B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F999682" w14:textId="77777777" w:rsidR="00FD643B" w:rsidRPr="00521F2D" w:rsidRDefault="00FD643B" w:rsidP="00FD643B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7E40A42D" w14:textId="77777777" w:rsidR="00FD643B" w:rsidRDefault="00FD643B"/>
    <w:sectPr w:rsidR="00FD643B" w:rsidSect="00FD6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3B"/>
    <w:rsid w:val="0085064E"/>
    <w:rsid w:val="00FD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F82AB"/>
  <w15:chartTrackingRefBased/>
  <w15:docId w15:val="{2980D58E-BEEF-4781-A677-5051EC7BF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43B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643B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43B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43B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43B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43B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43B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43B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43B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43B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4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4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4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4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4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4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4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4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4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43B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D64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43B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D64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43B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D64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43B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D64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43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4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4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>Springer Nature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2024-07-15T18:29:00Z</dcterms:created>
  <dcterms:modified xsi:type="dcterms:W3CDTF">2024-07-15T18:29:00Z</dcterms:modified>
</cp:coreProperties>
</file>