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722E5" w14:textId="77777777" w:rsidR="00353D97" w:rsidRDefault="00353D97" w:rsidP="00353D97">
      <w:pPr>
        <w:spacing w:line="480" w:lineRule="auto"/>
      </w:pPr>
      <w:r>
        <w:rPr>
          <w:rFonts w:hint="eastAsia"/>
          <w:b/>
          <w:bCs/>
        </w:rPr>
        <w:t>Figure S1.</w:t>
      </w:r>
      <w:r>
        <w:rPr>
          <w:rFonts w:hint="eastAsia"/>
        </w:rPr>
        <w:t xml:space="preserve"> M</w:t>
      </w:r>
      <w:r>
        <w:t>orphological</w:t>
      </w:r>
      <w:r>
        <w:rPr>
          <w:rFonts w:hint="eastAsia"/>
        </w:rPr>
        <w:t xml:space="preserve"> images of some isolates.</w:t>
      </w:r>
    </w:p>
    <w:p w14:paraId="0F22656A" w14:textId="77777777" w:rsidR="00353D97" w:rsidRDefault="00353D97" w:rsidP="00353D97">
      <w:pPr>
        <w:spacing w:line="480" w:lineRule="auto"/>
      </w:pPr>
      <w:r>
        <w:rPr>
          <w:b/>
          <w:bCs/>
        </w:rPr>
        <w:t>Fig</w:t>
      </w:r>
      <w:r>
        <w:rPr>
          <w:rFonts w:hint="eastAsia"/>
          <w:b/>
          <w:bCs/>
        </w:rPr>
        <w:t>ure</w:t>
      </w:r>
      <w:r>
        <w:rPr>
          <w:b/>
          <w:bCs/>
        </w:rPr>
        <w:t xml:space="preserve"> S</w:t>
      </w:r>
      <w:r>
        <w:rPr>
          <w:rFonts w:hint="eastAsia"/>
          <w:b/>
          <w:bCs/>
        </w:rPr>
        <w:t>2.</w:t>
      </w:r>
      <w:r>
        <w:rPr>
          <w:b/>
          <w:bCs/>
        </w:rPr>
        <w:t xml:space="preserve"> </w:t>
      </w:r>
      <w:r>
        <w:rPr>
          <w:rFonts w:hint="eastAsia"/>
          <w:b/>
          <w:bCs/>
        </w:rPr>
        <w:t>(a)</w:t>
      </w:r>
      <w:r>
        <w:rPr>
          <w:rFonts w:hint="eastAsia"/>
        </w:rPr>
        <w:t xml:space="preserve"> The pie plot shows the proportion of isolates belonging to </w:t>
      </w:r>
      <w:r>
        <w:t xml:space="preserve">various </w:t>
      </w:r>
      <w:r>
        <w:rPr>
          <w:rFonts w:hint="eastAsia"/>
        </w:rPr>
        <w:t xml:space="preserve">phyla. </w:t>
      </w:r>
      <w:r>
        <w:rPr>
          <w:rFonts w:hint="eastAsia"/>
          <w:b/>
          <w:bCs/>
        </w:rPr>
        <w:t>(b)</w:t>
      </w:r>
      <w:r>
        <w:t xml:space="preserve"> The </w:t>
      </w:r>
      <w:r>
        <w:rPr>
          <w:rFonts w:hint="eastAsia"/>
        </w:rPr>
        <w:t xml:space="preserve">bar </w:t>
      </w:r>
      <w:r>
        <w:t xml:space="preserve">plot shows the </w:t>
      </w:r>
      <w:r>
        <w:rPr>
          <w:rFonts w:hint="eastAsia"/>
        </w:rPr>
        <w:t>number</w:t>
      </w:r>
      <w:r>
        <w:t xml:space="preserve"> of isolates belonging to various </w:t>
      </w:r>
      <w:r>
        <w:rPr>
          <w:rFonts w:hint="eastAsia"/>
        </w:rPr>
        <w:t>families</w:t>
      </w:r>
      <w:r>
        <w:t>.</w:t>
      </w:r>
    </w:p>
    <w:p w14:paraId="35994C28" w14:textId="77777777" w:rsidR="00353D97" w:rsidRDefault="00353D97" w:rsidP="00353D97">
      <w:pPr>
        <w:spacing w:line="480" w:lineRule="auto"/>
      </w:pPr>
    </w:p>
    <w:p w14:paraId="550B5A4B" w14:textId="77777777" w:rsidR="00353D97" w:rsidRDefault="00353D97" w:rsidP="00353D97">
      <w:pPr>
        <w:spacing w:line="480" w:lineRule="auto"/>
        <w:rPr>
          <w:rFonts w:cs="Times New Roman"/>
        </w:rPr>
      </w:pPr>
      <w:r>
        <w:rPr>
          <w:b/>
          <w:bCs/>
        </w:rPr>
        <w:t>Fig</w:t>
      </w:r>
      <w:r>
        <w:rPr>
          <w:rFonts w:hint="eastAsia"/>
          <w:b/>
          <w:bCs/>
        </w:rPr>
        <w:t>ure</w:t>
      </w:r>
      <w:r>
        <w:rPr>
          <w:b/>
          <w:bCs/>
        </w:rPr>
        <w:t xml:space="preserve"> S</w:t>
      </w:r>
      <w:r>
        <w:rPr>
          <w:rFonts w:hint="eastAsia"/>
          <w:b/>
          <w:bCs/>
        </w:rPr>
        <w:t>3.</w:t>
      </w:r>
      <w:r>
        <w:t xml:space="preserve"> </w:t>
      </w:r>
      <w:r>
        <w:rPr>
          <w:rFonts w:cs="Times New Roman"/>
        </w:rPr>
        <w:t>The results of the PERMANOVA analysis of gut microbiota on the each pairwise groups are presented. Darker points indicate smaller p values, while larger points correspond to larger R</w:t>
      </w:r>
      <w:r>
        <w:rPr>
          <w:rFonts w:cs="Times New Roman"/>
          <w:vertAlign w:val="superscript"/>
        </w:rPr>
        <w:t>2</w:t>
      </w:r>
      <w:r>
        <w:rPr>
          <w:rFonts w:cs="Times New Roman"/>
        </w:rPr>
        <w:t xml:space="preserve"> values.</w:t>
      </w:r>
      <w:r>
        <w:rPr>
          <w:rFonts w:cs="Times New Roman" w:hint="eastAsia"/>
        </w:rPr>
        <w:t xml:space="preserve"> </w:t>
      </w:r>
      <w:r>
        <w:rPr>
          <w:rFonts w:cs="Times New Roman"/>
        </w:rPr>
        <w:t xml:space="preserve">Boxplots show the relative abundance of seven phyla across all groups. Wilcoxon rank-sum test: *, </w:t>
      </w:r>
      <w:r>
        <w:rPr>
          <w:rFonts w:cs="Times New Roman"/>
          <w:i/>
          <w:iCs/>
        </w:rPr>
        <w:t>p</w:t>
      </w:r>
      <w:r>
        <w:rPr>
          <w:rFonts w:cs="Times New Roman"/>
        </w:rPr>
        <w:t xml:space="preserve">&lt;0.05; **, </w:t>
      </w:r>
      <w:r>
        <w:rPr>
          <w:rFonts w:cs="Times New Roman"/>
          <w:i/>
          <w:iCs/>
        </w:rPr>
        <w:t>p</w:t>
      </w:r>
      <w:r>
        <w:rPr>
          <w:rFonts w:cs="Times New Roman"/>
        </w:rPr>
        <w:t xml:space="preserve">&lt;0.01, ***, </w:t>
      </w:r>
      <w:r>
        <w:rPr>
          <w:rFonts w:cs="Times New Roman"/>
          <w:i/>
          <w:iCs/>
        </w:rPr>
        <w:t>p</w:t>
      </w:r>
      <w:r>
        <w:rPr>
          <w:rFonts w:cs="Times New Roman"/>
        </w:rPr>
        <w:t>&lt;0.001. The purple, orange, and cyan lines represent the best-fit lines obtained through linear regression based on observations throughout the entire life cycle, the first three days after birth, and from the 3rd to the 42nd days, respectively. The gray background indicates a 95% confidence interval for each regression line.</w:t>
      </w:r>
    </w:p>
    <w:p w14:paraId="2F93DF31" w14:textId="77777777" w:rsidR="00353D97" w:rsidRDefault="00353D97" w:rsidP="00353D97">
      <w:pPr>
        <w:spacing w:line="480" w:lineRule="auto"/>
      </w:pPr>
    </w:p>
    <w:p w14:paraId="56E61C83" w14:textId="77777777" w:rsidR="00353D97" w:rsidRDefault="00353D97" w:rsidP="00353D97">
      <w:pPr>
        <w:spacing w:line="480" w:lineRule="auto"/>
        <w:rPr>
          <w:rFonts w:cs="Times New Roman"/>
        </w:rPr>
      </w:pPr>
      <w:r>
        <w:rPr>
          <w:b/>
          <w:bCs/>
        </w:rPr>
        <w:t>Figure S</w:t>
      </w:r>
      <w:r>
        <w:rPr>
          <w:rFonts w:hint="eastAsia"/>
          <w:b/>
          <w:bCs/>
        </w:rPr>
        <w:t>4.</w:t>
      </w:r>
      <w:r>
        <w:t xml:space="preserve"> </w:t>
      </w:r>
      <w:r>
        <w:rPr>
          <w:rFonts w:cs="Times New Roman"/>
        </w:rPr>
        <w:t>A</w:t>
      </w:r>
      <w:r>
        <w:rPr>
          <w:rFonts w:cs="Times New Roman"/>
          <w:b/>
          <w:bCs/>
        </w:rPr>
        <w:t xml:space="preserve"> </w:t>
      </w:r>
      <w:r>
        <w:rPr>
          <w:rFonts w:cs="Times New Roman"/>
        </w:rPr>
        <w:t>heatmap shows the temporal fluctuations in the relative abundance of bacterial families.</w:t>
      </w:r>
    </w:p>
    <w:p w14:paraId="54E0B2E4" w14:textId="77777777" w:rsidR="00353D97" w:rsidRDefault="00353D97" w:rsidP="00353D97">
      <w:pPr>
        <w:spacing w:line="480" w:lineRule="auto"/>
        <w:rPr>
          <w:rFonts w:cs="Times New Roman"/>
        </w:rPr>
      </w:pPr>
    </w:p>
    <w:p w14:paraId="4B3BC4D8" w14:textId="77777777" w:rsidR="00353D97" w:rsidRDefault="00353D97" w:rsidP="00353D97">
      <w:pPr>
        <w:spacing w:line="480" w:lineRule="auto"/>
        <w:rPr>
          <w:rFonts w:cs="Times New Roman"/>
        </w:rPr>
      </w:pPr>
      <w:r>
        <w:rPr>
          <w:b/>
          <w:bCs/>
        </w:rPr>
        <w:t>Figure S</w:t>
      </w:r>
      <w:r>
        <w:rPr>
          <w:rFonts w:hint="eastAsia"/>
          <w:b/>
          <w:bCs/>
        </w:rPr>
        <w:t>5.</w:t>
      </w:r>
      <w:r>
        <w:t xml:space="preserve"> </w:t>
      </w:r>
      <w:r>
        <w:rPr>
          <w:rFonts w:cs="Times New Roman"/>
        </w:rPr>
        <w:t>A</w:t>
      </w:r>
      <w:r>
        <w:rPr>
          <w:rFonts w:cs="Times New Roman"/>
          <w:b/>
          <w:bCs/>
        </w:rPr>
        <w:t xml:space="preserve"> </w:t>
      </w:r>
      <w:r>
        <w:rPr>
          <w:rFonts w:cs="Times New Roman"/>
        </w:rPr>
        <w:t>heatmap shows the temporal fluctuations in the relative abundance of bacterial genera.</w:t>
      </w:r>
    </w:p>
    <w:p w14:paraId="4EFB8183" w14:textId="77777777" w:rsidR="00353D97" w:rsidRDefault="00353D97" w:rsidP="00353D97">
      <w:pPr>
        <w:spacing w:line="480" w:lineRule="auto"/>
        <w:rPr>
          <w:rFonts w:cs="Times New Roman"/>
        </w:rPr>
      </w:pPr>
    </w:p>
    <w:p w14:paraId="21A45FC6" w14:textId="77777777" w:rsidR="00353D97" w:rsidRDefault="00353D97" w:rsidP="00353D97">
      <w:pPr>
        <w:spacing w:line="480" w:lineRule="auto"/>
        <w:rPr>
          <w:rFonts w:cs="Times New Roman"/>
        </w:rPr>
      </w:pPr>
      <w:r>
        <w:rPr>
          <w:rFonts w:cs="Times New Roman"/>
          <w:b/>
          <w:bCs/>
        </w:rPr>
        <w:lastRenderedPageBreak/>
        <w:t>Figure S</w:t>
      </w:r>
      <w:r>
        <w:rPr>
          <w:rFonts w:cs="Times New Roman" w:hint="eastAsia"/>
          <w:b/>
          <w:bCs/>
        </w:rPr>
        <w:t>6</w:t>
      </w:r>
      <w:r>
        <w:rPr>
          <w:rFonts w:cs="Times New Roman"/>
        </w:rPr>
        <w:t xml:space="preserve"> </w:t>
      </w:r>
      <w:r>
        <w:rPr>
          <w:rFonts w:cs="Times New Roman" w:hint="eastAsia"/>
          <w:b/>
          <w:bCs/>
        </w:rPr>
        <w:t>(a)</w:t>
      </w:r>
      <w:r>
        <w:rPr>
          <w:rFonts w:cs="Times New Roman" w:hint="eastAsia"/>
        </w:rPr>
        <w:t xml:space="preserve"> The </w:t>
      </w:r>
      <w:r>
        <w:rPr>
          <w:rFonts w:cs="Times New Roman"/>
        </w:rPr>
        <w:t>bar plot shows the number of species in each cluster, with different colors representing the families to which each species belongs</w:t>
      </w:r>
      <w:r>
        <w:rPr>
          <w:rFonts w:cs="Times New Roman" w:hint="eastAsia"/>
        </w:rPr>
        <w:t xml:space="preserve">. </w:t>
      </w:r>
      <w:r>
        <w:rPr>
          <w:rFonts w:cs="Times New Roman" w:hint="eastAsia"/>
          <w:b/>
          <w:bCs/>
        </w:rPr>
        <w:t>(b)</w:t>
      </w:r>
      <w:r>
        <w:rPr>
          <w:rFonts w:cs="Times New Roman" w:hint="eastAsia"/>
        </w:rPr>
        <w:t xml:space="preserve"> The </w:t>
      </w:r>
      <w:r>
        <w:rPr>
          <w:rFonts w:cs="Times New Roman"/>
        </w:rPr>
        <w:t>bar plot shows the number of species</w:t>
      </w:r>
      <w:r>
        <w:rPr>
          <w:rFonts w:cs="Times New Roman" w:hint="eastAsia"/>
        </w:rPr>
        <w:t xml:space="preserve"> in </w:t>
      </w:r>
      <w:r>
        <w:rPr>
          <w:rFonts w:cs="Times New Roman"/>
        </w:rPr>
        <w:t xml:space="preserve">Lachnospiraceae in each cluster, with different colors representing the </w:t>
      </w:r>
      <w:r>
        <w:rPr>
          <w:rFonts w:cs="Times New Roman" w:hint="eastAsia"/>
        </w:rPr>
        <w:t>genera</w:t>
      </w:r>
      <w:r>
        <w:rPr>
          <w:rFonts w:cs="Times New Roman"/>
        </w:rPr>
        <w:t xml:space="preserve"> to which each species belongs</w:t>
      </w:r>
      <w:r>
        <w:rPr>
          <w:rFonts w:cs="Times New Roman" w:hint="eastAsia"/>
        </w:rPr>
        <w:t>.</w:t>
      </w:r>
    </w:p>
    <w:p w14:paraId="39FAF8F6" w14:textId="77777777" w:rsidR="00353D97" w:rsidRDefault="00353D97" w:rsidP="00353D97">
      <w:pPr>
        <w:spacing w:line="480" w:lineRule="auto"/>
        <w:rPr>
          <w:rFonts w:cs="Times New Roman"/>
        </w:rPr>
      </w:pPr>
    </w:p>
    <w:p w14:paraId="6C2DBA86" w14:textId="77777777" w:rsidR="00353D97" w:rsidRDefault="00353D97" w:rsidP="00353D97">
      <w:pPr>
        <w:spacing w:line="480" w:lineRule="auto"/>
        <w:rPr>
          <w:rFonts w:cs="Times New Roman"/>
        </w:rPr>
      </w:pPr>
      <w:r>
        <w:rPr>
          <w:rFonts w:cs="Times New Roman"/>
          <w:b/>
        </w:rPr>
        <w:t>Figure S</w:t>
      </w:r>
      <w:r>
        <w:rPr>
          <w:rFonts w:cs="Times New Roman" w:hint="eastAsia"/>
          <w:b/>
        </w:rPr>
        <w:t>7</w:t>
      </w:r>
      <w:r>
        <w:rPr>
          <w:rFonts w:cs="Times New Roman" w:hint="eastAsia"/>
          <w:b/>
          <w:bCs/>
        </w:rPr>
        <w:t xml:space="preserve"> </w:t>
      </w:r>
      <w:r>
        <w:rPr>
          <w:rFonts w:cs="Times New Roman"/>
          <w:b/>
          <w:bCs/>
        </w:rPr>
        <w:t>(</w:t>
      </w:r>
      <w:r>
        <w:rPr>
          <w:rFonts w:cs="Times New Roman" w:hint="eastAsia"/>
          <w:b/>
          <w:bCs/>
        </w:rPr>
        <w:t>a</w:t>
      </w:r>
      <w:r>
        <w:rPr>
          <w:rFonts w:cs="Times New Roman"/>
          <w:b/>
          <w:bCs/>
        </w:rPr>
        <w:t>)</w:t>
      </w:r>
      <w:r>
        <w:rPr>
          <w:rFonts w:cs="Times New Roman"/>
        </w:rPr>
        <w:t xml:space="preserve"> Boxplots illustrate the temporal fluctuations of the different functional categories related to the metabolism of various substances. The purple, orange, and cyan lines represent the best-fit lines obtained by using linear regression based on observations during the different phases. The gray background indicates 95% confidence interval for each regression line. </w:t>
      </w:r>
      <w:r>
        <w:rPr>
          <w:rFonts w:cs="Times New Roman"/>
          <w:b/>
          <w:bCs/>
        </w:rPr>
        <w:t>(</w:t>
      </w:r>
      <w:r>
        <w:rPr>
          <w:rFonts w:cs="Times New Roman" w:hint="eastAsia"/>
          <w:b/>
          <w:bCs/>
        </w:rPr>
        <w:t>b</w:t>
      </w:r>
      <w:r>
        <w:rPr>
          <w:rFonts w:cs="Times New Roman"/>
          <w:b/>
          <w:bCs/>
        </w:rPr>
        <w:t>)</w:t>
      </w:r>
      <w:r>
        <w:rPr>
          <w:rFonts w:cs="Times New Roman"/>
        </w:rPr>
        <w:t xml:space="preserve"> The stacked bar plots show the proportional contributions of gut microbiota at the phylum level</w:t>
      </w:r>
      <w:r>
        <w:rPr>
          <w:rFonts w:cs="Times New Roman" w:hint="eastAsia"/>
        </w:rPr>
        <w:t xml:space="preserve"> for microbial functions</w:t>
      </w:r>
      <w:r>
        <w:rPr>
          <w:rFonts w:cs="Times New Roman"/>
        </w:rPr>
        <w:t>.</w:t>
      </w:r>
      <w:r>
        <w:rPr>
          <w:rFonts w:cs="Times New Roman" w:hint="eastAsia"/>
        </w:rPr>
        <w:t xml:space="preserve"> </w:t>
      </w:r>
      <w:r>
        <w:rPr>
          <w:rFonts w:cs="Times New Roman"/>
          <w:b/>
          <w:bCs/>
        </w:rPr>
        <w:t>(</w:t>
      </w:r>
      <w:r>
        <w:rPr>
          <w:rFonts w:cs="Times New Roman" w:hint="eastAsia"/>
          <w:b/>
          <w:bCs/>
        </w:rPr>
        <w:t>c</w:t>
      </w:r>
      <w:r>
        <w:rPr>
          <w:rFonts w:cs="Times New Roman"/>
          <w:b/>
          <w:bCs/>
        </w:rPr>
        <w:t>)</w:t>
      </w:r>
      <w:r>
        <w:rPr>
          <w:rFonts w:cs="Times New Roman"/>
        </w:rPr>
        <w:t xml:space="preserve"> The stacked bar plots show the proportional contributions of gut microbiota at the </w:t>
      </w:r>
      <w:r>
        <w:rPr>
          <w:rFonts w:cs="Times New Roman" w:hint="eastAsia"/>
        </w:rPr>
        <w:t>family</w:t>
      </w:r>
      <w:r>
        <w:rPr>
          <w:rFonts w:cs="Times New Roman"/>
        </w:rPr>
        <w:t xml:space="preserve"> level</w:t>
      </w:r>
      <w:r>
        <w:rPr>
          <w:rFonts w:cs="Times New Roman" w:hint="eastAsia"/>
        </w:rPr>
        <w:t xml:space="preserve"> for microbial functions</w:t>
      </w:r>
      <w:r>
        <w:rPr>
          <w:rFonts w:cs="Times New Roman"/>
        </w:rPr>
        <w:t>.</w:t>
      </w:r>
    </w:p>
    <w:p w14:paraId="3159999F" w14:textId="77777777" w:rsidR="00353D97" w:rsidRDefault="00353D97" w:rsidP="00353D97">
      <w:pPr>
        <w:spacing w:line="480" w:lineRule="auto"/>
        <w:rPr>
          <w:rFonts w:cs="Times New Roman"/>
        </w:rPr>
      </w:pPr>
    </w:p>
    <w:p w14:paraId="556734D0" w14:textId="77777777" w:rsidR="00353D97" w:rsidRDefault="00353D97" w:rsidP="00353D97">
      <w:pPr>
        <w:spacing w:line="480" w:lineRule="auto"/>
        <w:rPr>
          <w:rFonts w:cs="Times New Roman"/>
        </w:rPr>
      </w:pPr>
      <w:r>
        <w:rPr>
          <w:rFonts w:cs="Times New Roman"/>
          <w:b/>
        </w:rPr>
        <w:t>Figure S</w:t>
      </w:r>
      <w:r>
        <w:rPr>
          <w:rFonts w:cs="Times New Roman" w:hint="eastAsia"/>
          <w:b/>
        </w:rPr>
        <w:t>8</w:t>
      </w:r>
      <w:r>
        <w:rPr>
          <w:rFonts w:cs="Times New Roman"/>
          <w:b/>
          <w:bCs/>
        </w:rPr>
        <w:t xml:space="preserve">. </w:t>
      </w:r>
      <w:r>
        <w:rPr>
          <w:rFonts w:cs="Times New Roman"/>
        </w:rPr>
        <w:t xml:space="preserve">The bar plot depicts the enrichment of KEGG modules during the rapid </w:t>
      </w:r>
      <w:r>
        <w:rPr>
          <w:rFonts w:cs="Times New Roman" w:hint="eastAsia"/>
        </w:rPr>
        <w:t>g</w:t>
      </w:r>
      <w:r>
        <w:rPr>
          <w:rFonts w:cs="Times New Roman"/>
        </w:rPr>
        <w:t>rowth and flattening phases, as indicated by their adjusted reporter Z-scores.</w:t>
      </w:r>
    </w:p>
    <w:p w14:paraId="7361F769" w14:textId="77777777" w:rsidR="00353D97" w:rsidRDefault="00353D97" w:rsidP="00353D97">
      <w:pPr>
        <w:spacing w:line="480" w:lineRule="auto"/>
        <w:rPr>
          <w:rFonts w:cs="Times New Roman"/>
        </w:rPr>
      </w:pPr>
    </w:p>
    <w:p w14:paraId="105D6DE9" w14:textId="77777777" w:rsidR="00353D97" w:rsidRDefault="00353D97" w:rsidP="00353D97">
      <w:pPr>
        <w:spacing w:line="480" w:lineRule="auto"/>
        <w:rPr>
          <w:rFonts w:cs="Times New Roman"/>
        </w:rPr>
      </w:pPr>
      <w:r>
        <w:rPr>
          <w:rFonts w:cs="Times New Roman"/>
          <w:b/>
        </w:rPr>
        <w:t>Figure S</w:t>
      </w:r>
      <w:r>
        <w:rPr>
          <w:rFonts w:cs="Times New Roman" w:hint="eastAsia"/>
          <w:b/>
        </w:rPr>
        <w:t>9</w:t>
      </w:r>
      <w:r>
        <w:rPr>
          <w:rFonts w:cs="Times New Roman"/>
          <w:b/>
          <w:bCs/>
        </w:rPr>
        <w:t>. (</w:t>
      </w:r>
      <w:r>
        <w:rPr>
          <w:rFonts w:cs="Times New Roman" w:hint="eastAsia"/>
          <w:b/>
          <w:bCs/>
        </w:rPr>
        <w:t>a</w:t>
      </w:r>
      <w:r>
        <w:rPr>
          <w:rFonts w:cs="Times New Roman"/>
          <w:b/>
          <w:bCs/>
        </w:rPr>
        <w:t>-</w:t>
      </w:r>
      <w:r>
        <w:rPr>
          <w:rFonts w:cs="Times New Roman" w:hint="eastAsia"/>
          <w:b/>
          <w:bCs/>
        </w:rPr>
        <w:t>b</w:t>
      </w:r>
      <w:r>
        <w:rPr>
          <w:rFonts w:cs="Times New Roman"/>
          <w:b/>
          <w:bCs/>
        </w:rPr>
        <w:t>)</w:t>
      </w:r>
      <w:r>
        <w:rPr>
          <w:rFonts w:cs="Times New Roman"/>
        </w:rPr>
        <w:t xml:space="preserve"> Pie plots show the proportion of the number of predicted ARGs for each drug and mechanism relative to the total number of predicted ARGs. </w:t>
      </w:r>
      <w:r>
        <w:rPr>
          <w:rFonts w:cs="Times New Roman"/>
          <w:b/>
          <w:bCs/>
        </w:rPr>
        <w:t>(</w:t>
      </w:r>
      <w:r>
        <w:rPr>
          <w:rFonts w:cs="Times New Roman" w:hint="eastAsia"/>
          <w:b/>
          <w:bCs/>
        </w:rPr>
        <w:t>c</w:t>
      </w:r>
      <w:r>
        <w:rPr>
          <w:rFonts w:cs="Times New Roman"/>
          <w:b/>
          <w:bCs/>
        </w:rPr>
        <w:t xml:space="preserve">) </w:t>
      </w:r>
      <w:r>
        <w:rPr>
          <w:rFonts w:cs="Times New Roman"/>
        </w:rPr>
        <w:t xml:space="preserve">Boxplot displays the number of predicted ARGs carried by certain species. </w:t>
      </w:r>
      <w:r>
        <w:rPr>
          <w:rFonts w:cs="Times New Roman"/>
          <w:b/>
          <w:bCs/>
        </w:rPr>
        <w:t>(</w:t>
      </w:r>
      <w:r>
        <w:rPr>
          <w:rFonts w:cs="Times New Roman" w:hint="eastAsia"/>
          <w:b/>
          <w:bCs/>
        </w:rPr>
        <w:t>d</w:t>
      </w:r>
      <w:r>
        <w:rPr>
          <w:rFonts w:cs="Times New Roman"/>
          <w:b/>
          <w:bCs/>
        </w:rPr>
        <w:t xml:space="preserve">) </w:t>
      </w:r>
      <w:r>
        <w:rPr>
          <w:rFonts w:cs="Times New Roman"/>
        </w:rPr>
        <w:t xml:space="preserve">Boxplot shows the overall abundance of predicted ARGs across all groups. Wilcoxon rank sum test was employed to </w:t>
      </w:r>
      <w:r>
        <w:rPr>
          <w:rFonts w:cs="Times New Roman"/>
        </w:rPr>
        <w:lastRenderedPageBreak/>
        <w:t xml:space="preserve">assess significance between </w:t>
      </w:r>
      <w:r>
        <w:rPr>
          <w:rFonts w:cs="Times New Roman" w:hint="eastAsia"/>
        </w:rPr>
        <w:t xml:space="preserve">pairwise </w:t>
      </w:r>
      <w:r>
        <w:rPr>
          <w:rFonts w:cs="Times New Roman"/>
        </w:rPr>
        <w:t xml:space="preserve">groups, asterisks indicate a statistical significance: *, </w:t>
      </w:r>
      <w:r>
        <w:rPr>
          <w:rFonts w:cs="Times New Roman"/>
          <w:i/>
          <w:iCs/>
        </w:rPr>
        <w:t>p</w:t>
      </w:r>
      <w:r>
        <w:rPr>
          <w:rFonts w:cs="Times New Roman"/>
        </w:rPr>
        <w:t xml:space="preserve">&lt;0.05, **, </w:t>
      </w:r>
      <w:r>
        <w:rPr>
          <w:rFonts w:cs="Times New Roman"/>
          <w:i/>
          <w:iCs/>
        </w:rPr>
        <w:t>p</w:t>
      </w:r>
      <w:r>
        <w:rPr>
          <w:rFonts w:cs="Times New Roman"/>
        </w:rPr>
        <w:t xml:space="preserve">&lt;0.01, ***, </w:t>
      </w:r>
      <w:r>
        <w:rPr>
          <w:rFonts w:cs="Times New Roman"/>
          <w:i/>
          <w:iCs/>
        </w:rPr>
        <w:t>p</w:t>
      </w:r>
      <w:r>
        <w:rPr>
          <w:rFonts w:cs="Times New Roman"/>
        </w:rPr>
        <w:t xml:space="preserve">&lt;0.001. The purple, orange, and cyan lines represent the best-fit lines obtained through linear regression based on observations throughout the entire life cycle, the first three days after hatching, and from days 5 to 42, respectively. </w:t>
      </w:r>
      <w:r>
        <w:rPr>
          <w:rFonts w:cs="Times New Roman"/>
          <w:b/>
          <w:bCs/>
        </w:rPr>
        <w:t>(</w:t>
      </w:r>
      <w:r>
        <w:rPr>
          <w:rFonts w:cs="Times New Roman" w:hint="eastAsia"/>
          <w:b/>
          <w:bCs/>
        </w:rPr>
        <w:t>e</w:t>
      </w:r>
      <w:r>
        <w:rPr>
          <w:rFonts w:cs="Times New Roman"/>
          <w:b/>
          <w:bCs/>
        </w:rPr>
        <w:t>)</w:t>
      </w:r>
      <w:r>
        <w:rPr>
          <w:rFonts w:cs="Times New Roman"/>
        </w:rPr>
        <w:t xml:space="preserve"> Genome circle map of </w:t>
      </w:r>
      <w:r>
        <w:rPr>
          <w:rFonts w:cs="Times New Roman"/>
          <w:i/>
          <w:iCs/>
        </w:rPr>
        <w:t>Staphylococcus</w:t>
      </w:r>
      <w:r>
        <w:rPr>
          <w:rFonts w:cs="Times New Roman" w:hint="eastAsia"/>
          <w:i/>
          <w:iCs/>
        </w:rPr>
        <w:t xml:space="preserve"> </w:t>
      </w:r>
      <w:r>
        <w:rPr>
          <w:rFonts w:cs="Times New Roman"/>
          <w:i/>
          <w:iCs/>
        </w:rPr>
        <w:t xml:space="preserve">saprophyticus </w:t>
      </w:r>
      <w:r>
        <w:rPr>
          <w:rFonts w:cs="Times New Roman"/>
        </w:rPr>
        <w:t xml:space="preserve">d14I.bin.31, </w:t>
      </w:r>
      <w:r>
        <w:rPr>
          <w:rFonts w:cs="Times New Roman"/>
          <w:i/>
          <w:iCs/>
        </w:rPr>
        <w:t xml:space="preserve">Staphylococcus epidermidis </w:t>
      </w:r>
      <w:r>
        <w:rPr>
          <w:rFonts w:cs="Times New Roman"/>
        </w:rPr>
        <w:t xml:space="preserve">HC145, </w:t>
      </w:r>
      <w:r>
        <w:rPr>
          <w:rFonts w:cs="Times New Roman"/>
          <w:i/>
          <w:iCs/>
        </w:rPr>
        <w:t xml:space="preserve">Escherichia fergusonii </w:t>
      </w:r>
      <w:r>
        <w:rPr>
          <w:rFonts w:cs="Times New Roman"/>
        </w:rPr>
        <w:t xml:space="preserve">d35L.bin.64, </w:t>
      </w:r>
      <w:r>
        <w:rPr>
          <w:rFonts w:cs="Times New Roman"/>
          <w:i/>
          <w:iCs/>
        </w:rPr>
        <w:t xml:space="preserve">Kurthia gibsonii </w:t>
      </w:r>
      <w:r>
        <w:rPr>
          <w:rFonts w:cs="Times New Roman"/>
        </w:rPr>
        <w:t xml:space="preserve">HC562, </w:t>
      </w:r>
      <w:r>
        <w:rPr>
          <w:rFonts w:cs="Times New Roman"/>
          <w:i/>
          <w:iCs/>
        </w:rPr>
        <w:t xml:space="preserve">Enterococcus faecium </w:t>
      </w:r>
      <w:r>
        <w:rPr>
          <w:rFonts w:cs="Times New Roman"/>
        </w:rPr>
        <w:t xml:space="preserve">HC257 and </w:t>
      </w:r>
      <w:r>
        <w:rPr>
          <w:rFonts w:cs="Times New Roman"/>
          <w:i/>
          <w:iCs/>
        </w:rPr>
        <w:t xml:space="preserve">Enterobacter hormaechei </w:t>
      </w:r>
      <w:r>
        <w:rPr>
          <w:rFonts w:cs="Times New Roman"/>
        </w:rPr>
        <w:t>HC607</w:t>
      </w:r>
      <w:r>
        <w:rPr>
          <w:rFonts w:cs="Times New Roman"/>
          <w:i/>
          <w:iCs/>
        </w:rPr>
        <w:t>.</w:t>
      </w:r>
      <w:r>
        <w:rPr>
          <w:rFonts w:cs="Times New Roman"/>
        </w:rPr>
        <w:t xml:space="preserve"> The outer rings are marked with red and green stripes, representing ARGs and MGEs, respectively. </w:t>
      </w:r>
    </w:p>
    <w:p w14:paraId="6B4E335F" w14:textId="77777777" w:rsidR="00353D97" w:rsidRDefault="00353D97" w:rsidP="00353D97">
      <w:pPr>
        <w:spacing w:line="480" w:lineRule="auto"/>
        <w:rPr>
          <w:rFonts w:cs="Times New Roman"/>
        </w:rPr>
      </w:pPr>
    </w:p>
    <w:p w14:paraId="3215B867" w14:textId="77777777" w:rsidR="00353D97" w:rsidRDefault="00353D97" w:rsidP="00353D97">
      <w:pPr>
        <w:spacing w:line="480" w:lineRule="auto"/>
        <w:rPr>
          <w:rFonts w:cs="Times New Roman"/>
        </w:rPr>
      </w:pPr>
      <w:r>
        <w:rPr>
          <w:rFonts w:cs="Times New Roman" w:hint="eastAsia"/>
          <w:b/>
          <w:bCs/>
        </w:rPr>
        <w:t>Figure S10</w:t>
      </w:r>
      <w:r>
        <w:rPr>
          <w:rFonts w:cs="Times New Roman"/>
          <w:b/>
          <w:bCs/>
        </w:rPr>
        <w:t>. (</w:t>
      </w:r>
      <w:r>
        <w:rPr>
          <w:rFonts w:cs="Times New Roman" w:hint="eastAsia"/>
          <w:b/>
          <w:bCs/>
        </w:rPr>
        <w:t>a</w:t>
      </w:r>
      <w:r>
        <w:rPr>
          <w:rFonts w:cs="Times New Roman"/>
          <w:b/>
          <w:bCs/>
        </w:rPr>
        <w:t>-</w:t>
      </w:r>
      <w:r>
        <w:rPr>
          <w:rFonts w:cs="Times New Roman" w:hint="eastAsia"/>
          <w:b/>
          <w:bCs/>
        </w:rPr>
        <w:t>b</w:t>
      </w:r>
      <w:r>
        <w:rPr>
          <w:rFonts w:cs="Times New Roman"/>
          <w:b/>
          <w:bCs/>
        </w:rPr>
        <w:t>)</w:t>
      </w:r>
      <w:r>
        <w:rPr>
          <w:rFonts w:cs="Times New Roman"/>
        </w:rPr>
        <w:t xml:space="preserve"> The </w:t>
      </w:r>
      <w:r>
        <w:rPr>
          <w:rFonts w:cs="Times New Roman" w:hint="eastAsia"/>
        </w:rPr>
        <w:t>S</w:t>
      </w:r>
      <w:r>
        <w:rPr>
          <w:rFonts w:cs="Times New Roman"/>
        </w:rPr>
        <w:t xml:space="preserve">pearman’s correlation analysis for Shannon and Richness indices between gut microbiota and resistome, respectively. </w:t>
      </w:r>
      <w:r>
        <w:rPr>
          <w:rFonts w:cs="Times New Roman"/>
          <w:b/>
          <w:bCs/>
        </w:rPr>
        <w:t>(</w:t>
      </w:r>
      <w:r>
        <w:rPr>
          <w:rFonts w:cs="Times New Roman" w:hint="eastAsia"/>
          <w:b/>
          <w:bCs/>
        </w:rPr>
        <w:t>c</w:t>
      </w:r>
      <w:r>
        <w:rPr>
          <w:rFonts w:cs="Times New Roman"/>
          <w:b/>
          <w:bCs/>
        </w:rPr>
        <w:t>-</w:t>
      </w:r>
      <w:r>
        <w:rPr>
          <w:rFonts w:cs="Times New Roman" w:hint="eastAsia"/>
          <w:b/>
          <w:bCs/>
        </w:rPr>
        <w:t>d</w:t>
      </w:r>
      <w:r>
        <w:rPr>
          <w:rFonts w:cs="Times New Roman"/>
          <w:b/>
          <w:bCs/>
        </w:rPr>
        <w:t>)</w:t>
      </w:r>
      <w:r>
        <w:rPr>
          <w:rFonts w:cs="Times New Roman"/>
        </w:rPr>
        <w:t xml:space="preserve"> The </w:t>
      </w:r>
      <w:r>
        <w:rPr>
          <w:rFonts w:cs="Times New Roman" w:hint="eastAsia"/>
        </w:rPr>
        <w:t>S</w:t>
      </w:r>
      <w:r>
        <w:rPr>
          <w:rFonts w:cs="Times New Roman"/>
        </w:rPr>
        <w:t xml:space="preserve">pearman’s correlation analysis for Shannon and Richness indices between mobilome and resistome, respectively. </w:t>
      </w:r>
      <w:r>
        <w:rPr>
          <w:rFonts w:cs="Times New Roman"/>
          <w:b/>
          <w:bCs/>
        </w:rPr>
        <w:t>(</w:t>
      </w:r>
      <w:r>
        <w:rPr>
          <w:rFonts w:cs="Times New Roman" w:hint="eastAsia"/>
          <w:b/>
          <w:bCs/>
        </w:rPr>
        <w:t>e</w:t>
      </w:r>
      <w:r>
        <w:rPr>
          <w:rFonts w:cs="Times New Roman"/>
          <w:b/>
          <w:bCs/>
        </w:rPr>
        <w:t>)</w:t>
      </w:r>
      <w:r>
        <w:rPr>
          <w:rFonts w:cs="Times New Roman"/>
        </w:rPr>
        <w:t xml:space="preserve"> A pie plot shows the proportion of the number of MGEs for each type relative to the total number of MGEs. </w:t>
      </w:r>
      <w:r>
        <w:rPr>
          <w:rFonts w:cs="Times New Roman"/>
          <w:b/>
          <w:bCs/>
        </w:rPr>
        <w:t>(</w:t>
      </w:r>
      <w:r>
        <w:rPr>
          <w:rFonts w:cs="Times New Roman" w:hint="eastAsia"/>
          <w:b/>
          <w:bCs/>
        </w:rPr>
        <w:t>f</w:t>
      </w:r>
      <w:r>
        <w:rPr>
          <w:rFonts w:cs="Times New Roman"/>
          <w:b/>
          <w:bCs/>
        </w:rPr>
        <w:t>)</w:t>
      </w:r>
      <w:r>
        <w:rPr>
          <w:rFonts w:cs="Times New Roman"/>
        </w:rPr>
        <w:t xml:space="preserve"> The correlation between gut microbiota and resistome by procrustes correlation analysis. </w:t>
      </w:r>
      <w:r>
        <w:rPr>
          <w:rFonts w:cs="Times New Roman"/>
          <w:b/>
          <w:bCs/>
        </w:rPr>
        <w:t>(</w:t>
      </w:r>
      <w:r>
        <w:rPr>
          <w:rFonts w:cs="Times New Roman" w:hint="eastAsia"/>
          <w:b/>
          <w:bCs/>
        </w:rPr>
        <w:t>g</w:t>
      </w:r>
      <w:r>
        <w:rPr>
          <w:rFonts w:cs="Times New Roman"/>
          <w:b/>
          <w:bCs/>
        </w:rPr>
        <w:t xml:space="preserve">) </w:t>
      </w:r>
      <w:r>
        <w:rPr>
          <w:rFonts w:cs="Times New Roman"/>
        </w:rPr>
        <w:t>The correlation between mobilome and resistome by procrustes correlation analysis.</w:t>
      </w:r>
    </w:p>
    <w:p w14:paraId="065008AF" w14:textId="77777777" w:rsidR="00353D97" w:rsidRDefault="00353D97" w:rsidP="00353D97">
      <w:pPr>
        <w:spacing w:line="480" w:lineRule="auto"/>
        <w:rPr>
          <w:rFonts w:cs="Times New Roman"/>
        </w:rPr>
      </w:pPr>
    </w:p>
    <w:p w14:paraId="4769DD11" w14:textId="77777777" w:rsidR="00353D97" w:rsidRDefault="00353D97" w:rsidP="00353D97">
      <w:pPr>
        <w:spacing w:line="480" w:lineRule="auto"/>
        <w:rPr>
          <w:rFonts w:cs="Times New Roman"/>
        </w:rPr>
      </w:pPr>
      <w:r>
        <w:rPr>
          <w:rFonts w:cs="Times New Roman" w:hint="eastAsia"/>
          <w:b/>
          <w:bCs/>
        </w:rPr>
        <w:t>Figure S12.</w:t>
      </w:r>
      <w:r>
        <w:rPr>
          <w:rFonts w:cs="Times New Roman"/>
          <w:b/>
          <w:bCs/>
        </w:rPr>
        <w:t xml:space="preserve"> </w:t>
      </w:r>
      <w:r>
        <w:rPr>
          <w:rFonts w:cs="Times New Roman"/>
        </w:rPr>
        <w:t xml:space="preserve">Correlations of gut microbial </w:t>
      </w:r>
      <w:r>
        <w:rPr>
          <w:rFonts w:cs="Times New Roman" w:hint="eastAsia"/>
        </w:rPr>
        <w:t xml:space="preserve">families </w:t>
      </w:r>
      <w:r>
        <w:rPr>
          <w:rFonts w:cs="Times New Roman"/>
        </w:rPr>
        <w:t>with the resistome as revealed by Mantel tests.</w:t>
      </w:r>
    </w:p>
    <w:p w14:paraId="18947D57" w14:textId="77777777" w:rsidR="00893476" w:rsidRDefault="00893476" w:rsidP="00893476">
      <w:pPr>
        <w:spacing w:line="480" w:lineRule="auto"/>
        <w:rPr>
          <w:rFonts w:cs="Times New Roman"/>
          <w:b/>
          <w:bCs/>
        </w:rPr>
      </w:pPr>
      <w:r>
        <w:rPr>
          <w:rFonts w:cs="Times New Roman"/>
          <w:b/>
          <w:bCs/>
        </w:rPr>
        <w:t>Additional files</w:t>
      </w:r>
    </w:p>
    <w:p w14:paraId="13992BB4" w14:textId="77777777" w:rsidR="00893476" w:rsidRDefault="00893476" w:rsidP="00893476">
      <w:pPr>
        <w:spacing w:line="480" w:lineRule="auto"/>
        <w:rPr>
          <w:rFonts w:cs="Times New Roman"/>
        </w:rPr>
      </w:pPr>
      <w:r>
        <w:rPr>
          <w:rFonts w:cs="Times New Roman"/>
          <w:b/>
          <w:bCs/>
        </w:rPr>
        <w:lastRenderedPageBreak/>
        <w:t>Table S1</w:t>
      </w:r>
      <w:r>
        <w:rPr>
          <w:rFonts w:cs="Times New Roman" w:hint="eastAsia"/>
          <w:b/>
          <w:bCs/>
        </w:rPr>
        <w:t>.</w:t>
      </w:r>
      <w:r>
        <w:rPr>
          <w:rFonts w:cs="Times New Roman"/>
        </w:rPr>
        <w:t xml:space="preserve"> Sequencing, assembly, binning information, and statistics of the mapping rate for all samples.</w:t>
      </w:r>
      <w:r>
        <w:rPr>
          <w:rFonts w:cs="Times New Roman" w:hint="eastAsia"/>
        </w:rPr>
        <w:t xml:space="preserve"> </w:t>
      </w:r>
      <w:r>
        <w:rPr>
          <w:rFonts w:cs="Times New Roman"/>
          <w:b/>
          <w:bCs/>
        </w:rPr>
        <w:t>Table S2</w:t>
      </w:r>
      <w:r>
        <w:rPr>
          <w:rFonts w:cs="Times New Roman" w:hint="eastAsia"/>
          <w:b/>
          <w:bCs/>
        </w:rPr>
        <w:t>.</w:t>
      </w:r>
      <w:r>
        <w:rPr>
          <w:rFonts w:cs="Times New Roman"/>
        </w:rPr>
        <w:t xml:space="preserve"> Results of aligning 899 isolates to the SILVA database.</w:t>
      </w:r>
      <w:r>
        <w:rPr>
          <w:rFonts w:cs="Times New Roman" w:hint="eastAsia"/>
        </w:rPr>
        <w:t xml:space="preserve"> </w:t>
      </w:r>
      <w:r>
        <w:rPr>
          <w:rFonts w:cs="Times New Roman"/>
          <w:b/>
          <w:bCs/>
        </w:rPr>
        <w:t>Table S3</w:t>
      </w:r>
      <w:r>
        <w:rPr>
          <w:rFonts w:cs="Times New Roman" w:hint="eastAsia"/>
          <w:b/>
          <w:bCs/>
        </w:rPr>
        <w:t>.</w:t>
      </w:r>
      <w:r>
        <w:rPr>
          <w:rFonts w:cs="Times New Roman"/>
        </w:rPr>
        <w:t xml:space="preserve"> Genome statistics for 694 strains, including assembly statistics, gene prediction and basic taxonomic information. </w:t>
      </w:r>
      <w:r>
        <w:rPr>
          <w:rFonts w:cs="Times New Roman"/>
          <w:b/>
          <w:bCs/>
        </w:rPr>
        <w:t>Table S4</w:t>
      </w:r>
      <w:r>
        <w:rPr>
          <w:rFonts w:cs="Times New Roman" w:hint="eastAsia"/>
          <w:b/>
          <w:bCs/>
        </w:rPr>
        <w:t>.</w:t>
      </w:r>
      <w:r>
        <w:rPr>
          <w:rFonts w:cs="Times New Roman"/>
        </w:rPr>
        <w:t xml:space="preserve"> Relative abundance of taxa at phylum, family, genus and species levels.</w:t>
      </w:r>
      <w:r>
        <w:rPr>
          <w:rFonts w:cs="Times New Roman" w:hint="eastAsia"/>
        </w:rPr>
        <w:t xml:space="preserve"> </w:t>
      </w:r>
      <w:r>
        <w:rPr>
          <w:rFonts w:cs="Times New Roman"/>
          <w:b/>
          <w:bCs/>
        </w:rPr>
        <w:t>Table S5</w:t>
      </w:r>
      <w:r>
        <w:rPr>
          <w:rFonts w:cs="Times New Roman" w:hint="eastAsia"/>
          <w:b/>
          <w:bCs/>
        </w:rPr>
        <w:t>.</w:t>
      </w:r>
      <w:r>
        <w:rPr>
          <w:rFonts w:cs="Times New Roman"/>
        </w:rPr>
        <w:t xml:space="preserve"> The species information in each cluster, corresponding to supplement figure 4 to 7.</w:t>
      </w:r>
      <w:r>
        <w:rPr>
          <w:rFonts w:cs="Times New Roman" w:hint="eastAsia"/>
        </w:rPr>
        <w:t xml:space="preserve"> </w:t>
      </w:r>
      <w:r>
        <w:rPr>
          <w:rFonts w:cs="Times New Roman"/>
          <w:b/>
          <w:bCs/>
        </w:rPr>
        <w:t>Table S6</w:t>
      </w:r>
      <w:r>
        <w:rPr>
          <w:rFonts w:cs="Times New Roman" w:hint="eastAsia"/>
          <w:b/>
          <w:bCs/>
        </w:rPr>
        <w:t>.</w:t>
      </w:r>
      <w:r>
        <w:rPr>
          <w:rFonts w:cs="Times New Roman"/>
        </w:rPr>
        <w:t xml:space="preserve"> </w:t>
      </w:r>
      <w:r>
        <w:rPr>
          <w:rFonts w:cs="Times New Roman" w:hint="eastAsia"/>
        </w:rPr>
        <w:t xml:space="preserve">The results of </w:t>
      </w:r>
      <w:r>
        <w:rPr>
          <w:rFonts w:cs="Times New Roman"/>
        </w:rPr>
        <w:t>LEfSe analysis for CAZymes.</w:t>
      </w:r>
      <w:r>
        <w:rPr>
          <w:rFonts w:cs="Times New Roman" w:hint="eastAsia"/>
        </w:rPr>
        <w:t xml:space="preserve"> </w:t>
      </w:r>
      <w:r>
        <w:rPr>
          <w:rFonts w:cs="Times New Roman"/>
          <w:b/>
          <w:bCs/>
        </w:rPr>
        <w:t>Table S7</w:t>
      </w:r>
      <w:r>
        <w:rPr>
          <w:rFonts w:cs="Times New Roman" w:hint="eastAsia"/>
          <w:b/>
          <w:bCs/>
        </w:rPr>
        <w:t>.</w:t>
      </w:r>
      <w:r>
        <w:rPr>
          <w:rFonts w:cs="Times New Roman"/>
        </w:rPr>
        <w:t xml:space="preserve"> Details of KEGG module enrichment analysis.</w:t>
      </w:r>
      <w:r>
        <w:rPr>
          <w:rFonts w:cs="Times New Roman" w:hint="eastAsia"/>
        </w:rPr>
        <w:t xml:space="preserve"> </w:t>
      </w:r>
      <w:r>
        <w:rPr>
          <w:rFonts w:cs="Times New Roman"/>
          <w:b/>
          <w:bCs/>
        </w:rPr>
        <w:t>Table S8</w:t>
      </w:r>
      <w:r>
        <w:rPr>
          <w:rFonts w:cs="Times New Roman" w:hint="eastAsia"/>
        </w:rPr>
        <w:t>.</w:t>
      </w:r>
      <w:r>
        <w:rPr>
          <w:rFonts w:cs="Times New Roman"/>
        </w:rPr>
        <w:t xml:space="preserve"> Annotation results of antibiotic resistance genes in open reading frames.</w:t>
      </w:r>
      <w:r>
        <w:rPr>
          <w:rFonts w:cs="Times New Roman" w:hint="eastAsia"/>
        </w:rPr>
        <w:t xml:space="preserve"> </w:t>
      </w:r>
      <w:r>
        <w:rPr>
          <w:rFonts w:cs="Times New Roman"/>
          <w:b/>
          <w:bCs/>
        </w:rPr>
        <w:t>Table S9</w:t>
      </w:r>
      <w:r>
        <w:rPr>
          <w:rFonts w:cs="Times New Roman" w:hint="eastAsia"/>
        </w:rPr>
        <w:t>.</w:t>
      </w:r>
      <w:r>
        <w:rPr>
          <w:rFonts w:cs="Times New Roman"/>
        </w:rPr>
        <w:t xml:space="preserve"> Bacterial taxa are associated with drug phenotypes determined by the Mantel test.</w:t>
      </w:r>
      <w:r>
        <w:rPr>
          <w:rFonts w:cs="Times New Roman" w:hint="eastAsia"/>
        </w:rPr>
        <w:t xml:space="preserve"> </w:t>
      </w:r>
      <w:r>
        <w:rPr>
          <w:rFonts w:cs="Times New Roman"/>
          <w:b/>
          <w:bCs/>
        </w:rPr>
        <w:t>Table S10</w:t>
      </w:r>
      <w:r>
        <w:rPr>
          <w:rFonts w:cs="Times New Roman" w:hint="eastAsia"/>
          <w:b/>
          <w:bCs/>
        </w:rPr>
        <w:t>.</w:t>
      </w:r>
      <w:r>
        <w:rPr>
          <w:rFonts w:cs="Times New Roman"/>
        </w:rPr>
        <w:t xml:space="preserve"> Annotation results of mobile genetic element genes in open reading frames.</w:t>
      </w:r>
      <w:r>
        <w:rPr>
          <w:rFonts w:cs="Times New Roman" w:hint="eastAsia"/>
        </w:rPr>
        <w:t xml:space="preserve"> </w:t>
      </w:r>
      <w:r>
        <w:rPr>
          <w:rFonts w:cs="Times New Roman"/>
          <w:b/>
          <w:bCs/>
        </w:rPr>
        <w:t>Table S11</w:t>
      </w:r>
      <w:r>
        <w:rPr>
          <w:rFonts w:cs="Times New Roman" w:hint="eastAsia"/>
        </w:rPr>
        <w:t>.</w:t>
      </w:r>
      <w:r>
        <w:rPr>
          <w:rFonts w:cs="Times New Roman"/>
        </w:rPr>
        <w:t xml:space="preserve"> The statistics of the type and count of ARG-MGE combinations.</w:t>
      </w:r>
    </w:p>
    <w:p w14:paraId="762E5B99" w14:textId="77777777" w:rsidR="00893476" w:rsidRDefault="00893476" w:rsidP="00893476">
      <w:pPr>
        <w:spacing w:line="480" w:lineRule="auto"/>
        <w:rPr>
          <w:rFonts w:cs="Times New Roman"/>
        </w:rPr>
      </w:pPr>
    </w:p>
    <w:p w14:paraId="6B7CFA29" w14:textId="77777777" w:rsidR="00893476" w:rsidRDefault="00893476" w:rsidP="00893476">
      <w:pPr>
        <w:spacing w:line="480" w:lineRule="auto"/>
        <w:rPr>
          <w:rFonts w:cs="Times New Roman"/>
        </w:rPr>
      </w:pPr>
      <w:r>
        <w:rPr>
          <w:rFonts w:cs="Times New Roman"/>
          <w:b/>
          <w:bCs/>
        </w:rPr>
        <w:t>Table S12</w:t>
      </w:r>
      <w:r>
        <w:rPr>
          <w:rFonts w:cs="Times New Roman" w:hint="eastAsia"/>
          <w:b/>
          <w:bCs/>
        </w:rPr>
        <w:t xml:space="preserve">. </w:t>
      </w:r>
      <w:r>
        <w:rPr>
          <w:rFonts w:cs="Times New Roman"/>
        </w:rPr>
        <w:t>The statistics of the co-abundance relationship between ARGs and MGEs.</w:t>
      </w:r>
    </w:p>
    <w:p w14:paraId="18BA3683" w14:textId="77777777" w:rsidR="00207679" w:rsidRDefault="00207679" w:rsidP="00353D97">
      <w:pPr>
        <w:ind w:left="720"/>
      </w:pPr>
    </w:p>
    <w:sectPr w:rsidR="00207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97"/>
    <w:rsid w:val="00207679"/>
    <w:rsid w:val="00353D97"/>
    <w:rsid w:val="005A1BFD"/>
    <w:rsid w:val="00893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6C36"/>
  <w15:chartTrackingRefBased/>
  <w15:docId w15:val="{FD6B6729-9478-4B07-96AA-07D151A6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D97"/>
  </w:style>
  <w:style w:type="paragraph" w:styleId="Heading1">
    <w:name w:val="heading 1"/>
    <w:basedOn w:val="Normal"/>
    <w:next w:val="Normal"/>
    <w:link w:val="Heading1Char"/>
    <w:uiPriority w:val="9"/>
    <w:qFormat/>
    <w:rsid w:val="00353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D97"/>
    <w:rPr>
      <w:rFonts w:eastAsiaTheme="majorEastAsia" w:cstheme="majorBidi"/>
      <w:color w:val="272727" w:themeColor="text1" w:themeTint="D8"/>
    </w:rPr>
  </w:style>
  <w:style w:type="paragraph" w:styleId="Title">
    <w:name w:val="Title"/>
    <w:basedOn w:val="Normal"/>
    <w:next w:val="Normal"/>
    <w:link w:val="TitleChar"/>
    <w:uiPriority w:val="10"/>
    <w:qFormat/>
    <w:rsid w:val="00353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D97"/>
    <w:pPr>
      <w:spacing w:before="160"/>
      <w:jc w:val="center"/>
    </w:pPr>
    <w:rPr>
      <w:i/>
      <w:iCs/>
      <w:color w:val="404040" w:themeColor="text1" w:themeTint="BF"/>
    </w:rPr>
  </w:style>
  <w:style w:type="character" w:customStyle="1" w:styleId="QuoteChar">
    <w:name w:val="Quote Char"/>
    <w:basedOn w:val="DefaultParagraphFont"/>
    <w:link w:val="Quote"/>
    <w:uiPriority w:val="29"/>
    <w:rsid w:val="00353D97"/>
    <w:rPr>
      <w:i/>
      <w:iCs/>
      <w:color w:val="404040" w:themeColor="text1" w:themeTint="BF"/>
    </w:rPr>
  </w:style>
  <w:style w:type="paragraph" w:styleId="ListParagraph">
    <w:name w:val="List Paragraph"/>
    <w:basedOn w:val="Normal"/>
    <w:uiPriority w:val="34"/>
    <w:qFormat/>
    <w:rsid w:val="00353D97"/>
    <w:pPr>
      <w:ind w:left="720"/>
      <w:contextualSpacing/>
    </w:pPr>
  </w:style>
  <w:style w:type="character" w:styleId="IntenseEmphasis">
    <w:name w:val="Intense Emphasis"/>
    <w:basedOn w:val="DefaultParagraphFont"/>
    <w:uiPriority w:val="21"/>
    <w:qFormat/>
    <w:rsid w:val="00353D97"/>
    <w:rPr>
      <w:i/>
      <w:iCs/>
      <w:color w:val="0F4761" w:themeColor="accent1" w:themeShade="BF"/>
    </w:rPr>
  </w:style>
  <w:style w:type="paragraph" w:styleId="IntenseQuote">
    <w:name w:val="Intense Quote"/>
    <w:basedOn w:val="Normal"/>
    <w:next w:val="Normal"/>
    <w:link w:val="IntenseQuoteChar"/>
    <w:uiPriority w:val="30"/>
    <w:qFormat/>
    <w:rsid w:val="00353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D97"/>
    <w:rPr>
      <w:i/>
      <w:iCs/>
      <w:color w:val="0F4761" w:themeColor="accent1" w:themeShade="BF"/>
    </w:rPr>
  </w:style>
  <w:style w:type="character" w:styleId="IntenseReference">
    <w:name w:val="Intense Reference"/>
    <w:basedOn w:val="DefaultParagraphFont"/>
    <w:uiPriority w:val="32"/>
    <w:qFormat/>
    <w:rsid w:val="00353D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727</Words>
  <Characters>4145</Characters>
  <Application>Microsoft Office Word</Application>
  <DocSecurity>0</DocSecurity>
  <Lines>34</Lines>
  <Paragraphs>9</Paragraphs>
  <ScaleCrop>false</ScaleCrop>
  <Company>Springer Nature</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2</cp:revision>
  <dcterms:created xsi:type="dcterms:W3CDTF">2024-07-16T07:46:00Z</dcterms:created>
  <dcterms:modified xsi:type="dcterms:W3CDTF">2024-07-16T07:47:00Z</dcterms:modified>
</cp:coreProperties>
</file>