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0B35EE" w14:textId="77777777" w:rsidR="009627FB" w:rsidRPr="00020E22" w:rsidRDefault="009627FB" w:rsidP="009627FB">
      <w:pPr>
        <w:spacing w:line="276" w:lineRule="auto"/>
        <w:jc w:val="center"/>
        <w:rPr>
          <w:rFonts w:asciiTheme="majorBidi" w:hAnsiTheme="majorBidi" w:cstheme="majorBidi"/>
          <w:b/>
          <w:bCs/>
          <w:color w:val="1F1F1F"/>
          <w:sz w:val="24"/>
          <w:szCs w:val="24"/>
          <w:shd w:val="clear" w:color="auto" w:fill="FFFFFF"/>
        </w:rPr>
      </w:pPr>
      <w:r w:rsidRPr="00020E22">
        <w:rPr>
          <w:rFonts w:asciiTheme="majorBidi" w:hAnsiTheme="majorBidi" w:cstheme="majorBidi"/>
          <w:b/>
          <w:bCs/>
          <w:color w:val="1F1F1F"/>
          <w:sz w:val="24"/>
          <w:szCs w:val="24"/>
          <w:shd w:val="clear" w:color="auto" w:fill="FFFFFF"/>
        </w:rPr>
        <w:t xml:space="preserve">Revolutionizing antimicrobial treatment: Unprecedented synergy of </w:t>
      </w:r>
      <w:r>
        <w:rPr>
          <w:rFonts w:asciiTheme="majorBidi" w:hAnsiTheme="majorBidi" w:cstheme="majorBidi"/>
          <w:b/>
          <w:bCs/>
          <w:color w:val="1F1F1F"/>
          <w:sz w:val="24"/>
          <w:szCs w:val="24"/>
          <w:shd w:val="clear" w:color="auto" w:fill="FFFFFF"/>
        </w:rPr>
        <w:t>ZnO quantum dots/Ag NPs/</w:t>
      </w:r>
      <w:r w:rsidRPr="00FF1071">
        <w:rPr>
          <w:rFonts w:asciiTheme="majorBidi" w:hAnsiTheme="majorBidi" w:cstheme="majorBidi"/>
          <w:b/>
          <w:bCs/>
          <w:i/>
          <w:iCs/>
          <w:color w:val="1F1F1F"/>
          <w:sz w:val="24"/>
          <w:szCs w:val="24"/>
          <w:shd w:val="clear" w:color="auto" w:fill="FFFFFF"/>
        </w:rPr>
        <w:t>Nitazoxanide Triumphs</w:t>
      </w:r>
      <w:r w:rsidRPr="00020E22">
        <w:rPr>
          <w:rFonts w:asciiTheme="majorBidi" w:hAnsiTheme="majorBidi" w:cstheme="majorBidi"/>
          <w:b/>
          <w:bCs/>
          <w:color w:val="1F1F1F"/>
          <w:sz w:val="24"/>
          <w:szCs w:val="24"/>
          <w:shd w:val="clear" w:color="auto" w:fill="FFFFFF"/>
        </w:rPr>
        <w:t xml:space="preserve"> </w:t>
      </w:r>
      <w:r>
        <w:rPr>
          <w:rFonts w:asciiTheme="majorBidi" w:hAnsiTheme="majorBidi" w:cstheme="majorBidi"/>
          <w:b/>
          <w:bCs/>
          <w:color w:val="1F1F1F"/>
          <w:sz w:val="24"/>
          <w:szCs w:val="24"/>
          <w:shd w:val="clear" w:color="auto" w:fill="FFFFFF"/>
        </w:rPr>
        <w:t xml:space="preserve">composite NPs </w:t>
      </w:r>
      <w:r w:rsidRPr="00020E22">
        <w:rPr>
          <w:rFonts w:asciiTheme="majorBidi" w:hAnsiTheme="majorBidi" w:cstheme="majorBidi"/>
          <w:b/>
          <w:bCs/>
          <w:color w:val="1F1F1F"/>
          <w:sz w:val="24"/>
          <w:szCs w:val="24"/>
          <w:shd w:val="clear" w:color="auto" w:fill="FFFFFF"/>
        </w:rPr>
        <w:t>over multidrug-resistant human pathogens</w:t>
      </w:r>
    </w:p>
    <w:p w14:paraId="3995387B" w14:textId="1083858A" w:rsidR="00B53694" w:rsidRDefault="00B53694" w:rsidP="00424F5E">
      <w:pPr>
        <w:ind w:left="-900" w:hanging="90"/>
        <w:jc w:val="center"/>
        <w:rPr>
          <w:noProof/>
        </w:rPr>
      </w:pPr>
    </w:p>
    <w:p w14:paraId="6E3CCBF9" w14:textId="4032BDFE" w:rsidR="008D4183" w:rsidRDefault="00424F5E" w:rsidP="00424F5E">
      <w:pPr>
        <w:tabs>
          <w:tab w:val="left" w:pos="810"/>
        </w:tabs>
        <w:ind w:left="180"/>
      </w:pPr>
      <w:r>
        <w:tab/>
      </w:r>
      <w:r w:rsidR="008D4183">
        <w:rPr>
          <w:noProof/>
        </w:rPr>
        <w:drawing>
          <wp:inline distT="0" distB="0" distL="0" distR="0" wp14:anchorId="3458B0C7" wp14:editId="090BD784">
            <wp:extent cx="5679440" cy="6210300"/>
            <wp:effectExtent l="0" t="0" r="0" b="0"/>
            <wp:docPr id="134131615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0876" cy="6222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923D13" w14:textId="25133DF6" w:rsidR="00424F5E" w:rsidRPr="009627FB" w:rsidRDefault="00424F5E" w:rsidP="009627FB">
      <w:pPr>
        <w:tabs>
          <w:tab w:val="left" w:pos="810"/>
        </w:tabs>
        <w:ind w:left="180"/>
        <w:jc w:val="center"/>
        <w:rPr>
          <w:rFonts w:asciiTheme="majorBidi" w:hAnsiTheme="majorBidi" w:cstheme="majorBidi"/>
          <w:sz w:val="20"/>
          <w:szCs w:val="20"/>
        </w:rPr>
      </w:pPr>
      <w:r w:rsidRPr="009627FB">
        <w:rPr>
          <w:rFonts w:asciiTheme="majorBidi" w:hAnsiTheme="majorBidi" w:cstheme="majorBidi"/>
          <w:b/>
          <w:bCs/>
          <w:sz w:val="20"/>
          <w:szCs w:val="20"/>
        </w:rPr>
        <w:t>Figure S1</w:t>
      </w:r>
      <w:r w:rsidRPr="009627FB">
        <w:rPr>
          <w:rFonts w:asciiTheme="majorBidi" w:hAnsiTheme="majorBidi" w:cstheme="majorBidi"/>
          <w:sz w:val="20"/>
          <w:szCs w:val="20"/>
        </w:rPr>
        <w:t>. X-ray Powder Diffraction Investigation of Silver Nanoparticles: (a) Elucidation of [111] and [002] as Predominant Peaks through Fitting Analysis; (b) Comparative Assessment of Diffraction Peaks vis-à-vis Various Reference Cards from the International Centre for Diffraction Data (ICDD).</w:t>
      </w:r>
    </w:p>
    <w:p w14:paraId="6B13380F" w14:textId="1071A911" w:rsidR="008D4183" w:rsidRPr="00424F5E" w:rsidRDefault="008D4183" w:rsidP="00424F5E">
      <w:pPr>
        <w:tabs>
          <w:tab w:val="left" w:pos="810"/>
        </w:tabs>
        <w:ind w:left="180"/>
      </w:pPr>
      <w:r>
        <w:rPr>
          <w:noProof/>
        </w:rPr>
        <w:lastRenderedPageBreak/>
        <w:drawing>
          <wp:inline distT="0" distB="0" distL="0" distR="0" wp14:anchorId="61E44A07" wp14:editId="4E604293">
            <wp:extent cx="5516732" cy="7224889"/>
            <wp:effectExtent l="0" t="0" r="0" b="0"/>
            <wp:docPr id="25356261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335" cy="7276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682597" w14:textId="05C604C1" w:rsidR="00261C94" w:rsidRDefault="00261C94" w:rsidP="009627FB">
      <w:pPr>
        <w:tabs>
          <w:tab w:val="left" w:pos="810"/>
        </w:tabs>
        <w:ind w:left="180"/>
        <w:jc w:val="center"/>
        <w:rPr>
          <w:rFonts w:asciiTheme="majorBidi" w:hAnsiTheme="majorBidi" w:cstheme="majorBidi"/>
          <w:sz w:val="20"/>
          <w:szCs w:val="20"/>
        </w:rPr>
      </w:pPr>
      <w:r w:rsidRPr="009627FB">
        <w:rPr>
          <w:rFonts w:asciiTheme="majorBidi" w:hAnsiTheme="majorBidi" w:cstheme="majorBidi"/>
          <w:b/>
          <w:bCs/>
          <w:sz w:val="20"/>
          <w:szCs w:val="20"/>
        </w:rPr>
        <w:t>Fig</w:t>
      </w:r>
      <w:r w:rsidR="009627FB">
        <w:rPr>
          <w:rFonts w:asciiTheme="majorBidi" w:hAnsiTheme="majorBidi" w:cstheme="majorBidi"/>
          <w:b/>
          <w:bCs/>
          <w:sz w:val="20"/>
          <w:szCs w:val="20"/>
        </w:rPr>
        <w:t>.</w:t>
      </w:r>
      <w:r w:rsidRPr="009627FB">
        <w:rPr>
          <w:rFonts w:asciiTheme="majorBidi" w:hAnsiTheme="majorBidi" w:cstheme="majorBidi"/>
          <w:b/>
          <w:bCs/>
          <w:sz w:val="20"/>
          <w:szCs w:val="20"/>
        </w:rPr>
        <w:t xml:space="preserve"> S2</w:t>
      </w:r>
      <w:r w:rsidRPr="009627FB">
        <w:rPr>
          <w:rFonts w:asciiTheme="majorBidi" w:hAnsiTheme="majorBidi" w:cstheme="majorBidi"/>
          <w:sz w:val="20"/>
          <w:szCs w:val="20"/>
        </w:rPr>
        <w:t>. X-ray Powder Diffraction Investigation of ZnO-QDs: (a) Elucidation of all prominent Peaks through Fitting Analysis; (b) Comparative Assessment of Diffraction Peaks vis-à-vis Various Reference Cards from the International Centre for Diffraction Data (ICDD).</w:t>
      </w:r>
    </w:p>
    <w:p w14:paraId="084CD5FC" w14:textId="77777777" w:rsidR="009627FB" w:rsidRDefault="009627FB" w:rsidP="009627FB">
      <w:pPr>
        <w:tabs>
          <w:tab w:val="left" w:pos="810"/>
        </w:tabs>
        <w:ind w:left="180"/>
        <w:jc w:val="center"/>
        <w:rPr>
          <w:rFonts w:asciiTheme="majorBidi" w:hAnsiTheme="majorBidi" w:cstheme="majorBidi"/>
          <w:sz w:val="20"/>
          <w:szCs w:val="20"/>
        </w:rPr>
      </w:pPr>
    </w:p>
    <w:p w14:paraId="203A0B88" w14:textId="201A2FCC" w:rsidR="009627FB" w:rsidRDefault="009627FB" w:rsidP="009627FB">
      <w:pPr>
        <w:tabs>
          <w:tab w:val="left" w:pos="810"/>
        </w:tabs>
        <w:ind w:left="180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9627FB">
        <w:rPr>
          <w:rFonts w:asciiTheme="majorBidi" w:hAnsiTheme="majorBidi" w:cstheme="majorBidi"/>
          <w:b/>
          <w:bCs/>
          <w:sz w:val="20"/>
          <w:szCs w:val="20"/>
        </w:rPr>
        <w:t>S1, PDF</w:t>
      </w:r>
    </w:p>
    <w:p w14:paraId="2C2202C0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,Bold" w:eastAsia="DX+Tahoma,Bold" w:cs="DX+Tahoma,Bold"/>
          <w:b/>
          <w:bCs/>
          <w:kern w:val="0"/>
          <w:sz w:val="20"/>
          <w:szCs w:val="20"/>
        </w:rPr>
      </w:pPr>
      <w:r>
        <w:rPr>
          <w:rFonts w:ascii="DX+Tahoma,Bold" w:eastAsia="DX+Tahoma,Bold" w:cs="DX+Tahoma,Bold"/>
          <w:b/>
          <w:bCs/>
          <w:kern w:val="0"/>
          <w:sz w:val="20"/>
          <w:szCs w:val="20"/>
        </w:rPr>
        <w:t>Name and formula</w:t>
      </w:r>
    </w:p>
    <w:p w14:paraId="2FD05C10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Reference code: 01-082-3143</w:t>
      </w:r>
    </w:p>
    <w:p w14:paraId="6768A342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Compound name: Zinc Oxide</w:t>
      </w:r>
    </w:p>
    <w:p w14:paraId="344C05D3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4"/>
          <w:szCs w:val="14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Empirical formula: O</w:t>
      </w:r>
      <w:r>
        <w:rPr>
          <w:rFonts w:ascii="DX+Tahoma" w:eastAsia="DX+Tahoma,Bold" w:hAnsi="DX+Tahoma" w:cs="DX+Tahoma"/>
          <w:kern w:val="0"/>
          <w:sz w:val="14"/>
          <w:szCs w:val="14"/>
        </w:rPr>
        <w:t>0.8</w:t>
      </w:r>
      <w:r>
        <w:rPr>
          <w:rFonts w:ascii="DX+Tahoma" w:eastAsia="DX+Tahoma,Bold" w:hAnsi="DX+Tahoma" w:cs="DX+Tahoma"/>
          <w:kern w:val="0"/>
          <w:sz w:val="17"/>
          <w:szCs w:val="17"/>
        </w:rPr>
        <w:t>Zn</w:t>
      </w:r>
      <w:r>
        <w:rPr>
          <w:rFonts w:ascii="DX+Tahoma" w:eastAsia="DX+Tahoma,Bold" w:hAnsi="DX+Tahoma" w:cs="DX+Tahoma"/>
          <w:kern w:val="0"/>
          <w:sz w:val="14"/>
          <w:szCs w:val="14"/>
        </w:rPr>
        <w:t>0.8</w:t>
      </w:r>
    </w:p>
    <w:p w14:paraId="63884A3D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4"/>
          <w:szCs w:val="14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Chemical formula: Zn</w:t>
      </w:r>
      <w:r>
        <w:rPr>
          <w:rFonts w:ascii="DX+Tahoma" w:eastAsia="DX+Tahoma,Bold" w:hAnsi="DX+Tahoma" w:cs="DX+Tahoma"/>
          <w:kern w:val="0"/>
          <w:sz w:val="14"/>
          <w:szCs w:val="14"/>
        </w:rPr>
        <w:t>0.8</w:t>
      </w:r>
      <w:r>
        <w:rPr>
          <w:rFonts w:ascii="DX+Tahoma" w:eastAsia="DX+Tahoma,Bold" w:hAnsi="DX+Tahoma" w:cs="DX+Tahoma"/>
          <w:kern w:val="0"/>
          <w:sz w:val="17"/>
          <w:szCs w:val="17"/>
        </w:rPr>
        <w:t>O</w:t>
      </w:r>
      <w:r>
        <w:rPr>
          <w:rFonts w:ascii="DX+Tahoma" w:eastAsia="DX+Tahoma,Bold" w:hAnsi="DX+Tahoma" w:cs="DX+Tahoma"/>
          <w:kern w:val="0"/>
          <w:sz w:val="14"/>
          <w:szCs w:val="14"/>
        </w:rPr>
        <w:t>0.8</w:t>
      </w:r>
    </w:p>
    <w:p w14:paraId="7E94F726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,Bold" w:eastAsia="DX+Tahoma,Bold" w:cs="DX+Tahoma,Bold"/>
          <w:b/>
          <w:bCs/>
          <w:kern w:val="0"/>
          <w:sz w:val="20"/>
          <w:szCs w:val="20"/>
        </w:rPr>
      </w:pPr>
      <w:r>
        <w:rPr>
          <w:rFonts w:ascii="DX+Tahoma,Bold" w:eastAsia="DX+Tahoma,Bold" w:cs="DX+Tahoma,Bold"/>
          <w:b/>
          <w:bCs/>
          <w:kern w:val="0"/>
          <w:sz w:val="20"/>
          <w:szCs w:val="20"/>
        </w:rPr>
        <w:t>Crystallographic parameters</w:t>
      </w:r>
    </w:p>
    <w:p w14:paraId="33DA69B6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Crystal system: Hexagonal</w:t>
      </w:r>
    </w:p>
    <w:p w14:paraId="5D163D2A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Space group: P63mc</w:t>
      </w:r>
    </w:p>
    <w:p w14:paraId="39354A20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Space group number: 186</w:t>
      </w:r>
    </w:p>
    <w:p w14:paraId="4C698D9C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a (Å): 3.2450</w:t>
      </w:r>
    </w:p>
    <w:p w14:paraId="086A674D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b (Å): 3.2450</w:t>
      </w:r>
    </w:p>
    <w:p w14:paraId="7509AF57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c (Å): 5.2200</w:t>
      </w:r>
    </w:p>
    <w:p w14:paraId="0F98898E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Alpha (°): 90.0000</w:t>
      </w:r>
    </w:p>
    <w:p w14:paraId="69E1C441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Beta (°): 90.0000</w:t>
      </w:r>
    </w:p>
    <w:p w14:paraId="1532F03F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Gamma (°): 120.0000</w:t>
      </w:r>
    </w:p>
    <w:p w14:paraId="5E375350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Volume of cell (10</w:t>
      </w:r>
      <w:r>
        <w:rPr>
          <w:rFonts w:ascii="DX+Tahoma" w:eastAsia="DX+Tahoma,Bold" w:hAnsi="DX+Tahoma" w:cs="DX+Tahoma"/>
          <w:kern w:val="0"/>
          <w:sz w:val="14"/>
          <w:szCs w:val="14"/>
        </w:rPr>
        <w:t xml:space="preserve">6 </w:t>
      </w:r>
      <w:r>
        <w:rPr>
          <w:rFonts w:ascii="DX+Tahoma" w:eastAsia="DX+Tahoma,Bold" w:hAnsi="DX+Tahoma" w:cs="DX+Tahoma"/>
          <w:kern w:val="0"/>
          <w:sz w:val="17"/>
          <w:szCs w:val="17"/>
        </w:rPr>
        <w:t>pm</w:t>
      </w:r>
      <w:r>
        <w:rPr>
          <w:rFonts w:ascii="DX+Tahoma" w:eastAsia="DX+Tahoma,Bold" w:hAnsi="DX+Tahoma" w:cs="DX+Tahoma"/>
          <w:kern w:val="0"/>
          <w:sz w:val="14"/>
          <w:szCs w:val="14"/>
        </w:rPr>
        <w:t>3</w:t>
      </w:r>
      <w:r>
        <w:rPr>
          <w:rFonts w:ascii="DX+Tahoma" w:eastAsia="DX+Tahoma,Bold" w:hAnsi="DX+Tahoma" w:cs="DX+Tahoma"/>
          <w:kern w:val="0"/>
          <w:sz w:val="17"/>
          <w:szCs w:val="17"/>
        </w:rPr>
        <w:t>): 47.60</w:t>
      </w:r>
    </w:p>
    <w:p w14:paraId="0B840745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Z: 2.00</w:t>
      </w:r>
    </w:p>
    <w:p w14:paraId="6317A86C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RIR: 4.21</w:t>
      </w:r>
    </w:p>
    <w:p w14:paraId="1DA52695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,Bold" w:eastAsia="DX+Tahoma,Bold" w:cs="DX+Tahoma,Bold"/>
          <w:b/>
          <w:bCs/>
          <w:kern w:val="0"/>
          <w:sz w:val="20"/>
          <w:szCs w:val="20"/>
        </w:rPr>
      </w:pPr>
      <w:r>
        <w:rPr>
          <w:rFonts w:ascii="DX+Tahoma,Bold" w:eastAsia="DX+Tahoma,Bold" w:cs="DX+Tahoma,Bold"/>
          <w:b/>
          <w:bCs/>
          <w:kern w:val="0"/>
          <w:sz w:val="20"/>
          <w:szCs w:val="20"/>
        </w:rPr>
        <w:t>Subfiles and quality</w:t>
      </w:r>
    </w:p>
    <w:p w14:paraId="63C5D275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Subfiles: Alloy, metal or intermetalic, Ceramic, Ceramic - Semiconductor, Common Phase, Excipient, Forensic, ICSD</w:t>
      </w:r>
    </w:p>
    <w:p w14:paraId="3727B26A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Pattern, Inorganic, Pharmaceutical, Thermoelectric Material</w:t>
      </w:r>
    </w:p>
    <w:p w14:paraId="08F4532B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Quality: Indexed (I)</w:t>
      </w:r>
    </w:p>
    <w:p w14:paraId="2027571D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,Bold" w:eastAsia="DX+Tahoma,Bold" w:cs="DX+Tahoma,Bold"/>
          <w:b/>
          <w:bCs/>
          <w:kern w:val="0"/>
          <w:sz w:val="20"/>
          <w:szCs w:val="20"/>
        </w:rPr>
      </w:pPr>
      <w:r>
        <w:rPr>
          <w:rFonts w:ascii="DX+Tahoma,Bold" w:eastAsia="DX+Tahoma,Bold" w:cs="DX+Tahoma,Bold"/>
          <w:b/>
          <w:bCs/>
          <w:kern w:val="0"/>
          <w:sz w:val="20"/>
          <w:szCs w:val="20"/>
        </w:rPr>
        <w:t>Comments</w:t>
      </w:r>
    </w:p>
    <w:p w14:paraId="2045B9BF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ANX: AX</w:t>
      </w:r>
    </w:p>
    <w:p w14:paraId="2DF38F6F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ICSD collection code: 236216</w:t>
      </w:r>
    </w:p>
    <w:p w14:paraId="73D24DE4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Creation Date: 9/1/2014</w:t>
      </w:r>
    </w:p>
    <w:p w14:paraId="66032959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Cross-References: ICSD:236216, ICDD:04-015-4060 (related phase)</w:t>
      </w:r>
    </w:p>
    <w:p w14:paraId="22562F8C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ANX: AX</w:t>
      </w:r>
    </w:p>
    <w:p w14:paraId="5F6ADD22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Analysis: O0.8 Zn0.8</w:t>
      </w:r>
    </w:p>
    <w:p w14:paraId="21B241F0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Formula from original source: Zn0.8 O0.8</w:t>
      </w:r>
    </w:p>
    <w:p w14:paraId="4E984CD5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ICSD Collection Code: 236216</w:t>
      </w:r>
    </w:p>
    <w:p w14:paraId="43C86D82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Minor Warning: No e.s.d reported/abstracted on the cell dimension. No R factors reported/abstracted</w:t>
      </w:r>
    </w:p>
    <w:p w14:paraId="7B1DDDCE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Wyckoff Sequence: b2 (P63MC)</w:t>
      </w:r>
    </w:p>
    <w:p w14:paraId="43D30FE9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Unit Cell Data Source: Powder Diffraction.</w:t>
      </w:r>
    </w:p>
    <w:p w14:paraId="13164307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,Bold" w:eastAsia="DX+Tahoma,Bold" w:cs="DX+Tahoma,Bold"/>
          <w:b/>
          <w:bCs/>
          <w:kern w:val="0"/>
          <w:sz w:val="20"/>
          <w:szCs w:val="20"/>
        </w:rPr>
      </w:pPr>
      <w:r>
        <w:rPr>
          <w:rFonts w:ascii="DX+Tahoma,Bold" w:eastAsia="DX+Tahoma,Bold" w:cs="DX+Tahoma,Bold"/>
          <w:b/>
          <w:bCs/>
          <w:kern w:val="0"/>
          <w:sz w:val="20"/>
          <w:szCs w:val="20"/>
        </w:rPr>
        <w:t>References</w:t>
      </w:r>
    </w:p>
    <w:p w14:paraId="58160DCD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 xml:space="preserve">Primary reference: Ekicibil, A., </w:t>
      </w:r>
      <w:r>
        <w:rPr>
          <w:rFonts w:ascii="DX+Tahoma,Italic" w:eastAsia="DX+Tahoma,Bold" w:hAnsi="DX+Tahoma,Italic" w:cs="DX+Tahoma,Italic"/>
          <w:i/>
          <w:iCs/>
          <w:kern w:val="0"/>
          <w:sz w:val="17"/>
          <w:szCs w:val="17"/>
        </w:rPr>
        <w:t>Solid State Sci.</w:t>
      </w:r>
      <w:r>
        <w:rPr>
          <w:rFonts w:ascii="DX+Tahoma" w:eastAsia="DX+Tahoma,Bold" w:hAnsi="DX+Tahoma" w:cs="DX+Tahoma"/>
          <w:kern w:val="0"/>
          <w:sz w:val="17"/>
          <w:szCs w:val="17"/>
        </w:rPr>
        <w:t xml:space="preserve">, </w:t>
      </w:r>
      <w:r>
        <w:rPr>
          <w:rFonts w:ascii="DX+Tahoma,Bold" w:eastAsia="DX+Tahoma,Bold" w:cs="DX+Tahoma,Bold"/>
          <w:b/>
          <w:bCs/>
          <w:kern w:val="0"/>
          <w:sz w:val="17"/>
          <w:szCs w:val="17"/>
        </w:rPr>
        <w:t>14</w:t>
      </w:r>
      <w:r>
        <w:rPr>
          <w:rFonts w:ascii="DX+Tahoma" w:eastAsia="DX+Tahoma,Bold" w:hAnsi="DX+Tahoma" w:cs="DX+Tahoma"/>
          <w:kern w:val="0"/>
          <w:sz w:val="17"/>
          <w:szCs w:val="17"/>
        </w:rPr>
        <w:t>, 1486, (2012)</w:t>
      </w:r>
    </w:p>
    <w:p w14:paraId="611C5C65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 xml:space="preserve">Structure: Ekicibil, A., </w:t>
      </w:r>
      <w:r>
        <w:rPr>
          <w:rFonts w:ascii="DX+Tahoma,Italic" w:eastAsia="DX+Tahoma,Bold" w:hAnsi="DX+Tahoma,Italic" w:cs="DX+Tahoma,Italic"/>
          <w:i/>
          <w:iCs/>
          <w:kern w:val="0"/>
          <w:sz w:val="17"/>
          <w:szCs w:val="17"/>
        </w:rPr>
        <w:t>Solid State Sci.</w:t>
      </w:r>
      <w:r>
        <w:rPr>
          <w:rFonts w:ascii="DX+Tahoma" w:eastAsia="DX+Tahoma,Bold" w:hAnsi="DX+Tahoma" w:cs="DX+Tahoma"/>
          <w:kern w:val="0"/>
          <w:sz w:val="17"/>
          <w:szCs w:val="17"/>
        </w:rPr>
        <w:t xml:space="preserve">, </w:t>
      </w:r>
      <w:r>
        <w:rPr>
          <w:rFonts w:ascii="DX+Tahoma,Bold" w:eastAsia="DX+Tahoma,Bold" w:cs="DX+Tahoma,Bold"/>
          <w:b/>
          <w:bCs/>
          <w:kern w:val="0"/>
          <w:sz w:val="17"/>
          <w:szCs w:val="17"/>
        </w:rPr>
        <w:t>14</w:t>
      </w:r>
      <w:r>
        <w:rPr>
          <w:rFonts w:ascii="DX+Tahoma" w:eastAsia="DX+Tahoma,Bold" w:hAnsi="DX+Tahoma" w:cs="DX+Tahoma"/>
          <w:kern w:val="0"/>
          <w:sz w:val="17"/>
          <w:szCs w:val="17"/>
        </w:rPr>
        <w:t>, 1486, (2012)</w:t>
      </w:r>
    </w:p>
    <w:p w14:paraId="18117040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,Bold" w:eastAsia="DX+Tahoma,Bold" w:cs="DX+Tahoma,Bold"/>
          <w:b/>
          <w:bCs/>
          <w:kern w:val="0"/>
          <w:sz w:val="20"/>
          <w:szCs w:val="20"/>
        </w:rPr>
      </w:pPr>
      <w:r>
        <w:rPr>
          <w:rFonts w:ascii="DX+Tahoma,Bold" w:eastAsia="DX+Tahoma,Bold" w:cs="DX+Tahoma,Bold"/>
          <w:b/>
          <w:bCs/>
          <w:kern w:val="0"/>
          <w:sz w:val="20"/>
          <w:szCs w:val="20"/>
        </w:rPr>
        <w:t>Peak list</w:t>
      </w:r>
    </w:p>
    <w:p w14:paraId="700C0DC1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,Bold" w:eastAsia="DX+Tahoma,Bold" w:cs="DX+Tahoma,Bold"/>
          <w:b/>
          <w:bCs/>
          <w:kern w:val="0"/>
          <w:sz w:val="17"/>
          <w:szCs w:val="17"/>
        </w:rPr>
      </w:pPr>
      <w:r>
        <w:rPr>
          <w:rFonts w:ascii="DX+Tahoma,Bold" w:eastAsia="DX+Tahoma,Bold" w:cs="DX+Tahoma,Bold"/>
          <w:b/>
          <w:bCs/>
          <w:kern w:val="0"/>
          <w:sz w:val="17"/>
          <w:szCs w:val="17"/>
        </w:rPr>
        <w:t>No. h k l d [</w:t>
      </w:r>
      <w:r>
        <w:rPr>
          <w:rFonts w:ascii="DX+Tahoma,Bold" w:eastAsia="DX+Tahoma,Bold" w:cs="DX+Tahoma,Bold" w:hint="eastAsia"/>
          <w:b/>
          <w:bCs/>
          <w:kern w:val="0"/>
          <w:sz w:val="17"/>
          <w:szCs w:val="17"/>
        </w:rPr>
        <w:t>Å</w:t>
      </w:r>
      <w:r>
        <w:rPr>
          <w:rFonts w:ascii="DX+Tahoma,Bold" w:eastAsia="DX+Tahoma,Bold" w:cs="DX+Tahoma,Bold"/>
          <w:b/>
          <w:bCs/>
          <w:kern w:val="0"/>
          <w:sz w:val="17"/>
          <w:szCs w:val="17"/>
        </w:rPr>
        <w:t>] 2</w:t>
      </w:r>
      <w:r>
        <w:rPr>
          <w:rFonts w:ascii="DX+Tahoma,Bold" w:eastAsia="DX+Tahoma,Bold" w:cs="DX+Tahoma,Bold" w:hint="eastAsia"/>
          <w:b/>
          <w:bCs/>
          <w:kern w:val="0"/>
          <w:sz w:val="17"/>
          <w:szCs w:val="17"/>
        </w:rPr>
        <w:t>θ</w:t>
      </w:r>
      <w:r>
        <w:rPr>
          <w:rFonts w:ascii="DX+Tahoma,Bold" w:eastAsia="DX+Tahoma,Bold" w:cs="DX+Tahoma,Bold"/>
          <w:b/>
          <w:bCs/>
          <w:kern w:val="0"/>
          <w:sz w:val="17"/>
          <w:szCs w:val="17"/>
        </w:rPr>
        <w:t xml:space="preserve"> [</w:t>
      </w:r>
      <w:r>
        <w:rPr>
          <w:rFonts w:ascii="DX+Tahoma,Bold" w:eastAsia="DX+Tahoma,Bold" w:cs="DX+Tahoma,Bold" w:hint="eastAsia"/>
          <w:b/>
          <w:bCs/>
          <w:kern w:val="0"/>
          <w:sz w:val="17"/>
          <w:szCs w:val="17"/>
        </w:rPr>
        <w:t>°</w:t>
      </w:r>
      <w:r>
        <w:rPr>
          <w:rFonts w:ascii="DX+Tahoma,Bold" w:eastAsia="DX+Tahoma,Bold" w:cs="DX+Tahoma,Bold"/>
          <w:b/>
          <w:bCs/>
          <w:kern w:val="0"/>
          <w:sz w:val="17"/>
          <w:szCs w:val="17"/>
        </w:rPr>
        <w:t>] I [%]</w:t>
      </w:r>
    </w:p>
    <w:p w14:paraId="1978A265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1 1 0 0 2.81025 31.817 55.9</w:t>
      </w:r>
    </w:p>
    <w:p w14:paraId="43FACB24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2 0 0 2 2.61000 34.331 41.2</w:t>
      </w:r>
    </w:p>
    <w:p w14:paraId="075004BD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3 1 0 1 2.47445 36.275 100.0</w:t>
      </w:r>
    </w:p>
    <w:p w14:paraId="23D28647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4 1 0 2 1.91243 47.505 20.8</w:t>
      </w:r>
    </w:p>
    <w:p w14:paraId="5E760D6F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5 1 1 0 1.62250 56.688 29.8</w:t>
      </w:r>
    </w:p>
    <w:p w14:paraId="71EE4BA4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6 1 0 3 1.47939 62.757 26.5</w:t>
      </w:r>
    </w:p>
    <w:p w14:paraId="5DD8B721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7 2 0 0 1.40513 66.488 3.8</w:t>
      </w:r>
    </w:p>
    <w:p w14:paraId="5DF66433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8 1 1 2 1.37795 67.976 20.4</w:t>
      </w:r>
    </w:p>
    <w:p w14:paraId="506ED1FE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9 2 0 1 1.35683 69.183 10.1</w:t>
      </w:r>
    </w:p>
    <w:p w14:paraId="467AD278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10 0 0 4 1.30500 72.352 1.6</w:t>
      </w:r>
    </w:p>
    <w:p w14:paraId="70E90D39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11 2 0 2 1.23722 77.013 3.0</w:t>
      </w:r>
    </w:p>
    <w:p w14:paraId="550D5E1E" w14:textId="77777777" w:rsidR="009627FB" w:rsidRDefault="009627FB" w:rsidP="009627FB">
      <w:pPr>
        <w:tabs>
          <w:tab w:val="left" w:pos="810"/>
        </w:tabs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" w:eastAsia="DX+Tahoma,Bold" w:hAnsi="DX+Tahoma" w:cs="DX+Tahoma"/>
          <w:kern w:val="0"/>
          <w:sz w:val="17"/>
          <w:szCs w:val="17"/>
        </w:rPr>
        <w:t>12 1 0 4 1.18361 81.205 1.5</w:t>
      </w:r>
    </w:p>
    <w:p w14:paraId="32358262" w14:textId="0520C40A" w:rsidR="009627FB" w:rsidRDefault="009627FB" w:rsidP="009627FB">
      <w:pPr>
        <w:tabs>
          <w:tab w:val="left" w:pos="810"/>
        </w:tabs>
        <w:rPr>
          <w:rFonts w:ascii="DX+Tahoma" w:hAnsi="DX+Tahoma" w:cs="DX+Tahoma"/>
          <w:kern w:val="0"/>
          <w:sz w:val="17"/>
          <w:szCs w:val="17"/>
        </w:rPr>
      </w:pPr>
      <w:r>
        <w:rPr>
          <w:rFonts w:ascii="DX+Tahoma" w:hAnsi="DX+Tahoma" w:cs="DX+Tahoma"/>
          <w:kern w:val="0"/>
          <w:sz w:val="17"/>
          <w:szCs w:val="17"/>
        </w:rPr>
        <w:t>13 2 0 3 1.09318 89.601 6.1</w:t>
      </w:r>
    </w:p>
    <w:p w14:paraId="49D7C52A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hAnsi="DX+Tahoma" w:cs="DX+Tahoma"/>
          <w:kern w:val="0"/>
          <w:sz w:val="17"/>
          <w:szCs w:val="17"/>
        </w:rPr>
      </w:pPr>
      <w:r>
        <w:rPr>
          <w:rFonts w:ascii="DX+Tahoma" w:hAnsi="DX+Tahoma" w:cs="DX+Tahoma"/>
          <w:kern w:val="0"/>
          <w:sz w:val="17"/>
          <w:szCs w:val="17"/>
        </w:rPr>
        <w:t>14 2 1 0 1.06218 92.972 2.0</w:t>
      </w:r>
    </w:p>
    <w:p w14:paraId="75B3B4BF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hAnsi="DX+Tahoma" w:cs="DX+Tahoma"/>
          <w:kern w:val="0"/>
          <w:sz w:val="17"/>
          <w:szCs w:val="17"/>
        </w:rPr>
      </w:pPr>
      <w:r>
        <w:rPr>
          <w:rFonts w:ascii="DX+Tahoma" w:hAnsi="DX+Tahoma" w:cs="DX+Tahoma"/>
          <w:kern w:val="0"/>
          <w:sz w:val="17"/>
          <w:szCs w:val="17"/>
        </w:rPr>
        <w:t>15 2 1 1 1.04085 95.474 5.8</w:t>
      </w:r>
    </w:p>
    <w:p w14:paraId="0A29F116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hAnsi="DX+Tahoma" w:cs="DX+Tahoma"/>
          <w:kern w:val="0"/>
          <w:sz w:val="17"/>
          <w:szCs w:val="17"/>
        </w:rPr>
      </w:pPr>
      <w:r>
        <w:rPr>
          <w:rFonts w:ascii="DX+Tahoma" w:hAnsi="DX+Tahoma" w:cs="DX+Tahoma"/>
          <w:kern w:val="0"/>
          <w:sz w:val="17"/>
          <w:szCs w:val="17"/>
        </w:rPr>
        <w:t>16 1 1 4 1.01689 98.489 3.1</w:t>
      </w:r>
    </w:p>
    <w:p w14:paraId="0612897A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hAnsi="DX+Tahoma" w:cs="DX+Tahoma"/>
          <w:kern w:val="0"/>
          <w:sz w:val="17"/>
          <w:szCs w:val="17"/>
        </w:rPr>
      </w:pPr>
      <w:r>
        <w:rPr>
          <w:rFonts w:ascii="DX+Tahoma" w:hAnsi="DX+Tahoma" w:cs="DX+Tahoma"/>
          <w:kern w:val="0"/>
          <w:sz w:val="17"/>
          <w:szCs w:val="17"/>
        </w:rPr>
        <w:t>17 2 1 2 0.98383 103.065 2.1</w:t>
      </w:r>
    </w:p>
    <w:p w14:paraId="1030AE71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hAnsi="DX+Tahoma" w:cs="DX+Tahoma"/>
          <w:kern w:val="0"/>
          <w:sz w:val="17"/>
          <w:szCs w:val="17"/>
        </w:rPr>
      </w:pPr>
      <w:r>
        <w:rPr>
          <w:rFonts w:ascii="DX+Tahoma" w:hAnsi="DX+Tahoma" w:cs="DX+Tahoma"/>
          <w:kern w:val="0"/>
          <w:sz w:val="17"/>
          <w:szCs w:val="17"/>
        </w:rPr>
        <w:t>18 1 0 5 0.97865 103.831 3.9</w:t>
      </w:r>
    </w:p>
    <w:p w14:paraId="36A0E378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hAnsi="DX+Tahoma" w:cs="DX+Tahoma"/>
          <w:kern w:val="0"/>
          <w:sz w:val="17"/>
          <w:szCs w:val="17"/>
        </w:rPr>
      </w:pPr>
      <w:r>
        <w:rPr>
          <w:rFonts w:ascii="DX+Tahoma" w:hAnsi="DX+Tahoma" w:cs="DX+Tahoma"/>
          <w:kern w:val="0"/>
          <w:sz w:val="17"/>
          <w:szCs w:val="17"/>
        </w:rPr>
        <w:t>19 2 0 4 0.95621 107.331 0.6</w:t>
      </w:r>
    </w:p>
    <w:p w14:paraId="554331D5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hAnsi="DX+Tahoma" w:cs="DX+Tahoma"/>
          <w:kern w:val="0"/>
          <w:sz w:val="17"/>
          <w:szCs w:val="17"/>
        </w:rPr>
      </w:pPr>
      <w:r>
        <w:rPr>
          <w:rFonts w:ascii="DX+Tahoma" w:hAnsi="DX+Tahoma" w:cs="DX+Tahoma"/>
          <w:kern w:val="0"/>
          <w:sz w:val="17"/>
          <w:szCs w:val="17"/>
        </w:rPr>
        <w:t>20 3 0 0 0.93675 110.633 2.4</w:t>
      </w:r>
    </w:p>
    <w:p w14:paraId="0DDB9DE9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hAnsi="DX+Tahoma" w:cs="DX+Tahoma"/>
          <w:kern w:val="0"/>
          <w:sz w:val="17"/>
          <w:szCs w:val="17"/>
        </w:rPr>
      </w:pPr>
      <w:r>
        <w:rPr>
          <w:rFonts w:ascii="DX+Tahoma" w:hAnsi="DX+Tahoma" w:cs="DX+Tahoma"/>
          <w:kern w:val="0"/>
          <w:sz w:val="17"/>
          <w:szCs w:val="17"/>
        </w:rPr>
        <w:t>21 2 1 3 0.90660 116.348 5.8</w:t>
      </w:r>
    </w:p>
    <w:p w14:paraId="3D45ABD7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hAnsi="DX+Tahoma" w:cs="DX+Tahoma"/>
          <w:kern w:val="0"/>
          <w:sz w:val="17"/>
          <w:szCs w:val="17"/>
        </w:rPr>
      </w:pPr>
      <w:r>
        <w:rPr>
          <w:rFonts w:ascii="DX+Tahoma" w:hAnsi="DX+Tahoma" w:cs="DX+Tahoma"/>
          <w:kern w:val="0"/>
          <w:sz w:val="17"/>
          <w:szCs w:val="17"/>
        </w:rPr>
        <w:t>22 3 0 2 0.88168 121.776 2.9</w:t>
      </w:r>
    </w:p>
    <w:p w14:paraId="34DE39C9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hAnsi="DX+Tahoma" w:cs="DX+Tahoma"/>
          <w:kern w:val="0"/>
          <w:sz w:val="17"/>
          <w:szCs w:val="17"/>
        </w:rPr>
      </w:pPr>
      <w:r>
        <w:rPr>
          <w:rFonts w:ascii="DX+Tahoma" w:hAnsi="DX+Tahoma" w:cs="DX+Tahoma"/>
          <w:kern w:val="0"/>
          <w:sz w:val="17"/>
          <w:szCs w:val="17"/>
        </w:rPr>
        <w:t>23 0 0 6 0.87000 124.602 0.4</w:t>
      </w:r>
    </w:p>
    <w:p w14:paraId="4C5BB653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hAnsi="DX+Tahoma" w:cs="DX+Tahoma"/>
          <w:kern w:val="0"/>
          <w:sz w:val="17"/>
          <w:szCs w:val="17"/>
        </w:rPr>
      </w:pPr>
      <w:r>
        <w:rPr>
          <w:rFonts w:ascii="DX+Tahoma" w:hAnsi="DX+Tahoma" w:cs="DX+Tahoma"/>
          <w:kern w:val="0"/>
          <w:sz w:val="17"/>
          <w:szCs w:val="17"/>
        </w:rPr>
        <w:t>24 2 0 5 0.83801 133.619 2.4</w:t>
      </w:r>
    </w:p>
    <w:p w14:paraId="756E73FA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hAnsi="DX+Tahoma" w:cs="DX+Tahoma"/>
          <w:kern w:val="0"/>
          <w:sz w:val="17"/>
          <w:szCs w:val="17"/>
        </w:rPr>
      </w:pPr>
      <w:r>
        <w:rPr>
          <w:rFonts w:ascii="DX+Tahoma" w:hAnsi="DX+Tahoma" w:cs="DX+Tahoma"/>
          <w:kern w:val="0"/>
          <w:sz w:val="17"/>
          <w:szCs w:val="17"/>
        </w:rPr>
        <w:t>25 1 0 6 0.83109 135.901 0.6</w:t>
      </w:r>
    </w:p>
    <w:p w14:paraId="29643841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hAnsi="DX+Tahoma" w:cs="DX+Tahoma"/>
          <w:kern w:val="0"/>
          <w:sz w:val="17"/>
          <w:szCs w:val="17"/>
        </w:rPr>
      </w:pPr>
      <w:r>
        <w:rPr>
          <w:rFonts w:ascii="DX+Tahoma" w:hAnsi="DX+Tahoma" w:cs="DX+Tahoma"/>
          <w:kern w:val="0"/>
          <w:sz w:val="17"/>
          <w:szCs w:val="17"/>
        </w:rPr>
        <w:t>26 2 1 4 0.82379 138.477 0.8</w:t>
      </w:r>
    </w:p>
    <w:p w14:paraId="04CEE7F7" w14:textId="77777777" w:rsidR="009627FB" w:rsidRDefault="009627FB" w:rsidP="009627FB">
      <w:pPr>
        <w:autoSpaceDE w:val="0"/>
        <w:autoSpaceDN w:val="0"/>
        <w:adjustRightInd w:val="0"/>
        <w:spacing w:after="0" w:line="240" w:lineRule="auto"/>
        <w:rPr>
          <w:rFonts w:ascii="DX+Tahoma" w:hAnsi="DX+Tahoma" w:cs="DX+Tahoma"/>
          <w:kern w:val="0"/>
          <w:sz w:val="17"/>
          <w:szCs w:val="17"/>
        </w:rPr>
      </w:pPr>
      <w:r>
        <w:rPr>
          <w:rFonts w:ascii="DX+Tahoma" w:hAnsi="DX+Tahoma" w:cs="DX+Tahoma"/>
          <w:kern w:val="0"/>
          <w:sz w:val="17"/>
          <w:szCs w:val="17"/>
        </w:rPr>
        <w:t>27 2 2 0 0.81125 143.435 1.6</w:t>
      </w:r>
    </w:p>
    <w:p w14:paraId="6756B0B1" w14:textId="10A593C0" w:rsidR="009627FB" w:rsidRDefault="009627FB" w:rsidP="009627FB">
      <w:pPr>
        <w:tabs>
          <w:tab w:val="left" w:pos="810"/>
        </w:tabs>
        <w:rPr>
          <w:rFonts w:ascii="DX+Tahoma" w:eastAsia="DX+Tahoma,Bold" w:hAnsi="DX+Tahoma" w:cs="DX+Tahoma"/>
          <w:kern w:val="0"/>
          <w:sz w:val="17"/>
          <w:szCs w:val="17"/>
        </w:rPr>
      </w:pPr>
      <w:r>
        <w:rPr>
          <w:rFonts w:ascii="DX+Tahoma,Bold" w:eastAsia="DX+Tahoma,Bold" w:hAnsi="DX+Tahoma" w:cs="DX+Tahoma,Bold"/>
          <w:b/>
          <w:bCs/>
          <w:kern w:val="0"/>
          <w:sz w:val="20"/>
          <w:szCs w:val="20"/>
        </w:rPr>
        <w:t>Stick Pattern</w:t>
      </w:r>
    </w:p>
    <w:p w14:paraId="552F9DB0" w14:textId="77777777" w:rsidR="009627FB" w:rsidRDefault="009627FB" w:rsidP="009627FB">
      <w:pPr>
        <w:tabs>
          <w:tab w:val="left" w:pos="810"/>
        </w:tabs>
        <w:ind w:left="180"/>
        <w:jc w:val="center"/>
        <w:rPr>
          <w:rFonts w:ascii="DX+Tahoma" w:eastAsia="DX+Tahoma,Bold" w:hAnsi="DX+Tahoma" w:cs="DX+Tahoma"/>
          <w:kern w:val="0"/>
          <w:sz w:val="17"/>
          <w:szCs w:val="17"/>
        </w:rPr>
      </w:pPr>
    </w:p>
    <w:p w14:paraId="76DE0174" w14:textId="2640F4E1" w:rsidR="009627FB" w:rsidRDefault="009627FB" w:rsidP="009627FB">
      <w:pPr>
        <w:tabs>
          <w:tab w:val="left" w:pos="810"/>
        </w:tabs>
        <w:ind w:left="180"/>
        <w:jc w:val="center"/>
        <w:rPr>
          <w:rFonts w:ascii="DX+Tahoma" w:eastAsia="DX+Tahoma,Bold" w:hAnsi="DX+Tahoma" w:cs="DX+Tahoma"/>
          <w:kern w:val="0"/>
          <w:sz w:val="17"/>
          <w:szCs w:val="17"/>
        </w:rPr>
      </w:pPr>
      <w:r w:rsidRPr="009627FB">
        <w:rPr>
          <w:rFonts w:ascii="DX+Tahoma" w:eastAsia="DX+Tahoma,Bold" w:hAnsi="DX+Tahoma" w:cs="DX+Tahoma"/>
          <w:noProof/>
          <w:kern w:val="0"/>
          <w:sz w:val="17"/>
          <w:szCs w:val="17"/>
        </w:rPr>
        <w:drawing>
          <wp:inline distT="0" distB="0" distL="0" distR="0" wp14:anchorId="6ADFAC25" wp14:editId="596F84A8">
            <wp:extent cx="3571875" cy="2495550"/>
            <wp:effectExtent l="0" t="0" r="9525" b="0"/>
            <wp:docPr id="8000933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178C29" w14:textId="77777777" w:rsidR="009627FB" w:rsidRPr="009627FB" w:rsidRDefault="009627FB" w:rsidP="009627FB">
      <w:pPr>
        <w:tabs>
          <w:tab w:val="left" w:pos="810"/>
        </w:tabs>
        <w:ind w:left="18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04467709" w14:textId="77777777" w:rsidR="009627FB" w:rsidRPr="009627FB" w:rsidRDefault="009627FB" w:rsidP="009627FB">
      <w:pPr>
        <w:tabs>
          <w:tab w:val="left" w:pos="810"/>
        </w:tabs>
        <w:ind w:left="180"/>
        <w:jc w:val="center"/>
        <w:rPr>
          <w:rFonts w:asciiTheme="majorBidi" w:hAnsiTheme="majorBidi" w:cstheme="majorBidi"/>
          <w:sz w:val="20"/>
          <w:szCs w:val="20"/>
        </w:rPr>
      </w:pPr>
    </w:p>
    <w:p w14:paraId="653DDA3E" w14:textId="01572469" w:rsidR="00424F5E" w:rsidRPr="00424F5E" w:rsidRDefault="008D4183" w:rsidP="008D4183">
      <w:pPr>
        <w:tabs>
          <w:tab w:val="left" w:pos="810"/>
        </w:tabs>
        <w:ind w:left="180"/>
        <w:rPr>
          <w:vanish/>
        </w:rPr>
      </w:pPr>
      <w:r>
        <w:rPr>
          <w:noProof/>
          <w:vanish/>
        </w:rPr>
        <w:drawing>
          <wp:inline distT="0" distB="0" distL="0" distR="0" wp14:anchorId="5D7EF878" wp14:editId="071C7709">
            <wp:extent cx="13802360" cy="7444105"/>
            <wp:effectExtent l="0" t="0" r="8890" b="4445"/>
            <wp:docPr id="181860616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02360" cy="7444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572A4">
        <w:rPr>
          <w:noProof/>
          <w:vanish/>
        </w:rPr>
        <w:drawing>
          <wp:inline distT="0" distB="0" distL="0" distR="0" wp14:anchorId="4DAF7996" wp14:editId="75F3DC63">
            <wp:extent cx="7736205" cy="12625705"/>
            <wp:effectExtent l="0" t="0" r="0" b="4445"/>
            <wp:docPr id="156621462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6205" cy="12625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572A4">
        <w:rPr>
          <w:noProof/>
          <w:vanish/>
        </w:rPr>
        <w:drawing>
          <wp:inline distT="0" distB="0" distL="0" distR="0" wp14:anchorId="6E92FC93" wp14:editId="49435B83">
            <wp:extent cx="7736205" cy="12625705"/>
            <wp:effectExtent l="0" t="0" r="0" b="4445"/>
            <wp:docPr id="174829202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6205" cy="12625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572A4">
        <w:rPr>
          <w:noProof/>
          <w:vanish/>
        </w:rPr>
        <w:drawing>
          <wp:inline distT="0" distB="0" distL="0" distR="0" wp14:anchorId="6B71EC65" wp14:editId="4DEA83CF">
            <wp:extent cx="7736205" cy="12625705"/>
            <wp:effectExtent l="0" t="0" r="0" b="4445"/>
            <wp:docPr id="156274430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6205" cy="12625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572A4">
        <w:rPr>
          <w:noProof/>
          <w:vanish/>
        </w:rPr>
        <w:drawing>
          <wp:inline distT="0" distB="0" distL="0" distR="0" wp14:anchorId="6622F87F" wp14:editId="5DC869E5">
            <wp:extent cx="7736205" cy="12625705"/>
            <wp:effectExtent l="0" t="0" r="0" b="4445"/>
            <wp:docPr id="173308271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6205" cy="12625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24F5E" w:rsidRPr="00424F5E">
        <w:rPr>
          <w:vanish/>
        </w:rPr>
        <w:t>Top of Form</w:t>
      </w:r>
    </w:p>
    <w:p w14:paraId="1E414FAC" w14:textId="10EA5C49" w:rsidR="00424F5E" w:rsidRPr="00424F5E" w:rsidRDefault="00424F5E" w:rsidP="00424F5E">
      <w:pPr>
        <w:tabs>
          <w:tab w:val="left" w:pos="810"/>
        </w:tabs>
        <w:ind w:left="180"/>
      </w:pPr>
    </w:p>
    <w:sectPr w:rsidR="00424F5E" w:rsidRPr="00424F5E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89A333" w14:textId="77777777" w:rsidR="00641738" w:rsidRDefault="00641738" w:rsidP="00424F5E">
      <w:pPr>
        <w:spacing w:after="0" w:line="240" w:lineRule="auto"/>
      </w:pPr>
      <w:r>
        <w:separator/>
      </w:r>
    </w:p>
  </w:endnote>
  <w:endnote w:type="continuationSeparator" w:id="0">
    <w:p w14:paraId="7321BA68" w14:textId="77777777" w:rsidR="00641738" w:rsidRDefault="00641738" w:rsidP="00424F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X+Tahoma,Bold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DX+Tahoma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DX+Tahoma,Ital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425525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A809223" w14:textId="68381F33" w:rsidR="009627FB" w:rsidRDefault="009627F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745C08A" w14:textId="77777777" w:rsidR="009627FB" w:rsidRDefault="009627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275753" w14:textId="77777777" w:rsidR="00641738" w:rsidRDefault="00641738" w:rsidP="00424F5E">
      <w:pPr>
        <w:spacing w:after="0" w:line="240" w:lineRule="auto"/>
      </w:pPr>
      <w:r>
        <w:separator/>
      </w:r>
    </w:p>
  </w:footnote>
  <w:footnote w:type="continuationSeparator" w:id="0">
    <w:p w14:paraId="529A038B" w14:textId="77777777" w:rsidR="00641738" w:rsidRDefault="00641738" w:rsidP="00424F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958E2B" w14:textId="4DEAF5CE" w:rsidR="009627FB" w:rsidRDefault="009627FB">
    <w:pPr>
      <w:pStyle w:val="Header"/>
    </w:pPr>
    <w:r>
      <w:t xml:space="preserve">Supplementary Information </w:t>
    </w:r>
  </w:p>
  <w:p w14:paraId="3AC4C995" w14:textId="77777777" w:rsidR="009627FB" w:rsidRDefault="009627F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C679F2"/>
    <w:multiLevelType w:val="multilevel"/>
    <w:tmpl w:val="214228F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258C28C3"/>
    <w:multiLevelType w:val="multilevel"/>
    <w:tmpl w:val="5726DEE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132940786">
    <w:abstractNumId w:val="1"/>
  </w:num>
  <w:num w:numId="2" w16cid:durableId="1225801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visionView w:inkAnnotation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238"/>
    <w:rsid w:val="000E7238"/>
    <w:rsid w:val="00123823"/>
    <w:rsid w:val="001572A4"/>
    <w:rsid w:val="0020249D"/>
    <w:rsid w:val="00261C94"/>
    <w:rsid w:val="0028046A"/>
    <w:rsid w:val="00424F5E"/>
    <w:rsid w:val="006325A9"/>
    <w:rsid w:val="00641738"/>
    <w:rsid w:val="00777539"/>
    <w:rsid w:val="007E7F30"/>
    <w:rsid w:val="008A074C"/>
    <w:rsid w:val="008D4183"/>
    <w:rsid w:val="009627FB"/>
    <w:rsid w:val="00A45B0E"/>
    <w:rsid w:val="00A5142A"/>
    <w:rsid w:val="00B53694"/>
    <w:rsid w:val="00BD3BFE"/>
    <w:rsid w:val="00EA73DC"/>
    <w:rsid w:val="00EB6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55C9A"/>
  <w15:chartTrackingRefBased/>
  <w15:docId w15:val="{A3DA0D2A-6A68-416F-8329-CBCBC5828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D3BFE"/>
    <w:pPr>
      <w:numPr>
        <w:numId w:val="2"/>
      </w:numPr>
      <w:spacing w:after="200" w:line="240" w:lineRule="auto"/>
      <w:ind w:left="360" w:hanging="360"/>
      <w:jc w:val="both"/>
      <w:outlineLvl w:val="0"/>
    </w:pPr>
    <w:rPr>
      <w:rFonts w:ascii="Times New Roman" w:eastAsia="Calibri" w:hAnsi="Times New Roman" w:cs="Times New Roman"/>
      <w:b/>
      <w:bCs/>
      <w:sz w:val="26"/>
      <w:szCs w:val="2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72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723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72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723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72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72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72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72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3BFE"/>
    <w:rPr>
      <w:rFonts w:ascii="Times New Roman" w:eastAsia="Calibri" w:hAnsi="Times New Roman" w:cs="Times New Roman"/>
      <w:b/>
      <w:bCs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72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723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7238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7238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72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72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72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72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72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72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72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72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72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72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72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7238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723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7238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7238"/>
    <w:rPr>
      <w:b/>
      <w:bCs/>
      <w:smallCaps/>
      <w:color w:val="2E74B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24F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4F5E"/>
  </w:style>
  <w:style w:type="paragraph" w:styleId="Footer">
    <w:name w:val="footer"/>
    <w:basedOn w:val="Normal"/>
    <w:link w:val="FooterChar"/>
    <w:uiPriority w:val="99"/>
    <w:unhideWhenUsed/>
    <w:rsid w:val="00424F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4F5E"/>
  </w:style>
  <w:style w:type="paragraph" w:styleId="NormalWeb">
    <w:name w:val="Normal (Web)"/>
    <w:basedOn w:val="Normal"/>
    <w:uiPriority w:val="99"/>
    <w:semiHidden/>
    <w:unhideWhenUsed/>
    <w:rsid w:val="00424F5E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714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24976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81711107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41552030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0338057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2107997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499036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454057307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01473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745416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10365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8352685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7395507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  <w:divsChild>
                                                        <w:div w:id="1164901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2" w:space="0" w:color="E3E3E3"/>
                                                            <w:left w:val="single" w:sz="2" w:space="0" w:color="E3E3E3"/>
                                                            <w:bottom w:val="single" w:sz="2" w:space="0" w:color="E3E3E3"/>
                                                            <w:right w:val="single" w:sz="2" w:space="0" w:color="E3E3E3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541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4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Islam.Gomaa</dc:creator>
  <cp:keywords/>
  <dc:description/>
  <cp:lastModifiedBy>Elbadawy.kamoun</cp:lastModifiedBy>
  <cp:revision>6</cp:revision>
  <dcterms:created xsi:type="dcterms:W3CDTF">2024-04-07T11:31:00Z</dcterms:created>
  <dcterms:modified xsi:type="dcterms:W3CDTF">2024-05-11T14:54:00Z</dcterms:modified>
</cp:coreProperties>
</file>