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E81FBA" w14:textId="77777777" w:rsidR="00FC0B28" w:rsidRDefault="00FC0B28" w:rsidP="00FC0B28">
      <w:pPr>
        <w:spacing w:after="120"/>
        <w:rPr>
          <w:color w:val="000000"/>
        </w:rPr>
      </w:pPr>
      <w:r>
        <w:rPr>
          <w:noProof/>
        </w:rPr>
        <w:drawing>
          <wp:inline distT="0" distB="0" distL="0" distR="0" wp14:anchorId="37625E73" wp14:editId="4A9F9ABD">
            <wp:extent cx="5943600" cy="3909695"/>
            <wp:effectExtent l="0" t="0" r="0" b="0"/>
            <wp:docPr id="219431603" name="Picture 7" descr="A diagram of different colored square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431603" name="Picture 7" descr="A diagram of different colored squares and lines&#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909695"/>
                    </a:xfrm>
                    <a:prstGeom prst="rect">
                      <a:avLst/>
                    </a:prstGeom>
                    <a:noFill/>
                    <a:ln>
                      <a:noFill/>
                    </a:ln>
                  </pic:spPr>
                </pic:pic>
              </a:graphicData>
            </a:graphic>
          </wp:inline>
        </w:drawing>
      </w:r>
    </w:p>
    <w:p w14:paraId="2515F3DF" w14:textId="77777777" w:rsidR="00FC0B28" w:rsidRPr="00EF6BB0" w:rsidRDefault="00FC0B28" w:rsidP="00FC0B28">
      <w:pPr>
        <w:spacing w:after="120"/>
        <w:rPr>
          <w:rFonts w:eastAsia="Times New Roman" w:cs="Times New Roman"/>
          <w:szCs w:val="24"/>
        </w:rPr>
      </w:pPr>
      <w:r w:rsidRPr="00EF6BB0">
        <w:rPr>
          <w:rFonts w:eastAsia="Times New Roman" w:cs="Times New Roman"/>
          <w:b/>
          <w:bCs/>
          <w:color w:val="000000"/>
          <w:szCs w:val="24"/>
        </w:rPr>
        <w:t>Extended Data Fig. 1: Differential cell type composition across brain regions and conditions.</w:t>
      </w:r>
    </w:p>
    <w:p w14:paraId="5639688F" w14:textId="77777777" w:rsidR="00FC0B28" w:rsidRDefault="00FC0B28" w:rsidP="00FC0B28">
      <w:pPr>
        <w:spacing w:after="120"/>
        <w:rPr>
          <w:rFonts w:eastAsia="Times New Roman" w:cs="Times New Roman"/>
          <w:color w:val="000000"/>
          <w:szCs w:val="24"/>
        </w:rPr>
      </w:pPr>
      <w:r>
        <w:rPr>
          <w:b/>
          <w:bCs/>
          <w:color w:val="000000"/>
        </w:rPr>
        <w:t xml:space="preserve">a, </w:t>
      </w:r>
      <w:r>
        <w:rPr>
          <w:color w:val="000000"/>
        </w:rPr>
        <w:t xml:space="preserve">Major cell type compositional changes comparing samples from the entorhinal cortex (EC), hippocampus (HIP), and prefrontal cortex (PFC). </w:t>
      </w:r>
      <w:r>
        <w:rPr>
          <w:b/>
          <w:bCs/>
          <w:color w:val="000000"/>
        </w:rPr>
        <w:t>b-d,</w:t>
      </w:r>
      <w:r>
        <w:rPr>
          <w:color w:val="000000"/>
        </w:rPr>
        <w:t xml:space="preserve"> Major cell type compositional changes between sEOAD and control samples in (</w:t>
      </w:r>
      <w:r>
        <w:rPr>
          <w:b/>
          <w:bCs/>
          <w:color w:val="000000"/>
        </w:rPr>
        <w:t>b</w:t>
      </w:r>
      <w:r>
        <w:rPr>
          <w:color w:val="000000"/>
        </w:rPr>
        <w:t>) PFC, (</w:t>
      </w:r>
      <w:r>
        <w:rPr>
          <w:b/>
          <w:bCs/>
          <w:color w:val="000000"/>
        </w:rPr>
        <w:t>c</w:t>
      </w:r>
      <w:r>
        <w:rPr>
          <w:color w:val="000000"/>
        </w:rPr>
        <w:t>) EC, and (</w:t>
      </w:r>
      <w:r>
        <w:rPr>
          <w:b/>
          <w:bCs/>
          <w:color w:val="000000"/>
        </w:rPr>
        <w:t>d</w:t>
      </w:r>
      <w:r>
        <w:rPr>
          <w:color w:val="000000"/>
        </w:rPr>
        <w:t>) HIP. Box boundaries and lines in box plots correspond to the interquartile range (IQR) and median, respectively</w:t>
      </w:r>
      <w:r w:rsidRPr="00EF6BB0">
        <w:rPr>
          <w:rFonts w:eastAsia="Times New Roman" w:cs="Times New Roman"/>
          <w:color w:val="000000"/>
          <w:szCs w:val="24"/>
        </w:rPr>
        <w:t>.</w:t>
      </w:r>
      <w:r>
        <w:rPr>
          <w:rFonts w:eastAsia="Times New Roman" w:cs="Times New Roman"/>
          <w:color w:val="000000"/>
          <w:szCs w:val="24"/>
        </w:rPr>
        <w:t xml:space="preserve"> </w:t>
      </w:r>
      <w:r w:rsidRPr="00680724">
        <w:rPr>
          <w:rFonts w:eastAsia="Times New Roman" w:cs="Times New Roman"/>
          <w:color w:val="000000"/>
          <w:szCs w:val="24"/>
        </w:rPr>
        <w:t xml:space="preserve">Statistically credible changes in cell types, as tested with scCODA, are marked with </w:t>
      </w:r>
      <w:r>
        <w:rPr>
          <w:rFonts w:eastAsia="Times New Roman" w:cs="Times New Roman"/>
          <w:color w:val="000000"/>
          <w:szCs w:val="24"/>
        </w:rPr>
        <w:t>*Pinc (</w:t>
      </w:r>
      <w:r w:rsidRPr="00680724">
        <w:rPr>
          <w:rFonts w:eastAsia="Times New Roman" w:cs="Times New Roman"/>
          <w:color w:val="000000"/>
          <w:szCs w:val="24"/>
        </w:rPr>
        <w:t>posterior inclusion probability</w:t>
      </w:r>
      <w:r>
        <w:rPr>
          <w:rFonts w:eastAsia="Times New Roman" w:cs="Times New Roman"/>
          <w:color w:val="000000"/>
          <w:szCs w:val="24"/>
        </w:rPr>
        <w:t xml:space="preserve">), </w:t>
      </w:r>
      <w:r w:rsidRPr="00680724">
        <w:rPr>
          <w:rFonts w:eastAsia="Times New Roman" w:cs="Times New Roman"/>
          <w:color w:val="000000"/>
          <w:szCs w:val="24"/>
        </w:rPr>
        <w:t>indicat</w:t>
      </w:r>
      <w:r>
        <w:rPr>
          <w:rFonts w:eastAsia="Times New Roman" w:cs="Times New Roman"/>
          <w:color w:val="000000"/>
          <w:szCs w:val="24"/>
        </w:rPr>
        <w:t>ing</w:t>
      </w:r>
      <w:r w:rsidRPr="00680724">
        <w:rPr>
          <w:rFonts w:eastAsia="Times New Roman" w:cs="Times New Roman"/>
          <w:color w:val="000000"/>
          <w:szCs w:val="24"/>
        </w:rPr>
        <w:t xml:space="preserve"> the significance of these changes.</w:t>
      </w:r>
    </w:p>
    <w:p w14:paraId="736D18C7" w14:textId="77777777" w:rsidR="00FC0B28" w:rsidRDefault="00FC0B28" w:rsidP="00FC0B28">
      <w:pPr>
        <w:spacing w:after="160" w:line="259" w:lineRule="auto"/>
        <w:rPr>
          <w:rFonts w:eastAsia="Times New Roman" w:cs="Times New Roman"/>
          <w:color w:val="000000"/>
          <w:szCs w:val="24"/>
        </w:rPr>
      </w:pPr>
      <w:r>
        <w:rPr>
          <w:rFonts w:eastAsia="Times New Roman" w:cs="Times New Roman"/>
          <w:color w:val="000000"/>
          <w:szCs w:val="24"/>
        </w:rPr>
        <w:br w:type="page"/>
      </w:r>
    </w:p>
    <w:p w14:paraId="3B5C7A89" w14:textId="77777777" w:rsidR="00FC0B28" w:rsidRPr="00EF6BB0" w:rsidRDefault="00FC0B28" w:rsidP="00FC0B28">
      <w:pPr>
        <w:spacing w:after="120"/>
        <w:rPr>
          <w:rFonts w:eastAsia="Times New Roman" w:cs="Times New Roman"/>
          <w:szCs w:val="24"/>
        </w:rPr>
      </w:pPr>
      <w:r>
        <w:rPr>
          <w:noProof/>
        </w:rPr>
        <w:lastRenderedPageBreak/>
        <w:drawing>
          <wp:inline distT="0" distB="0" distL="0" distR="0" wp14:anchorId="281D01BB" wp14:editId="2F257253">
            <wp:extent cx="5943600" cy="3632200"/>
            <wp:effectExtent l="0" t="0" r="0" b="6350"/>
            <wp:docPr id="597694302" name="Picture 8"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694302" name="Picture 8" descr="A close-up of a graph&#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632200"/>
                    </a:xfrm>
                    <a:prstGeom prst="rect">
                      <a:avLst/>
                    </a:prstGeom>
                    <a:noFill/>
                    <a:ln>
                      <a:noFill/>
                    </a:ln>
                  </pic:spPr>
                </pic:pic>
              </a:graphicData>
            </a:graphic>
          </wp:inline>
        </w:drawing>
      </w:r>
      <w:r w:rsidRPr="00EF6BB0">
        <w:rPr>
          <w:rFonts w:eastAsia="Times New Roman" w:cs="Times New Roman"/>
          <w:b/>
          <w:bCs/>
          <w:color w:val="000000"/>
          <w:szCs w:val="24"/>
        </w:rPr>
        <w:t xml:space="preserve"> Extended Data Fig. 2: Overlap of cell</w:t>
      </w:r>
      <w:r>
        <w:rPr>
          <w:rFonts w:eastAsia="Times New Roman" w:cs="Times New Roman"/>
          <w:b/>
          <w:bCs/>
          <w:color w:val="000000"/>
          <w:szCs w:val="24"/>
        </w:rPr>
        <w:t xml:space="preserve"> </w:t>
      </w:r>
      <w:r w:rsidRPr="00EF6BB0">
        <w:rPr>
          <w:rFonts w:eastAsia="Times New Roman" w:cs="Times New Roman"/>
          <w:b/>
          <w:bCs/>
          <w:color w:val="000000"/>
          <w:szCs w:val="24"/>
        </w:rPr>
        <w:t>type</w:t>
      </w:r>
      <w:r>
        <w:rPr>
          <w:rFonts w:eastAsia="Times New Roman" w:cs="Times New Roman"/>
          <w:b/>
          <w:bCs/>
          <w:color w:val="000000"/>
          <w:szCs w:val="24"/>
        </w:rPr>
        <w:t>-</w:t>
      </w:r>
      <w:r w:rsidRPr="00EF6BB0">
        <w:rPr>
          <w:rFonts w:eastAsia="Times New Roman" w:cs="Times New Roman"/>
          <w:b/>
          <w:bCs/>
          <w:color w:val="000000"/>
          <w:szCs w:val="24"/>
        </w:rPr>
        <w:t>specific sEOAD</w:t>
      </w:r>
      <w:r>
        <w:rPr>
          <w:rFonts w:eastAsia="Times New Roman" w:cs="Times New Roman"/>
          <w:b/>
          <w:bCs/>
          <w:color w:val="000000"/>
          <w:szCs w:val="24"/>
        </w:rPr>
        <w:t xml:space="preserve"> </w:t>
      </w:r>
      <w:r w:rsidRPr="00EF6BB0">
        <w:rPr>
          <w:rFonts w:eastAsia="Times New Roman" w:cs="Times New Roman"/>
          <w:b/>
          <w:bCs/>
          <w:color w:val="000000"/>
          <w:szCs w:val="24"/>
        </w:rPr>
        <w:t>DEGs across brain regions and studies.</w:t>
      </w:r>
    </w:p>
    <w:p w14:paraId="65D5B781" w14:textId="77777777" w:rsidR="00FC0B28" w:rsidRDefault="00FC0B28" w:rsidP="00FC0B28">
      <w:pPr>
        <w:spacing w:after="120"/>
        <w:rPr>
          <w:rFonts w:eastAsia="Times New Roman" w:cs="Times New Roman"/>
          <w:color w:val="000000"/>
          <w:szCs w:val="24"/>
        </w:rPr>
      </w:pPr>
      <w:r>
        <w:rPr>
          <w:b/>
          <w:bCs/>
          <w:color w:val="000000"/>
        </w:rPr>
        <w:t xml:space="preserve">a, </w:t>
      </w:r>
      <w:r>
        <w:rPr>
          <w:color w:val="000000"/>
        </w:rPr>
        <w:t xml:space="preserve">Venn diagram showing the overlap of sEOAD DEGs in the prefrontal cortex (PFC) identified in current study with signals reported by existing late-onset Alzheimer’s Disease (LOAD) single-nuclei RNA-sequencing studies. Three DEGs were consistent across all studies, including </w:t>
      </w:r>
      <w:r>
        <w:rPr>
          <w:i/>
          <w:iCs/>
          <w:color w:val="000000"/>
        </w:rPr>
        <w:t>MRAS</w:t>
      </w:r>
      <w:r>
        <w:rPr>
          <w:color w:val="000000"/>
        </w:rPr>
        <w:t xml:space="preserve"> in astrocytes and </w:t>
      </w:r>
      <w:r>
        <w:rPr>
          <w:i/>
          <w:iCs/>
          <w:color w:val="000000"/>
        </w:rPr>
        <w:t>CNORDC1</w:t>
      </w:r>
      <w:r>
        <w:rPr>
          <w:color w:val="000000"/>
        </w:rPr>
        <w:t xml:space="preserve"> and </w:t>
      </w:r>
      <w:r>
        <w:rPr>
          <w:i/>
          <w:iCs/>
          <w:color w:val="000000"/>
        </w:rPr>
        <w:t>TP53TG3</w:t>
      </w:r>
      <w:r>
        <w:rPr>
          <w:color w:val="000000"/>
        </w:rPr>
        <w:t xml:space="preserve"> in oligodendrocytes</w:t>
      </w:r>
      <w:r w:rsidRPr="00EF6BB0">
        <w:rPr>
          <w:rFonts w:eastAsia="Times New Roman" w:cs="Times New Roman"/>
          <w:color w:val="000000"/>
          <w:szCs w:val="24"/>
        </w:rPr>
        <w:t>.</w:t>
      </w:r>
      <w:r w:rsidRPr="005C3FFC">
        <w:rPr>
          <w:b/>
          <w:bCs/>
          <w:color w:val="000000"/>
        </w:rPr>
        <w:t xml:space="preserve"> </w:t>
      </w:r>
      <w:r>
        <w:rPr>
          <w:b/>
          <w:bCs/>
          <w:color w:val="000000"/>
        </w:rPr>
        <w:t xml:space="preserve">b, </w:t>
      </w:r>
      <w:r>
        <w:rPr>
          <w:color w:val="000000"/>
        </w:rPr>
        <w:t>The</w:t>
      </w:r>
      <w:r>
        <w:rPr>
          <w:b/>
          <w:bCs/>
          <w:color w:val="000000"/>
        </w:rPr>
        <w:t xml:space="preserve"> </w:t>
      </w:r>
      <w:r>
        <w:rPr>
          <w:color w:val="000000"/>
        </w:rPr>
        <w:t>number of overlapped sEOAD differential expression genes (sEOAD DEGs) in each cell type across brain regions with colors indicating brain regions.</w:t>
      </w:r>
      <w:r w:rsidRPr="005C3FFC">
        <w:rPr>
          <w:b/>
          <w:bCs/>
          <w:color w:val="000000"/>
        </w:rPr>
        <w:t xml:space="preserve"> </w:t>
      </w:r>
      <w:r>
        <w:rPr>
          <w:b/>
          <w:bCs/>
          <w:color w:val="000000"/>
        </w:rPr>
        <w:t>c,</w:t>
      </w:r>
      <w:r>
        <w:rPr>
          <w:color w:val="000000"/>
        </w:rPr>
        <w:t xml:space="preserve"> sEOAD DEGs consistently identified in all three brain regions associated with specific pathways: circadian clock regulation (top left, </w:t>
      </w:r>
      <w:r>
        <w:rPr>
          <w:i/>
          <w:iCs/>
          <w:color w:val="000000"/>
        </w:rPr>
        <w:t>CIRBP</w:t>
      </w:r>
      <w:r>
        <w:rPr>
          <w:color w:val="000000"/>
        </w:rPr>
        <w:t xml:space="preserve"> in astrocyte), extracellular matrix organization (top right, </w:t>
      </w:r>
      <w:r>
        <w:rPr>
          <w:i/>
          <w:iCs/>
          <w:color w:val="000000"/>
        </w:rPr>
        <w:t>ITGB8</w:t>
      </w:r>
      <w:r>
        <w:rPr>
          <w:color w:val="000000"/>
        </w:rPr>
        <w:t xml:space="preserve"> in astrocyte), Wnt-signaling pathway (bottom left, </w:t>
      </w:r>
      <w:r>
        <w:rPr>
          <w:i/>
          <w:iCs/>
          <w:color w:val="000000"/>
        </w:rPr>
        <w:t>CXXC4</w:t>
      </w:r>
      <w:r>
        <w:rPr>
          <w:color w:val="000000"/>
        </w:rPr>
        <w:t xml:space="preserve"> in excitatory neurons), NOTCH signaling pathway (bottom right, </w:t>
      </w:r>
      <w:r>
        <w:rPr>
          <w:i/>
          <w:iCs/>
          <w:color w:val="000000"/>
        </w:rPr>
        <w:t>MAML2</w:t>
      </w:r>
      <w:r>
        <w:rPr>
          <w:color w:val="000000"/>
        </w:rPr>
        <w:t xml:space="preserve"> in oligodendrocytes). The x-axis indicates sample identification, and the color of the box indicates </w:t>
      </w:r>
      <w:r>
        <w:rPr>
          <w:color w:val="000000"/>
        </w:rPr>
        <w:lastRenderedPageBreak/>
        <w:t>the diagnosis label. Box boundaries and lines correspond to the interquartile range (IQR) and median, respectively.</w:t>
      </w:r>
      <w:r w:rsidRPr="005C3FFC">
        <w:rPr>
          <w:b/>
          <w:bCs/>
          <w:color w:val="000000"/>
        </w:rPr>
        <w:t xml:space="preserve"> </w:t>
      </w:r>
      <w:r>
        <w:rPr>
          <w:b/>
          <w:bCs/>
          <w:color w:val="000000"/>
        </w:rPr>
        <w:t xml:space="preserve">d, </w:t>
      </w:r>
      <w:r>
        <w:rPr>
          <w:color w:val="000000"/>
        </w:rPr>
        <w:t>The</w:t>
      </w:r>
      <w:r>
        <w:rPr>
          <w:b/>
          <w:bCs/>
          <w:color w:val="000000"/>
        </w:rPr>
        <w:t xml:space="preserve"> </w:t>
      </w:r>
      <w:r>
        <w:rPr>
          <w:color w:val="000000"/>
        </w:rPr>
        <w:t>top 10 enriched Gene Ontology biological processes (GO BP) terms for consistently downregulated sEOAD DEGs in inhibitory neurons (number of genes = 110) across brain regions.</w:t>
      </w:r>
      <w:r>
        <w:rPr>
          <w:rFonts w:eastAsia="Times New Roman" w:cs="Times New Roman"/>
          <w:color w:val="000000"/>
          <w:szCs w:val="24"/>
        </w:rPr>
        <w:br w:type="page"/>
      </w:r>
    </w:p>
    <w:p w14:paraId="52EDB29E" w14:textId="77777777" w:rsidR="00FC0B28" w:rsidRPr="00EF6BB0" w:rsidRDefault="00FC0B28" w:rsidP="00FC0B28">
      <w:pPr>
        <w:spacing w:after="120"/>
        <w:rPr>
          <w:rFonts w:eastAsia="Times New Roman" w:cs="Times New Roman"/>
          <w:szCs w:val="24"/>
        </w:rPr>
      </w:pPr>
      <w:r>
        <w:rPr>
          <w:noProof/>
        </w:rPr>
        <w:lastRenderedPageBreak/>
        <w:drawing>
          <wp:inline distT="0" distB="0" distL="0" distR="0" wp14:anchorId="2DB236DE" wp14:editId="5ECE65D5">
            <wp:extent cx="5943600" cy="5943600"/>
            <wp:effectExtent l="0" t="0" r="0" b="0"/>
            <wp:docPr id="1340801635" name="Picture 9"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801635" name="Picture 9" descr="A graph of different colored bars&#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03EA40AD" w14:textId="77777777" w:rsidR="00FC0B28" w:rsidRPr="00EF6BB0" w:rsidRDefault="00FC0B28" w:rsidP="00FC0B28">
      <w:pPr>
        <w:spacing w:after="120"/>
        <w:rPr>
          <w:rFonts w:eastAsia="Times New Roman" w:cs="Times New Roman"/>
          <w:szCs w:val="24"/>
        </w:rPr>
      </w:pPr>
      <w:r w:rsidRPr="00EF6BB0">
        <w:rPr>
          <w:rFonts w:eastAsia="Times New Roman" w:cs="Times New Roman"/>
          <w:b/>
          <w:bCs/>
          <w:color w:val="000000"/>
          <w:szCs w:val="24"/>
        </w:rPr>
        <w:t xml:space="preserve">Extended Data Fig. 3: ENCODE annotation of </w:t>
      </w:r>
      <w:r w:rsidRPr="00EF6BB0">
        <w:rPr>
          <w:rFonts w:eastAsia="Times New Roman" w:cs="Times New Roman"/>
          <w:b/>
          <w:bCs/>
          <w:i/>
          <w:iCs/>
          <w:color w:val="000000"/>
          <w:szCs w:val="24"/>
        </w:rPr>
        <w:t>cis-</w:t>
      </w:r>
      <w:r w:rsidRPr="00EF6BB0">
        <w:rPr>
          <w:rFonts w:eastAsia="Times New Roman" w:cs="Times New Roman"/>
          <w:b/>
          <w:bCs/>
          <w:color w:val="000000"/>
          <w:szCs w:val="24"/>
        </w:rPr>
        <w:t>regulatory elements linked to sEOAD DEGs by cell type and brain region. </w:t>
      </w:r>
    </w:p>
    <w:p w14:paraId="4CBFE831" w14:textId="77777777" w:rsidR="00FC0B28" w:rsidRPr="00611366" w:rsidRDefault="00FC0B28" w:rsidP="00FC0B28">
      <w:pPr>
        <w:spacing w:after="120"/>
        <w:rPr>
          <w:rFonts w:eastAsia="Times New Roman" w:cs="Times New Roman"/>
          <w:szCs w:val="24"/>
        </w:rPr>
      </w:pPr>
      <w:r>
        <w:rPr>
          <w:color w:val="000000"/>
        </w:rPr>
        <w:t>Stacked bar plots displaying the percentage of candidate cis-regulatory elements linked to sEOAD differential expression genes (DEGs) in each cell type and region that overlapped with ENCODE cCREs annotated promoters and enhancers</w:t>
      </w:r>
      <w:r w:rsidRPr="00EF6BB0">
        <w:rPr>
          <w:rFonts w:eastAsia="Times New Roman" w:cs="Times New Roman"/>
          <w:color w:val="000000"/>
          <w:szCs w:val="24"/>
        </w:rPr>
        <w:t>.</w:t>
      </w:r>
    </w:p>
    <w:p w14:paraId="793B743E" w14:textId="77777777" w:rsidR="00FC0B28" w:rsidRPr="00EF6BB0" w:rsidRDefault="00FC0B28" w:rsidP="00FC0B28">
      <w:pPr>
        <w:spacing w:after="120"/>
        <w:rPr>
          <w:rFonts w:eastAsia="Times New Roman" w:cs="Times New Roman"/>
          <w:szCs w:val="24"/>
        </w:rPr>
      </w:pPr>
      <w:r>
        <w:rPr>
          <w:noProof/>
        </w:rPr>
        <w:lastRenderedPageBreak/>
        <w:drawing>
          <wp:inline distT="0" distB="0" distL="0" distR="0" wp14:anchorId="0DBD7481" wp14:editId="26A9E54C">
            <wp:extent cx="5943600" cy="6461125"/>
            <wp:effectExtent l="0" t="0" r="0" b="0"/>
            <wp:docPr id="1125173810" name="Picture 10"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173810" name="Picture 10" descr="A screenshot of a computer generated imag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461125"/>
                    </a:xfrm>
                    <a:prstGeom prst="rect">
                      <a:avLst/>
                    </a:prstGeom>
                    <a:noFill/>
                    <a:ln>
                      <a:noFill/>
                    </a:ln>
                  </pic:spPr>
                </pic:pic>
              </a:graphicData>
            </a:graphic>
          </wp:inline>
        </w:drawing>
      </w:r>
      <w:r w:rsidRPr="00EF6BB0">
        <w:rPr>
          <w:rFonts w:eastAsia="Times New Roman" w:cs="Times New Roman"/>
          <w:b/>
          <w:bCs/>
          <w:color w:val="000000"/>
          <w:szCs w:val="24"/>
        </w:rPr>
        <w:t xml:space="preserve"> Extended Data Fig. 4:</w:t>
      </w:r>
      <w:r w:rsidRPr="00EF6BB0">
        <w:rPr>
          <w:rFonts w:eastAsia="Times New Roman" w:cs="Times New Roman"/>
          <w:color w:val="000000"/>
          <w:sz w:val="32"/>
          <w:szCs w:val="32"/>
        </w:rPr>
        <w:t xml:space="preserve"> </w:t>
      </w:r>
      <w:r w:rsidRPr="00EF6BB0">
        <w:rPr>
          <w:rFonts w:eastAsia="Times New Roman" w:cs="Times New Roman"/>
          <w:b/>
          <w:bCs/>
          <w:color w:val="000000"/>
          <w:szCs w:val="24"/>
        </w:rPr>
        <w:t>Cell</w:t>
      </w:r>
      <w:r>
        <w:rPr>
          <w:rFonts w:eastAsia="Times New Roman" w:cs="Times New Roman"/>
          <w:b/>
          <w:bCs/>
          <w:color w:val="000000"/>
          <w:szCs w:val="24"/>
        </w:rPr>
        <w:t xml:space="preserve"> </w:t>
      </w:r>
      <w:r w:rsidRPr="00EF6BB0">
        <w:rPr>
          <w:rFonts w:eastAsia="Times New Roman" w:cs="Times New Roman"/>
          <w:b/>
          <w:bCs/>
          <w:color w:val="000000"/>
          <w:szCs w:val="24"/>
        </w:rPr>
        <w:t>type</w:t>
      </w:r>
      <w:r>
        <w:rPr>
          <w:rFonts w:eastAsia="Times New Roman" w:cs="Times New Roman"/>
          <w:b/>
          <w:bCs/>
          <w:color w:val="000000"/>
          <w:szCs w:val="24"/>
        </w:rPr>
        <w:t>-</w:t>
      </w:r>
      <w:r w:rsidRPr="00EF6BB0">
        <w:rPr>
          <w:rFonts w:eastAsia="Times New Roman" w:cs="Times New Roman"/>
          <w:b/>
          <w:bCs/>
          <w:color w:val="000000"/>
          <w:szCs w:val="24"/>
        </w:rPr>
        <w:t xml:space="preserve">specific transcription factor regulatory circuities in </w:t>
      </w:r>
      <w:r>
        <w:rPr>
          <w:rFonts w:eastAsia="Times New Roman" w:cs="Times New Roman"/>
          <w:b/>
          <w:bCs/>
          <w:color w:val="000000"/>
          <w:szCs w:val="24"/>
        </w:rPr>
        <w:t xml:space="preserve">the </w:t>
      </w:r>
      <w:r w:rsidRPr="00EF6BB0">
        <w:rPr>
          <w:rFonts w:eastAsia="Times New Roman" w:cs="Times New Roman"/>
          <w:b/>
          <w:bCs/>
          <w:color w:val="000000"/>
          <w:szCs w:val="24"/>
        </w:rPr>
        <w:t>prefrontal cortex and hippocampus of sEOAD</w:t>
      </w:r>
    </w:p>
    <w:p w14:paraId="78E7638F" w14:textId="77777777" w:rsidR="00FC0B28" w:rsidRPr="00337178" w:rsidRDefault="00FC0B28" w:rsidP="00FC0B28">
      <w:pPr>
        <w:spacing w:after="120"/>
        <w:rPr>
          <w:rFonts w:eastAsia="Times New Roman" w:cs="Times New Roman"/>
          <w:color w:val="000000"/>
          <w:szCs w:val="24"/>
        </w:rPr>
      </w:pPr>
      <w:r>
        <w:rPr>
          <w:b/>
          <w:bCs/>
          <w:color w:val="000000"/>
        </w:rPr>
        <w:t>a,b,</w:t>
      </w:r>
      <w:r>
        <w:rPr>
          <w:color w:val="000000"/>
        </w:rPr>
        <w:t xml:space="preserve"> Heatmap/dot plot showing SCENIC+ analysis results for (</w:t>
      </w:r>
      <w:r>
        <w:rPr>
          <w:b/>
          <w:bCs/>
          <w:color w:val="000000"/>
        </w:rPr>
        <w:t>a</w:t>
      </w:r>
      <w:r>
        <w:rPr>
          <w:color w:val="000000"/>
        </w:rPr>
        <w:t>) the prefrontal cortex (PFC) or (</w:t>
      </w:r>
      <w:r>
        <w:rPr>
          <w:b/>
          <w:bCs/>
          <w:color w:val="000000"/>
        </w:rPr>
        <w:t>b</w:t>
      </w:r>
      <w:r>
        <w:rPr>
          <w:color w:val="000000"/>
        </w:rPr>
        <w:t xml:space="preserve">) the hippocampus (HIP), categorized by cell type and diagnosis label (x-axis). The gene </w:t>
      </w:r>
      <w:r>
        <w:rPr>
          <w:color w:val="000000"/>
        </w:rPr>
        <w:lastRenderedPageBreak/>
        <w:t xml:space="preserve">expression of identified transcription factors (TFs) is presented on a color scale, while the cell type-specificity of the regulon is presented by dot size. </w:t>
      </w:r>
      <w:r>
        <w:rPr>
          <w:b/>
          <w:bCs/>
          <w:color w:val="000000"/>
        </w:rPr>
        <w:t>c-e</w:t>
      </w:r>
      <w:r>
        <w:rPr>
          <w:color w:val="000000"/>
        </w:rPr>
        <w:t>, Jaccard heat maps showing the intersection of target regions (left) and target genes (right) of the identified TFs in (</w:t>
      </w:r>
      <w:r>
        <w:rPr>
          <w:b/>
          <w:bCs/>
          <w:color w:val="000000"/>
        </w:rPr>
        <w:t>c</w:t>
      </w:r>
      <w:r>
        <w:rPr>
          <w:color w:val="000000"/>
        </w:rPr>
        <w:t>) PFC, (</w:t>
      </w:r>
      <w:r>
        <w:rPr>
          <w:b/>
          <w:bCs/>
          <w:color w:val="000000"/>
        </w:rPr>
        <w:t>d</w:t>
      </w:r>
      <w:r>
        <w:rPr>
          <w:color w:val="000000"/>
        </w:rPr>
        <w:t>) EC, and (</w:t>
      </w:r>
      <w:r>
        <w:rPr>
          <w:b/>
          <w:bCs/>
          <w:color w:val="000000"/>
        </w:rPr>
        <w:t>e</w:t>
      </w:r>
      <w:r>
        <w:rPr>
          <w:color w:val="000000"/>
        </w:rPr>
        <w:t>) HIP.  </w:t>
      </w:r>
      <w:r>
        <w:rPr>
          <w:b/>
          <w:bCs/>
          <w:color w:val="000000"/>
        </w:rPr>
        <w:t>f,</w:t>
      </w:r>
      <w:r>
        <w:rPr>
          <w:color w:val="000000"/>
        </w:rPr>
        <w:t xml:space="preserve"> Venn diagram depicting the number of overlaps of transcription factors in the PFC, EC, and HIP</w:t>
      </w:r>
      <w:r w:rsidRPr="00EF6BB0">
        <w:rPr>
          <w:rFonts w:eastAsia="Times New Roman" w:cs="Times New Roman"/>
          <w:color w:val="000000"/>
          <w:szCs w:val="24"/>
        </w:rPr>
        <w:t>.  </w:t>
      </w:r>
      <w:r>
        <w:rPr>
          <w:rFonts w:eastAsia="Times New Roman" w:cs="Times New Roman"/>
          <w:szCs w:val="24"/>
        </w:rPr>
        <w:br w:type="page"/>
      </w:r>
    </w:p>
    <w:p w14:paraId="5FE35AA9" w14:textId="77777777" w:rsidR="00FC0B28" w:rsidRPr="00EF6BB0" w:rsidRDefault="00FC0B28" w:rsidP="00FC0B28">
      <w:pPr>
        <w:spacing w:after="120"/>
        <w:rPr>
          <w:rFonts w:eastAsia="Times New Roman" w:cs="Times New Roman"/>
          <w:szCs w:val="24"/>
        </w:rPr>
      </w:pPr>
      <w:r>
        <w:rPr>
          <w:noProof/>
        </w:rPr>
        <w:lastRenderedPageBreak/>
        <w:drawing>
          <wp:inline distT="0" distB="0" distL="0" distR="0" wp14:anchorId="69F2270E" wp14:editId="5E09525F">
            <wp:extent cx="5943600" cy="6765925"/>
            <wp:effectExtent l="0" t="0" r="0" b="0"/>
            <wp:docPr id="335111768" name="Picture 11"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111768" name="Picture 11" descr="A screenshot of a 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6765925"/>
                    </a:xfrm>
                    <a:prstGeom prst="rect">
                      <a:avLst/>
                    </a:prstGeom>
                    <a:noFill/>
                    <a:ln>
                      <a:noFill/>
                    </a:ln>
                  </pic:spPr>
                </pic:pic>
              </a:graphicData>
            </a:graphic>
          </wp:inline>
        </w:drawing>
      </w:r>
    </w:p>
    <w:p w14:paraId="3019ED06" w14:textId="77777777" w:rsidR="00FC0B28" w:rsidRPr="00EF6BB0" w:rsidRDefault="00FC0B28" w:rsidP="00FC0B28">
      <w:pPr>
        <w:spacing w:after="120"/>
        <w:rPr>
          <w:rFonts w:eastAsia="Times New Roman" w:cs="Times New Roman"/>
          <w:szCs w:val="24"/>
        </w:rPr>
      </w:pPr>
      <w:r w:rsidRPr="00EF6BB0">
        <w:rPr>
          <w:rFonts w:eastAsia="Times New Roman" w:cs="Times New Roman"/>
          <w:b/>
          <w:bCs/>
          <w:color w:val="000000"/>
          <w:szCs w:val="24"/>
        </w:rPr>
        <w:t>Extended Data Fig. 5:</w:t>
      </w:r>
      <w:r w:rsidRPr="00EF6BB0">
        <w:rPr>
          <w:rFonts w:eastAsia="Times New Roman" w:cs="Times New Roman"/>
          <w:color w:val="000000"/>
          <w:szCs w:val="24"/>
        </w:rPr>
        <w:t xml:space="preserve"> </w:t>
      </w:r>
      <w:r w:rsidRPr="00EF6BB0">
        <w:rPr>
          <w:rFonts w:eastAsia="Times New Roman" w:cs="Times New Roman"/>
          <w:b/>
          <w:bCs/>
          <w:color w:val="000000"/>
          <w:szCs w:val="24"/>
        </w:rPr>
        <w:t>Comparative analysis of dysregulated cell-cell communication in PFC and HIP between sEOAD and controls.</w:t>
      </w:r>
    </w:p>
    <w:p w14:paraId="6DA6BAAC" w14:textId="77777777" w:rsidR="00FC0B28" w:rsidRDefault="00FC0B28" w:rsidP="00FC0B28">
      <w:pPr>
        <w:spacing w:after="120"/>
        <w:rPr>
          <w:rFonts w:eastAsia="Times New Roman" w:cs="Times New Roman"/>
          <w:color w:val="000000"/>
          <w:szCs w:val="24"/>
        </w:rPr>
      </w:pPr>
      <w:r>
        <w:rPr>
          <w:b/>
          <w:bCs/>
          <w:color w:val="000000"/>
        </w:rPr>
        <w:lastRenderedPageBreak/>
        <w:t xml:space="preserve">a, </w:t>
      </w:r>
      <w:r>
        <w:rPr>
          <w:color w:val="000000"/>
        </w:rPr>
        <w:t xml:space="preserve">Top 25 differential ligand-receptor signals received and sent by astrocytes in the prefrontal cortex (PFC) between sEOAD and control groups. </w:t>
      </w:r>
      <w:r>
        <w:rPr>
          <w:b/>
          <w:bCs/>
          <w:color w:val="000000"/>
        </w:rPr>
        <w:t xml:space="preserve">b, </w:t>
      </w:r>
      <w:r>
        <w:rPr>
          <w:color w:val="000000"/>
        </w:rPr>
        <w:t xml:space="preserve">Top 25 differential ligand-receptor signals received and sent by microglia in the PFC between sEOAD and control groups. </w:t>
      </w:r>
      <w:r>
        <w:rPr>
          <w:b/>
          <w:bCs/>
          <w:color w:val="000000"/>
        </w:rPr>
        <w:t xml:space="preserve">c, </w:t>
      </w:r>
      <w:r>
        <w:rPr>
          <w:color w:val="000000"/>
        </w:rPr>
        <w:t xml:space="preserve">Top 25 differential ligand-receptor signals received and sent by astrocytes in the hippocampus (HIP) between sEOAD and control groups. </w:t>
      </w:r>
      <w:r>
        <w:rPr>
          <w:b/>
          <w:bCs/>
          <w:color w:val="000000"/>
        </w:rPr>
        <w:t xml:space="preserve">d, </w:t>
      </w:r>
      <w:r>
        <w:rPr>
          <w:color w:val="000000"/>
        </w:rPr>
        <w:t xml:space="preserve">Top 25 differential ligand-receptor signals received and sent by microglia in the HIP between sEOAD and control groups. The arrowhead represents the direction of the signal from the sender cell type to the receiver cell type. </w:t>
      </w:r>
      <w:r>
        <w:rPr>
          <w:b/>
          <w:bCs/>
          <w:color w:val="000000"/>
        </w:rPr>
        <w:t>e-f</w:t>
      </w:r>
      <w:r>
        <w:rPr>
          <w:color w:val="000000"/>
        </w:rPr>
        <w:t>, The heatmap depicting the regulatory potential scores (purple) of selected dysregulated ligand-receptor pairs in receiver cell types within (</w:t>
      </w:r>
      <w:r>
        <w:rPr>
          <w:b/>
          <w:bCs/>
          <w:color w:val="000000"/>
        </w:rPr>
        <w:t>e</w:t>
      </w:r>
      <w:r>
        <w:rPr>
          <w:color w:val="000000"/>
        </w:rPr>
        <w:t>) PFC or (</w:t>
      </w:r>
      <w:r>
        <w:rPr>
          <w:b/>
          <w:bCs/>
          <w:color w:val="000000"/>
        </w:rPr>
        <w:t>f</w:t>
      </w:r>
      <w:r>
        <w:rPr>
          <w:color w:val="000000"/>
        </w:rPr>
        <w:t>) HIP. The dot plots show the scaled ligand-receptor pseudobulk expression in each sample, with dot size indicating whether a sample had at least ten cells for astrocytes</w:t>
      </w:r>
      <w:r w:rsidRPr="00EF6BB0">
        <w:rPr>
          <w:rFonts w:eastAsia="Times New Roman" w:cs="Times New Roman"/>
          <w:color w:val="000000"/>
          <w:szCs w:val="24"/>
        </w:rPr>
        <w:t xml:space="preserve">. </w:t>
      </w:r>
      <w:r>
        <w:rPr>
          <w:rFonts w:eastAsia="Times New Roman" w:cs="Times New Roman"/>
          <w:color w:val="000000"/>
          <w:szCs w:val="24"/>
        </w:rPr>
        <w:br w:type="page"/>
      </w:r>
    </w:p>
    <w:p w14:paraId="30543ADE" w14:textId="77777777" w:rsidR="00FC0B28" w:rsidRPr="00EF6BB0" w:rsidRDefault="00FC0B28" w:rsidP="00FC0B28">
      <w:pPr>
        <w:spacing w:after="120"/>
        <w:rPr>
          <w:rFonts w:eastAsia="Times New Roman" w:cs="Times New Roman"/>
          <w:szCs w:val="24"/>
        </w:rPr>
      </w:pPr>
      <w:r>
        <w:rPr>
          <w:noProof/>
        </w:rPr>
        <w:lastRenderedPageBreak/>
        <w:drawing>
          <wp:inline distT="0" distB="0" distL="0" distR="0" wp14:anchorId="36FFD890" wp14:editId="7DB68495">
            <wp:extent cx="5943600" cy="4110355"/>
            <wp:effectExtent l="0" t="0" r="0" b="4445"/>
            <wp:docPr id="1942265608"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265608" name="Picture 12" descr="A screenshot of a compute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110355"/>
                    </a:xfrm>
                    <a:prstGeom prst="rect">
                      <a:avLst/>
                    </a:prstGeom>
                    <a:noFill/>
                    <a:ln>
                      <a:noFill/>
                    </a:ln>
                  </pic:spPr>
                </pic:pic>
              </a:graphicData>
            </a:graphic>
          </wp:inline>
        </w:drawing>
      </w:r>
      <w:r w:rsidRPr="00EF6BB0">
        <w:rPr>
          <w:rFonts w:eastAsia="Times New Roman" w:cs="Times New Roman"/>
          <w:b/>
          <w:bCs/>
          <w:color w:val="000000"/>
          <w:szCs w:val="24"/>
        </w:rPr>
        <w:t xml:space="preserve"> Extended Data Fig. 6:</w:t>
      </w:r>
      <w:r w:rsidRPr="00EF6BB0">
        <w:rPr>
          <w:rFonts w:eastAsia="Times New Roman" w:cs="Times New Roman"/>
          <w:color w:val="000000"/>
          <w:szCs w:val="24"/>
        </w:rPr>
        <w:t xml:space="preserve"> </w:t>
      </w:r>
      <w:r w:rsidRPr="00EF6BB0">
        <w:rPr>
          <w:rFonts w:eastAsia="Times New Roman" w:cs="Times New Roman"/>
          <w:b/>
          <w:bCs/>
          <w:color w:val="000000"/>
          <w:szCs w:val="24"/>
        </w:rPr>
        <w:t xml:space="preserve">GWAS enrichment </w:t>
      </w:r>
      <w:r>
        <w:rPr>
          <w:rFonts w:eastAsia="Times New Roman" w:cs="Times New Roman"/>
          <w:b/>
          <w:bCs/>
          <w:color w:val="000000"/>
          <w:szCs w:val="24"/>
        </w:rPr>
        <w:t xml:space="preserve">in cell type specific cCREs </w:t>
      </w:r>
      <w:r w:rsidRPr="00EF6BB0">
        <w:rPr>
          <w:rFonts w:eastAsia="Times New Roman" w:cs="Times New Roman"/>
          <w:b/>
          <w:bCs/>
          <w:color w:val="000000"/>
          <w:szCs w:val="24"/>
        </w:rPr>
        <w:t>and variants prioritization</w:t>
      </w:r>
    </w:p>
    <w:p w14:paraId="2A631D28" w14:textId="77777777" w:rsidR="00FC0B28" w:rsidRPr="00611366" w:rsidRDefault="00FC0B28" w:rsidP="00FC0B28">
      <w:pPr>
        <w:spacing w:after="120"/>
        <w:rPr>
          <w:rFonts w:eastAsia="Times New Roman" w:cs="Times New Roman"/>
          <w:szCs w:val="24"/>
        </w:rPr>
      </w:pPr>
      <w:r>
        <w:rPr>
          <w:b/>
          <w:bCs/>
          <w:color w:val="000000"/>
        </w:rPr>
        <w:t xml:space="preserve">a, </w:t>
      </w:r>
      <w:r>
        <w:rPr>
          <w:color w:val="000000"/>
        </w:rPr>
        <w:t xml:space="preserve">Heatmap displaying the sEOAD differentially expressed genes (DEGs) with associated candidate </w:t>
      </w:r>
      <w:r>
        <w:rPr>
          <w:i/>
          <w:iCs/>
          <w:color w:val="000000"/>
        </w:rPr>
        <w:t>cis-</w:t>
      </w:r>
      <w:r>
        <w:rPr>
          <w:color w:val="000000"/>
        </w:rPr>
        <w:t xml:space="preserve">regulatory elements(cCREs) containing LOAD GWAS loci. </w:t>
      </w:r>
      <w:r>
        <w:rPr>
          <w:b/>
          <w:bCs/>
          <w:color w:val="000000"/>
        </w:rPr>
        <w:t xml:space="preserve">b, </w:t>
      </w:r>
      <w:r>
        <w:rPr>
          <w:color w:val="000000"/>
        </w:rPr>
        <w:t xml:space="preserve">SNP rs74685827, as reported in Bellenguez </w:t>
      </w:r>
      <w:r>
        <w:rPr>
          <w:i/>
          <w:iCs/>
          <w:color w:val="000000"/>
        </w:rPr>
        <w:t xml:space="preserve">et al., </w:t>
      </w:r>
      <w:r>
        <w:rPr>
          <w:color w:val="000000"/>
        </w:rPr>
        <w:t xml:space="preserve">overlaps with a microglia-specific cCRE linked to dysregulated </w:t>
      </w:r>
      <w:r>
        <w:rPr>
          <w:i/>
          <w:iCs/>
          <w:color w:val="000000"/>
        </w:rPr>
        <w:t>SORL1</w:t>
      </w:r>
      <w:r>
        <w:rPr>
          <w:color w:val="000000"/>
        </w:rPr>
        <w:t xml:space="preserve"> gene expression in hippocampus (HIP). Its associated SNP, rs1591330048, overlaps with a cCRE linked to dysregulated </w:t>
      </w:r>
      <w:r>
        <w:rPr>
          <w:i/>
          <w:iCs/>
          <w:color w:val="000000"/>
        </w:rPr>
        <w:t>SORL1</w:t>
      </w:r>
      <w:r>
        <w:rPr>
          <w:color w:val="000000"/>
        </w:rPr>
        <w:t xml:space="preserve"> gene expression in astrocytes in HIP. The cCREs linked to sEOAD DEG contain LOAD GWAS loci and are highlighted in gray. </w:t>
      </w:r>
      <w:r>
        <w:rPr>
          <w:b/>
          <w:bCs/>
          <w:color w:val="000000"/>
        </w:rPr>
        <w:t xml:space="preserve">c, </w:t>
      </w:r>
      <w:r>
        <w:rPr>
          <w:color w:val="000000"/>
        </w:rPr>
        <w:t>Heatmap shows the cCRE linked to sEOAD DEGs containing single-cell expression quantitative trait loci (eQTL).</w:t>
      </w:r>
      <w:r>
        <w:rPr>
          <w:b/>
          <w:bCs/>
          <w:color w:val="000000"/>
        </w:rPr>
        <w:t xml:space="preserve"> d, </w:t>
      </w:r>
      <w:r>
        <w:rPr>
          <w:color w:val="000000"/>
        </w:rPr>
        <w:t xml:space="preserve">The promoter region of </w:t>
      </w:r>
      <w:r>
        <w:rPr>
          <w:i/>
          <w:iCs/>
          <w:color w:val="000000"/>
        </w:rPr>
        <w:t>ZDHHC20</w:t>
      </w:r>
      <w:r>
        <w:rPr>
          <w:color w:val="000000"/>
        </w:rPr>
        <w:t xml:space="preserve"> in oligodendrocytes contains the single-cell eQTL SNP rs57438463. The box plot depicts that the </w:t>
      </w:r>
      <w:r>
        <w:rPr>
          <w:i/>
          <w:iCs/>
          <w:color w:val="000000"/>
        </w:rPr>
        <w:t xml:space="preserve">ZDHHC20 </w:t>
      </w:r>
      <w:r>
        <w:rPr>
          <w:color w:val="000000"/>
        </w:rPr>
        <w:t xml:space="preserve">gene was significantly upregulated in </w:t>
      </w:r>
      <w:r>
        <w:rPr>
          <w:color w:val="000000"/>
        </w:rPr>
        <w:lastRenderedPageBreak/>
        <w:t xml:space="preserve">oligodendrocytes in HIP samples of sEOAD patients. </w:t>
      </w:r>
      <w:r>
        <w:rPr>
          <w:b/>
          <w:bCs/>
          <w:color w:val="000000"/>
        </w:rPr>
        <w:t xml:space="preserve">e, </w:t>
      </w:r>
      <w:r>
        <w:rPr>
          <w:color w:val="000000"/>
        </w:rPr>
        <w:t>Heatmap showing the enrichment of risk variants associated with LOAD, immune-mediated traits, and psychiatry disorders from GWAS in cell type specific peaks (*FDR &lt; 0.05, **FDR &lt; 0.01)</w:t>
      </w:r>
      <w:r w:rsidRPr="00EF6BB0">
        <w:rPr>
          <w:rFonts w:eastAsia="Times New Roman" w:cs="Times New Roman"/>
          <w:color w:val="000000"/>
          <w:szCs w:val="24"/>
        </w:rPr>
        <w:t>.</w:t>
      </w:r>
    </w:p>
    <w:p w14:paraId="33927FBF" w14:textId="77777777" w:rsidR="00755780" w:rsidRDefault="00755780"/>
    <w:sectPr w:rsidR="00755780" w:rsidSect="00FC0B28">
      <w:footerReference w:type="default" r:id="rId10"/>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49078409"/>
      <w:docPartObj>
        <w:docPartGallery w:val="Page Numbers (Bottom of Page)"/>
        <w:docPartUnique/>
      </w:docPartObj>
    </w:sdtPr>
    <w:sdtEndPr>
      <w:rPr>
        <w:noProof/>
      </w:rPr>
    </w:sdtEndPr>
    <w:sdtContent>
      <w:p w14:paraId="4B4A02F6"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16079E5"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B28"/>
    <w:rsid w:val="00331A6B"/>
    <w:rsid w:val="00510A75"/>
    <w:rsid w:val="00755780"/>
    <w:rsid w:val="00857596"/>
    <w:rsid w:val="00FC0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E8E3D"/>
  <w15:chartTrackingRefBased/>
  <w15:docId w15:val="{A3BDDFD7-87E5-41E5-82A3-CB87D5D22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B28"/>
    <w:pPr>
      <w:spacing w:after="80" w:line="480" w:lineRule="auto"/>
    </w:pPr>
    <w:rPr>
      <w:rFonts w:ascii="Times New Roman" w:eastAsiaTheme="minorEastAsia" w:hAnsi="Times New Roman"/>
      <w:kern w:val="0"/>
      <w:sz w:val="24"/>
      <w:lang w:eastAsia="zh-CN"/>
      <w14:ligatures w14:val="none"/>
    </w:rPr>
  </w:style>
  <w:style w:type="paragraph" w:styleId="Heading1">
    <w:name w:val="heading 1"/>
    <w:basedOn w:val="Normal"/>
    <w:next w:val="Normal"/>
    <w:link w:val="Heading1Char"/>
    <w:uiPriority w:val="9"/>
    <w:qFormat/>
    <w:rsid w:val="00FC0B28"/>
    <w:pPr>
      <w:keepNext/>
      <w:keepLines/>
      <w:spacing w:before="36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C0B28"/>
    <w:pPr>
      <w:keepNext/>
      <w:keepLines/>
      <w:spacing w:before="16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C0B28"/>
    <w:pPr>
      <w:keepNext/>
      <w:keepLines/>
      <w:spacing w:before="16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C0B28"/>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lang w:eastAsia="en-US"/>
      <w14:ligatures w14:val="standardContextual"/>
    </w:rPr>
  </w:style>
  <w:style w:type="paragraph" w:styleId="Heading5">
    <w:name w:val="heading 5"/>
    <w:basedOn w:val="Normal"/>
    <w:next w:val="Normal"/>
    <w:link w:val="Heading5Char"/>
    <w:uiPriority w:val="9"/>
    <w:semiHidden/>
    <w:unhideWhenUsed/>
    <w:qFormat/>
    <w:rsid w:val="00FC0B28"/>
    <w:pPr>
      <w:keepNext/>
      <w:keepLines/>
      <w:spacing w:before="80" w:after="40" w:line="259" w:lineRule="auto"/>
      <w:outlineLvl w:val="4"/>
    </w:pPr>
    <w:rPr>
      <w:rFonts w:asciiTheme="minorHAnsi" w:eastAsiaTheme="majorEastAsia" w:hAnsiTheme="minorHAnsi" w:cstheme="majorBidi"/>
      <w:color w:val="0F4761" w:themeColor="accent1" w:themeShade="BF"/>
      <w:kern w:val="2"/>
      <w:sz w:val="22"/>
      <w:lang w:eastAsia="en-US"/>
      <w14:ligatures w14:val="standardContextual"/>
    </w:rPr>
  </w:style>
  <w:style w:type="paragraph" w:styleId="Heading6">
    <w:name w:val="heading 6"/>
    <w:basedOn w:val="Normal"/>
    <w:next w:val="Normal"/>
    <w:link w:val="Heading6Char"/>
    <w:uiPriority w:val="9"/>
    <w:semiHidden/>
    <w:unhideWhenUsed/>
    <w:qFormat/>
    <w:rsid w:val="00FC0B28"/>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lang w:eastAsia="en-US"/>
      <w14:ligatures w14:val="standardContextual"/>
    </w:rPr>
  </w:style>
  <w:style w:type="paragraph" w:styleId="Heading7">
    <w:name w:val="heading 7"/>
    <w:basedOn w:val="Normal"/>
    <w:next w:val="Normal"/>
    <w:link w:val="Heading7Char"/>
    <w:uiPriority w:val="9"/>
    <w:semiHidden/>
    <w:unhideWhenUsed/>
    <w:qFormat/>
    <w:rsid w:val="00FC0B28"/>
    <w:pPr>
      <w:keepNext/>
      <w:keepLines/>
      <w:spacing w:before="40" w:after="0" w:line="259" w:lineRule="auto"/>
      <w:outlineLvl w:val="6"/>
    </w:pPr>
    <w:rPr>
      <w:rFonts w:asciiTheme="minorHAnsi" w:eastAsiaTheme="majorEastAsia" w:hAnsiTheme="minorHAnsi" w:cstheme="majorBidi"/>
      <w:color w:val="595959" w:themeColor="text1" w:themeTint="A6"/>
      <w:kern w:val="2"/>
      <w:sz w:val="22"/>
      <w:lang w:eastAsia="en-US"/>
      <w14:ligatures w14:val="standardContextual"/>
    </w:rPr>
  </w:style>
  <w:style w:type="paragraph" w:styleId="Heading8">
    <w:name w:val="heading 8"/>
    <w:basedOn w:val="Normal"/>
    <w:next w:val="Normal"/>
    <w:link w:val="Heading8Char"/>
    <w:uiPriority w:val="9"/>
    <w:semiHidden/>
    <w:unhideWhenUsed/>
    <w:qFormat/>
    <w:rsid w:val="00FC0B28"/>
    <w:pPr>
      <w:keepNext/>
      <w:keepLines/>
      <w:spacing w:after="0" w:line="259" w:lineRule="auto"/>
      <w:outlineLvl w:val="7"/>
    </w:pPr>
    <w:rPr>
      <w:rFonts w:asciiTheme="minorHAnsi" w:eastAsiaTheme="majorEastAsia" w:hAnsiTheme="minorHAnsi" w:cstheme="majorBidi"/>
      <w:i/>
      <w:iCs/>
      <w:color w:val="272727" w:themeColor="text1" w:themeTint="D8"/>
      <w:kern w:val="2"/>
      <w:sz w:val="22"/>
      <w:lang w:eastAsia="en-US"/>
      <w14:ligatures w14:val="standardContextual"/>
    </w:rPr>
  </w:style>
  <w:style w:type="paragraph" w:styleId="Heading9">
    <w:name w:val="heading 9"/>
    <w:basedOn w:val="Normal"/>
    <w:next w:val="Normal"/>
    <w:link w:val="Heading9Char"/>
    <w:uiPriority w:val="9"/>
    <w:semiHidden/>
    <w:unhideWhenUsed/>
    <w:qFormat/>
    <w:rsid w:val="00FC0B28"/>
    <w:pPr>
      <w:keepNext/>
      <w:keepLines/>
      <w:spacing w:after="0" w:line="259" w:lineRule="auto"/>
      <w:outlineLvl w:val="8"/>
    </w:pPr>
    <w:rPr>
      <w:rFonts w:asciiTheme="minorHAnsi" w:eastAsiaTheme="majorEastAsia" w:hAnsiTheme="minorHAnsi" w:cstheme="majorBidi"/>
      <w:color w:val="272727" w:themeColor="text1" w:themeTint="D8"/>
      <w:kern w:val="2"/>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0B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0B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0B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0B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0B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0B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0B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0B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0B28"/>
    <w:rPr>
      <w:rFonts w:eastAsiaTheme="majorEastAsia" w:cstheme="majorBidi"/>
      <w:color w:val="272727" w:themeColor="text1" w:themeTint="D8"/>
    </w:rPr>
  </w:style>
  <w:style w:type="paragraph" w:styleId="Title">
    <w:name w:val="Title"/>
    <w:basedOn w:val="Normal"/>
    <w:next w:val="Normal"/>
    <w:link w:val="TitleChar"/>
    <w:uiPriority w:val="10"/>
    <w:qFormat/>
    <w:rsid w:val="00FC0B28"/>
    <w:pPr>
      <w:spacing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C0B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0B28"/>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C0B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0B28"/>
    <w:pPr>
      <w:spacing w:before="160" w:after="160" w:line="259" w:lineRule="auto"/>
      <w:jc w:val="center"/>
    </w:pPr>
    <w:rPr>
      <w:rFonts w:asciiTheme="minorHAnsi" w:eastAsiaTheme="minorHAnsi" w:hAnsiTheme="minorHAnsi"/>
      <w:i/>
      <w:iCs/>
      <w:color w:val="404040" w:themeColor="text1" w:themeTint="BF"/>
      <w:kern w:val="2"/>
      <w:sz w:val="22"/>
      <w:lang w:eastAsia="en-US"/>
      <w14:ligatures w14:val="standardContextual"/>
    </w:rPr>
  </w:style>
  <w:style w:type="character" w:customStyle="1" w:styleId="QuoteChar">
    <w:name w:val="Quote Char"/>
    <w:basedOn w:val="DefaultParagraphFont"/>
    <w:link w:val="Quote"/>
    <w:uiPriority w:val="29"/>
    <w:rsid w:val="00FC0B28"/>
    <w:rPr>
      <w:i/>
      <w:iCs/>
      <w:color w:val="404040" w:themeColor="text1" w:themeTint="BF"/>
    </w:rPr>
  </w:style>
  <w:style w:type="paragraph" w:styleId="ListParagraph">
    <w:name w:val="List Paragraph"/>
    <w:basedOn w:val="Normal"/>
    <w:uiPriority w:val="34"/>
    <w:qFormat/>
    <w:rsid w:val="00FC0B28"/>
    <w:pPr>
      <w:spacing w:after="160" w:line="259" w:lineRule="auto"/>
      <w:ind w:left="720"/>
      <w:contextualSpacing/>
    </w:pPr>
    <w:rPr>
      <w:rFonts w:asciiTheme="minorHAnsi" w:eastAsiaTheme="minorHAnsi" w:hAnsiTheme="minorHAnsi"/>
      <w:kern w:val="2"/>
      <w:sz w:val="22"/>
      <w:lang w:eastAsia="en-US"/>
      <w14:ligatures w14:val="standardContextual"/>
    </w:rPr>
  </w:style>
  <w:style w:type="character" w:styleId="IntenseEmphasis">
    <w:name w:val="Intense Emphasis"/>
    <w:basedOn w:val="DefaultParagraphFont"/>
    <w:uiPriority w:val="21"/>
    <w:qFormat/>
    <w:rsid w:val="00FC0B28"/>
    <w:rPr>
      <w:i/>
      <w:iCs/>
      <w:color w:val="0F4761" w:themeColor="accent1" w:themeShade="BF"/>
    </w:rPr>
  </w:style>
  <w:style w:type="paragraph" w:styleId="IntenseQuote">
    <w:name w:val="Intense Quote"/>
    <w:basedOn w:val="Normal"/>
    <w:next w:val="Normal"/>
    <w:link w:val="IntenseQuoteChar"/>
    <w:uiPriority w:val="30"/>
    <w:qFormat/>
    <w:rsid w:val="00FC0B2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i/>
      <w:iCs/>
      <w:color w:val="0F4761" w:themeColor="accent1" w:themeShade="BF"/>
      <w:kern w:val="2"/>
      <w:sz w:val="22"/>
      <w:lang w:eastAsia="en-US"/>
      <w14:ligatures w14:val="standardContextual"/>
    </w:rPr>
  </w:style>
  <w:style w:type="character" w:customStyle="1" w:styleId="IntenseQuoteChar">
    <w:name w:val="Intense Quote Char"/>
    <w:basedOn w:val="DefaultParagraphFont"/>
    <w:link w:val="IntenseQuote"/>
    <w:uiPriority w:val="30"/>
    <w:rsid w:val="00FC0B28"/>
    <w:rPr>
      <w:i/>
      <w:iCs/>
      <w:color w:val="0F4761" w:themeColor="accent1" w:themeShade="BF"/>
    </w:rPr>
  </w:style>
  <w:style w:type="character" w:styleId="IntenseReference">
    <w:name w:val="Intense Reference"/>
    <w:basedOn w:val="DefaultParagraphFont"/>
    <w:uiPriority w:val="32"/>
    <w:qFormat/>
    <w:rsid w:val="00FC0B28"/>
    <w:rPr>
      <w:b/>
      <w:bCs/>
      <w:smallCaps/>
      <w:color w:val="0F4761" w:themeColor="accent1" w:themeShade="BF"/>
      <w:spacing w:val="5"/>
    </w:rPr>
  </w:style>
  <w:style w:type="paragraph" w:styleId="Footer">
    <w:name w:val="footer"/>
    <w:basedOn w:val="Normal"/>
    <w:link w:val="FooterChar"/>
    <w:uiPriority w:val="99"/>
    <w:unhideWhenUsed/>
    <w:rsid w:val="00FC0B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0B28"/>
    <w:rPr>
      <w:rFonts w:ascii="Times New Roman" w:eastAsiaTheme="minorEastAsia" w:hAnsi="Times New Roman"/>
      <w:kern w:val="0"/>
      <w:sz w:val="24"/>
      <w:lang w:eastAsia="zh-CN"/>
      <w14:ligatures w14:val="none"/>
    </w:rPr>
  </w:style>
  <w:style w:type="character" w:styleId="LineNumber">
    <w:name w:val="line number"/>
    <w:basedOn w:val="DefaultParagraphFont"/>
    <w:uiPriority w:val="99"/>
    <w:semiHidden/>
    <w:unhideWhenUsed/>
    <w:rsid w:val="00FC0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788</Words>
  <Characters>4496</Characters>
  <Application>Microsoft Office Word</Application>
  <DocSecurity>0</DocSecurity>
  <Lines>37</Lines>
  <Paragraphs>10</Paragraphs>
  <ScaleCrop>false</ScaleCrop>
  <Company>Springer Nature</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2024-08-01T06:08:00Z</dcterms:created>
  <dcterms:modified xsi:type="dcterms:W3CDTF">2024-08-01T06:08:00Z</dcterms:modified>
</cp:coreProperties>
</file>