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629580" w14:textId="77777777" w:rsidR="006740C4" w:rsidRDefault="006740C4" w:rsidP="006740C4">
      <w:pPr>
        <w:widowControl/>
        <w:snapToGrid w:val="0"/>
        <w:spacing w:line="480" w:lineRule="auto"/>
        <w:contextual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C275FF0" wp14:editId="5D983288">
            <wp:extent cx="4681855" cy="4608830"/>
            <wp:effectExtent l="0" t="0" r="4445" b="1270"/>
            <wp:docPr id="183993728" name="図 3" descr="テーブル&#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3728" name="図 3" descr="テーブル&#10;&#10;中程度の精度で自動的に生成された説明"/>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81855" cy="4608830"/>
                    </a:xfrm>
                    <a:prstGeom prst="rect">
                      <a:avLst/>
                    </a:prstGeom>
                    <a:noFill/>
                    <a:ln>
                      <a:noFill/>
                    </a:ln>
                  </pic:spPr>
                </pic:pic>
              </a:graphicData>
            </a:graphic>
          </wp:inline>
        </w:drawing>
      </w:r>
    </w:p>
    <w:p w14:paraId="530E0752" w14:textId="77777777" w:rsidR="006740C4" w:rsidRDefault="006740C4" w:rsidP="006740C4">
      <w:pPr>
        <w:widowControl/>
        <w:snapToGrid w:val="0"/>
        <w:spacing w:line="480" w:lineRule="auto"/>
        <w:contextualSpacing/>
        <w:rPr>
          <w:rFonts w:ascii="Times New Roman" w:hAnsi="Times New Roman" w:cs="Times New Roman"/>
          <w:sz w:val="24"/>
          <w:szCs w:val="24"/>
        </w:rPr>
      </w:pPr>
      <w:r w:rsidRPr="00906D7F">
        <w:rPr>
          <w:rFonts w:ascii="Times New Roman" w:hAnsi="Times New Roman" w:cs="Times New Roman"/>
          <w:b/>
          <w:bCs/>
          <w:sz w:val="24"/>
          <w:szCs w:val="24"/>
        </w:rPr>
        <w:t>Table 1.</w:t>
      </w:r>
      <w:r w:rsidRPr="00906D7F">
        <w:rPr>
          <w:rFonts w:ascii="Times New Roman" w:hAnsi="Times New Roman" w:cs="Times New Roman"/>
          <w:sz w:val="24"/>
          <w:szCs w:val="24"/>
        </w:rPr>
        <w:t xml:space="preserve"> The International Cartilage Repair Society score for the macroscopic evaluation.</w:t>
      </w:r>
      <w:r w:rsidRPr="006646B1">
        <w:rPr>
          <w:rFonts w:ascii="Times New Roman" w:hAnsi="Times New Roman" w:cs="Times New Roman"/>
          <w:sz w:val="24"/>
          <w:szCs w:val="24"/>
        </w:rPr>
        <w:t xml:space="preserve"> </w:t>
      </w:r>
    </w:p>
    <w:p w14:paraId="5C3BBAFD" w14:textId="77777777" w:rsidR="006740C4" w:rsidRPr="00C530E4" w:rsidRDefault="006740C4" w:rsidP="006740C4">
      <w:pPr>
        <w:widowControl/>
        <w:snapToGrid w:val="0"/>
        <w:spacing w:line="480" w:lineRule="auto"/>
        <w:contextualSpacing/>
        <w:rPr>
          <w:rFonts w:ascii="Times New Roman" w:hAnsi="Times New Roman" w:cs="Times New Roman"/>
          <w:sz w:val="24"/>
          <w:szCs w:val="24"/>
        </w:rPr>
      </w:pPr>
    </w:p>
    <w:p w14:paraId="7A8172D1" w14:textId="77777777" w:rsidR="006740C4" w:rsidRDefault="006740C4" w:rsidP="006740C4">
      <w:pPr>
        <w:widowControl/>
        <w:snapToGrid w:val="0"/>
        <w:spacing w:line="480" w:lineRule="auto"/>
        <w:contextualSpacing/>
        <w:rPr>
          <w:rFonts w:ascii="Times New Roman" w:hAnsi="Times New Roman" w:cs="Times New Roman"/>
          <w:b/>
          <w:bCs/>
          <w:sz w:val="24"/>
          <w:szCs w:val="24"/>
          <w:highlight w:val="yellow"/>
        </w:rPr>
      </w:pPr>
    </w:p>
    <w:p w14:paraId="531EC63E" w14:textId="77777777" w:rsidR="006740C4" w:rsidRPr="00906D7F" w:rsidRDefault="006740C4" w:rsidP="006740C4">
      <w:pPr>
        <w:widowControl/>
        <w:jc w:val="left"/>
        <w:rPr>
          <w:rFonts w:ascii="Times New Roman" w:hAnsi="Times New Roman" w:cs="Times New Roman"/>
          <w:b/>
          <w:bCs/>
          <w:sz w:val="24"/>
          <w:szCs w:val="24"/>
        </w:rPr>
      </w:pPr>
      <w:r w:rsidRPr="00906D7F">
        <w:rPr>
          <w:rFonts w:ascii="Times New Roman" w:hAnsi="Times New Roman" w:cs="Times New Roman"/>
          <w:b/>
          <w:bCs/>
          <w:sz w:val="24"/>
          <w:szCs w:val="24"/>
        </w:rPr>
        <w:br w:type="page"/>
      </w:r>
    </w:p>
    <w:p w14:paraId="5EA81E59" w14:textId="77777777" w:rsidR="006740C4" w:rsidRDefault="006740C4" w:rsidP="006740C4">
      <w:pPr>
        <w:widowControl/>
        <w:snapToGrid w:val="0"/>
        <w:spacing w:line="480" w:lineRule="auto"/>
        <w:contextualSpacing/>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2D77C06" wp14:editId="0FBDCC3F">
            <wp:extent cx="4072255" cy="6870700"/>
            <wp:effectExtent l="0" t="0" r="4445" b="0"/>
            <wp:docPr id="296811708" name="図 4"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11708" name="図 4" descr="ダイアグラム が含まれている画像&#10;&#10;自動的に生成された説明"/>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72255" cy="6870700"/>
                    </a:xfrm>
                    <a:prstGeom prst="rect">
                      <a:avLst/>
                    </a:prstGeom>
                    <a:noFill/>
                    <a:ln>
                      <a:noFill/>
                    </a:ln>
                  </pic:spPr>
                </pic:pic>
              </a:graphicData>
            </a:graphic>
          </wp:inline>
        </w:drawing>
      </w:r>
    </w:p>
    <w:p w14:paraId="72A136C3" w14:textId="77777777" w:rsidR="006740C4" w:rsidRDefault="006740C4" w:rsidP="006740C4">
      <w:pPr>
        <w:widowControl/>
        <w:snapToGrid w:val="0"/>
        <w:spacing w:line="480" w:lineRule="auto"/>
        <w:contextualSpacing/>
        <w:rPr>
          <w:rFonts w:ascii="Times New Roman" w:hAnsi="Times New Roman" w:cs="Times New Roman"/>
          <w:sz w:val="24"/>
          <w:szCs w:val="24"/>
        </w:rPr>
      </w:pPr>
      <w:r w:rsidRPr="00906D7F">
        <w:rPr>
          <w:rFonts w:ascii="Times New Roman" w:hAnsi="Times New Roman" w:cs="Times New Roman"/>
          <w:b/>
          <w:bCs/>
          <w:sz w:val="24"/>
          <w:szCs w:val="24"/>
        </w:rPr>
        <w:t>Table 2.</w:t>
      </w:r>
      <w:r w:rsidRPr="00906D7F">
        <w:rPr>
          <w:rFonts w:ascii="Times New Roman" w:hAnsi="Times New Roman" w:cs="Times New Roman"/>
          <w:sz w:val="24"/>
          <w:szCs w:val="24"/>
        </w:rPr>
        <w:t xml:space="preserve"> The Modified O’Driscoll histologic scoring scale for the evaluation of cartilage repair</w:t>
      </w:r>
      <w:r w:rsidRPr="00906D7F">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{"citationItems":[{"id":"ITEM-1","itemData":{"DOI":"10.1016/j.joca.2005.04.018","ISSN":"10634584","PMID":"15967685","abstract":"Objective: To investigate whether two different multiphasic implants could initiate and sustain repair of osteochondral defects in rabbits. The implants address the malleable properties of cartilage while also addressing the rigid characteristics of subchondral bone. Design: The bone region of both devices consisted of D, D - L, L-polylactic acid invested with hyaluronan (HY). The cartilage region of the first device was a polyelectrolytic complex (PEC) hydrogel of HY and chitosan. In the second device the cartilage region consisted of type I collagen scaffold. Eighteen rabbits were implanted bilaterally with a device, or underwent defect creation with no implant. At 24 weeks, regenerated tissues were evaluated grossly, histologically and via immunostaining for type II collagen. Results: PEC devices induced a significantly better repair than untreated shams. Collagen devices resulted in a quality of repair close to that of the PEC group, although its mean repair score (19.0 ± 4.2) did not differ significantly from that of the PEC group (20.4 ± 3.7) or the shams (16.5 ± 6.3). The percentage of hyaline-appearing cartilage in the repair was highest with collagen implants, while the degree of bonding of repair to the host, structural integrity of the neocartilage, and reconstitution of the subchondral bone was greatest with PEC devices. Cartilage in both device-treated sites stained positive for type II collagen and GAG. Conclusions: Both implants are capable of maintaining hyaline-appearing tissue at 24 weeks. The physicochemical region between the cartilage and bone compartments makes these devices well suited for delivery of different growth factors or drugs in each compartment, or different doses of the same factor. It also renders these devices excellent vehicles for chondrocyte or stem cell transplantation. © 2005 OsteoArthritis Research Society International. Published by Elsevier Ltd. All rights reserved.","author":[{"dropping-particle":"","family":"Frenkel","given":"Sally R.","non-dropping-particle":"","parse-names":false,"suffix":""},{"dropping-particle":"","family":"Bradica","given":"G.","non-dropping-particle":"","parse-names":false,"suffix":""},{"dropping-particle":"","family":"Brekke","given":"J. H.","non-dropping-particle":"","parse-names":false,"suffix":""},{"dropping-particle":"","family":"Goldman","given":"S. M.","non-dropping-particle":"","parse-names":false,"suffix":""},{"dropping-particle":"","family":"Ieska","given":"K.","non-dropping-particle":"","parse-names":false,"suffix":""},{"dropping-particle":"","family":"Issack","given":"P.","non-dropping-particle":"","parse-names":false,"suffix":""},{"dropping-particle":"","family":"Bong","given":"M. R.","non-dropping-particle":"","parse-names":false,"suffix":""},{"dropping-particle":"","family":"Tian","given":"H.","non-dropping-particle":"","parse-names":false,"suffix":""},{"dropping-particle":"","family":"Gokhale","given":"J.","non-dropping-particle":"","parse-names":false,"suffix":""},{"dropping-particle":"","family":"Coutts","given":"R. D.","non-dropping-particle":"","parse-names":false,"suffix":""},{"dropping-particle":"","family":"Kronengold","given":"R. T.","non-dropping-particle":"","parse-names":false,"suffix":""}],"container-title":"Osteoarthritis and Cartilage","id":"ITEM-1","issue":"9","issued":{"date-parts":[["2005"]]},"page":"798-807","title":"Regeneration of articular cartilage - Evaluation of osteochondral defect repair in the rabbit using multiphasic implants","type":"article-journal","volume":"13"},"uris":["http://www.mendeley.com/documents/?uuid=b49b2bef-8c36-4e4c-836d-1b0fef3d474c"]}],"mendeley":{"formattedCitation":"&lt;sup&gt;42&lt;/sup&gt;","plainTextFormattedCitation":"42","previouslyFormattedCitation":"&lt;sup&gt;41&lt;/sup&gt;"},"properties":{"noteIndex":0},"schema":"https://github.com/citation-style-language/schema/raw/master/csl-citation.json"}</w:instrText>
      </w:r>
      <w:r w:rsidRPr="00906D7F">
        <w:rPr>
          <w:rFonts w:ascii="Times New Roman" w:hAnsi="Times New Roman" w:cs="Times New Roman"/>
          <w:sz w:val="24"/>
          <w:szCs w:val="24"/>
        </w:rPr>
        <w:fldChar w:fldCharType="separate"/>
      </w:r>
      <w:r w:rsidRPr="00C6142F">
        <w:rPr>
          <w:rFonts w:ascii="Times New Roman" w:hAnsi="Times New Roman" w:cs="Times New Roman"/>
          <w:noProof/>
          <w:sz w:val="24"/>
          <w:szCs w:val="24"/>
          <w:vertAlign w:val="superscript"/>
        </w:rPr>
        <w:t>42</w:t>
      </w:r>
      <w:r w:rsidRPr="00906D7F">
        <w:rPr>
          <w:rFonts w:ascii="Times New Roman" w:hAnsi="Times New Roman" w:cs="Times New Roman"/>
          <w:sz w:val="24"/>
          <w:szCs w:val="24"/>
        </w:rPr>
        <w:fldChar w:fldCharType="end"/>
      </w:r>
    </w:p>
    <w:p w14:paraId="2DBECF67" w14:textId="77777777" w:rsidR="006740C4" w:rsidRPr="00C530E4" w:rsidRDefault="006740C4" w:rsidP="006740C4">
      <w:pPr>
        <w:widowControl/>
        <w:snapToGrid w:val="0"/>
        <w:spacing w:line="480" w:lineRule="auto"/>
        <w:contextualSpacing/>
        <w:rPr>
          <w:rFonts w:ascii="Times New Roman" w:hAnsi="Times New Roman" w:cs="Times New Roman"/>
          <w:sz w:val="24"/>
          <w:szCs w:val="24"/>
        </w:rPr>
      </w:pPr>
    </w:p>
    <w:p w14:paraId="595E2F0D"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0C4"/>
    <w:rsid w:val="00154F74"/>
    <w:rsid w:val="001C76BA"/>
    <w:rsid w:val="004851C2"/>
    <w:rsid w:val="006740C4"/>
    <w:rsid w:val="00773130"/>
    <w:rsid w:val="007C0944"/>
    <w:rsid w:val="008A5F7E"/>
    <w:rsid w:val="008F1202"/>
    <w:rsid w:val="00E01876"/>
    <w:rsid w:val="00E12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4F2E8"/>
  <w15:chartTrackingRefBased/>
  <w15:docId w15:val="{6B27DE9B-D498-4714-B035-085E93835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0C4"/>
    <w:pPr>
      <w:widowControl w:val="0"/>
      <w:spacing w:after="0" w:line="240" w:lineRule="auto"/>
      <w:jc w:val="both"/>
    </w:pPr>
    <w:rPr>
      <w:rFonts w:eastAsiaTheme="minorEastAsia"/>
      <w:sz w:val="21"/>
      <w:lang w:eastAsia="ja-JP"/>
      <w14:ligatures w14:val="none"/>
    </w:rPr>
  </w:style>
  <w:style w:type="paragraph" w:styleId="Heading1">
    <w:name w:val="heading 1"/>
    <w:basedOn w:val="Normal"/>
    <w:next w:val="Normal"/>
    <w:link w:val="Heading1Char"/>
    <w:uiPriority w:val="9"/>
    <w:qFormat/>
    <w:rsid w:val="006740C4"/>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740C4"/>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740C4"/>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740C4"/>
    <w:pPr>
      <w:keepNext/>
      <w:keepLines/>
      <w:widowControl/>
      <w:spacing w:before="80" w:after="40" w:line="259" w:lineRule="auto"/>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6740C4"/>
    <w:pPr>
      <w:keepNext/>
      <w:keepLines/>
      <w:widowControl/>
      <w:spacing w:before="80" w:after="40" w:line="259" w:lineRule="auto"/>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6740C4"/>
    <w:pPr>
      <w:keepNext/>
      <w:keepLines/>
      <w:widowControl/>
      <w:spacing w:before="40" w:line="259" w:lineRule="auto"/>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6740C4"/>
    <w:pPr>
      <w:keepNext/>
      <w:keepLines/>
      <w:widowControl/>
      <w:spacing w:before="40" w:line="259" w:lineRule="auto"/>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6740C4"/>
    <w:pPr>
      <w:keepNext/>
      <w:keepLines/>
      <w:widowControl/>
      <w:spacing w:line="259" w:lineRule="auto"/>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6740C4"/>
    <w:pPr>
      <w:keepNext/>
      <w:keepLines/>
      <w:widowControl/>
      <w:spacing w:line="259" w:lineRule="auto"/>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0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40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40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0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0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0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0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0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0C4"/>
    <w:rPr>
      <w:rFonts w:eastAsiaTheme="majorEastAsia" w:cstheme="majorBidi"/>
      <w:color w:val="272727" w:themeColor="text1" w:themeTint="D8"/>
    </w:rPr>
  </w:style>
  <w:style w:type="paragraph" w:styleId="Title">
    <w:name w:val="Title"/>
    <w:basedOn w:val="Normal"/>
    <w:next w:val="Normal"/>
    <w:link w:val="TitleChar"/>
    <w:uiPriority w:val="10"/>
    <w:qFormat/>
    <w:rsid w:val="006740C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740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0C4"/>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6740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0C4"/>
    <w:pPr>
      <w:widowControl/>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6740C4"/>
    <w:rPr>
      <w:i/>
      <w:iCs/>
      <w:color w:val="404040" w:themeColor="text1" w:themeTint="BF"/>
    </w:rPr>
  </w:style>
  <w:style w:type="paragraph" w:styleId="ListParagraph">
    <w:name w:val="List Paragraph"/>
    <w:basedOn w:val="Normal"/>
    <w:uiPriority w:val="34"/>
    <w:qFormat/>
    <w:rsid w:val="006740C4"/>
    <w:pPr>
      <w:widowControl/>
      <w:spacing w:after="160" w:line="259" w:lineRule="auto"/>
      <w:ind w:left="72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6740C4"/>
    <w:rPr>
      <w:i/>
      <w:iCs/>
      <w:color w:val="0F4761" w:themeColor="accent1" w:themeShade="BF"/>
    </w:rPr>
  </w:style>
  <w:style w:type="paragraph" w:styleId="IntenseQuote">
    <w:name w:val="Intense Quote"/>
    <w:basedOn w:val="Normal"/>
    <w:next w:val="Normal"/>
    <w:link w:val="IntenseQuoteChar"/>
    <w:uiPriority w:val="30"/>
    <w:qFormat/>
    <w:rsid w:val="006740C4"/>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6740C4"/>
    <w:rPr>
      <w:i/>
      <w:iCs/>
      <w:color w:val="0F4761" w:themeColor="accent1" w:themeShade="BF"/>
    </w:rPr>
  </w:style>
  <w:style w:type="character" w:styleId="IntenseReference">
    <w:name w:val="Intense Reference"/>
    <w:basedOn w:val="DefaultParagraphFont"/>
    <w:uiPriority w:val="32"/>
    <w:qFormat/>
    <w:rsid w:val="006740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3599</Characters>
  <Application>Microsoft Office Word</Application>
  <DocSecurity>0</DocSecurity>
  <Lines>29</Lines>
  <Paragraphs>8</Paragraphs>
  <ScaleCrop>false</ScaleCrop>
  <Company>SpringerNature</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2024-07-24T14:47:00Z</dcterms:created>
  <dcterms:modified xsi:type="dcterms:W3CDTF">2024-07-24T14:47:00Z</dcterms:modified>
</cp:coreProperties>
</file>