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2CF3B" w14:textId="422B49E5" w:rsidR="008E3B54" w:rsidRPr="007C7D67" w:rsidRDefault="00000000">
      <w:pPr>
        <w:pBdr>
          <w:top w:val="nil"/>
          <w:left w:val="nil"/>
          <w:bottom w:val="nil"/>
          <w:right w:val="nil"/>
          <w:between w:val="nil"/>
        </w:pBdr>
        <w:spacing w:line="288"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sz w:val="28"/>
          <w:szCs w:val="28"/>
        </w:rPr>
        <w:t>Direct long-read RNA sequencing uncovers functional variation affecting transcript production and RNA modifications.</w:t>
      </w:r>
    </w:p>
    <w:p w14:paraId="3C44E147" w14:textId="77777777" w:rsidR="008E3B54" w:rsidRDefault="00000000">
      <w:pPr>
        <w:pStyle w:val="Heading2"/>
        <w:spacing w:after="140" w:line="276" w:lineRule="auto"/>
        <w:jc w:val="both"/>
      </w:pPr>
      <w:bookmarkStart w:id="0" w:name="_heading=h.sldhq0ymuf" w:colFirst="0" w:colLast="0"/>
      <w:bookmarkEnd w:id="0"/>
      <w:r>
        <w:t>Supplementary figures:</w:t>
      </w:r>
    </w:p>
    <w:p w14:paraId="39832846" w14:textId="77777777" w:rsidR="008E3B54" w:rsidRDefault="00000000">
      <w:pPr>
        <w:spacing w:before="28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inline distT="114300" distB="114300" distL="114300" distR="114300" wp14:anchorId="1C0EDE21" wp14:editId="016C6AB7">
            <wp:extent cx="4482465" cy="6329826"/>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4482465" cy="6329826"/>
                    </a:xfrm>
                    <a:prstGeom prst="rect">
                      <a:avLst/>
                    </a:prstGeom>
                    <a:ln/>
                  </pic:spPr>
                </pic:pic>
              </a:graphicData>
            </a:graphic>
          </wp:inline>
        </w:drawing>
      </w:r>
    </w:p>
    <w:p w14:paraId="77ACEA35" w14:textId="77777777" w:rsidR="008E3B54" w:rsidRDefault="00000000">
      <w:pPr>
        <w:spacing w:before="28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S1: Quality control and summary statistics of the DRS data.</w:t>
      </w:r>
    </w:p>
    <w:p w14:paraId="3FA1D8DB"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Schematic representation of the RNA splicing steps (left) and the two layers of phenotypes produced by sequencing methods such as gene-level quantification and transcript quantification (right). Every box represents a different exon, where grey boxes represent sequencing reads. </w:t>
      </w:r>
      <w:r>
        <w:rPr>
          <w:rFonts w:ascii="Times New Roman" w:eastAsia="Times New Roman" w:hAnsi="Times New Roman" w:cs="Times New Roman"/>
          <w:b/>
          <w:bCs/>
          <w:sz w:val="22"/>
          <w:szCs w:val="22"/>
        </w:rPr>
        <w:t xml:space="preserve">(B) </w:t>
      </w:r>
      <w:r>
        <w:rPr>
          <w:rFonts w:ascii="Times New Roman" w:eastAsia="Times New Roman" w:hAnsi="Times New Roman" w:cs="Times New Roman"/>
          <w:sz w:val="22"/>
          <w:szCs w:val="22"/>
        </w:rPr>
        <w:t xml:space="preserve">Histograms with the median number of reads (orange),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median read length (red), and </w:t>
      </w:r>
      <w:r>
        <w:rPr>
          <w:rFonts w:ascii="Times New Roman" w:eastAsia="Times New Roman" w:hAnsi="Times New Roman" w:cs="Times New Roman"/>
          <w:b/>
          <w:bCs/>
          <w:sz w:val="22"/>
          <w:szCs w:val="22"/>
        </w:rPr>
        <w:t xml:space="preserve">(D) </w:t>
      </w:r>
      <w:r>
        <w:rPr>
          <w:rFonts w:ascii="Times New Roman" w:eastAsia="Times New Roman" w:hAnsi="Times New Roman" w:cs="Times New Roman"/>
          <w:sz w:val="22"/>
          <w:szCs w:val="22"/>
        </w:rPr>
        <w:t xml:space="preserve">median read quality (green) across the DRS data from all 60 LCL samples. </w:t>
      </w:r>
      <w:r>
        <w:rPr>
          <w:rFonts w:ascii="Times New Roman" w:eastAsia="Times New Roman" w:hAnsi="Times New Roman" w:cs="Times New Roman"/>
          <w:b/>
          <w:bCs/>
          <w:sz w:val="22"/>
          <w:szCs w:val="22"/>
        </w:rPr>
        <w:t>(E)</w:t>
      </w:r>
      <w:sdt>
        <w:sdtPr>
          <w:tag w:val="goog_rdk_1"/>
          <w:id w:val="1952456473"/>
        </w:sdtPr>
        <w:sdtContent>
          <w:r>
            <w:rPr>
              <w:rFonts w:ascii="Cardo" w:eastAsia="Cardo" w:hAnsi="Cardo" w:cs="Cardo"/>
              <w:sz w:val="22"/>
              <w:szCs w:val="22"/>
            </w:rPr>
            <w:t xml:space="preserve"> </w:t>
          </w:r>
          <w:proofErr w:type="gramStart"/>
          <w:r>
            <w:rPr>
              <w:rFonts w:ascii="Cardo" w:eastAsia="Cardo" w:hAnsi="Cardo" w:cs="Cardo"/>
              <w:sz w:val="22"/>
              <w:szCs w:val="22"/>
            </w:rPr>
            <w:t>Scatter-plot</w:t>
          </w:r>
          <w:proofErr w:type="gramEnd"/>
          <w:r>
            <w:rPr>
              <w:rFonts w:ascii="Cardo" w:eastAsia="Cardo" w:hAnsi="Cardo" w:cs="Cardo"/>
              <w:sz w:val="22"/>
              <w:szCs w:val="22"/>
            </w:rPr>
            <w:t xml:space="preserve"> comparing the number of raw and aligned reads in the 60 LCL samples. A median of 96.3% of raw reads was mapped correctly to the Reference Genome (GRCh37) </w:t>
          </w:r>
          <w:r>
            <w:rPr>
              <w:rFonts w:ascii="Cardo" w:eastAsia="Cardo" w:hAnsi="Cardo" w:cs="Cardo"/>
              <w:sz w:val="22"/>
              <w:szCs w:val="22"/>
            </w:rPr>
            <w:lastRenderedPageBreak/>
            <w:t xml:space="preserve">with a Spearman correlation of ⍴ = 0.98. </w:t>
          </w:r>
        </w:sdtContent>
      </w:sdt>
      <w:r>
        <w:rPr>
          <w:rFonts w:ascii="Times New Roman" w:eastAsia="Times New Roman" w:hAnsi="Times New Roman" w:cs="Times New Roman"/>
          <w:b/>
          <w:bCs/>
          <w:sz w:val="22"/>
          <w:szCs w:val="22"/>
        </w:rPr>
        <w:t>(F)</w:t>
      </w:r>
      <w:r>
        <w:rPr>
          <w:rFonts w:ascii="Times New Roman" w:eastAsia="Times New Roman" w:hAnsi="Times New Roman" w:cs="Times New Roman"/>
          <w:sz w:val="22"/>
          <w:szCs w:val="22"/>
        </w:rPr>
        <w:t xml:space="preserve"> Density plot comparing the log</w:t>
      </w:r>
      <w:r>
        <w:rPr>
          <w:rFonts w:ascii="Times New Roman" w:eastAsia="Times New Roman" w:hAnsi="Times New Roman" w:cs="Times New Roman"/>
          <w:sz w:val="22"/>
          <w:szCs w:val="22"/>
          <w:vertAlign w:val="subscript"/>
        </w:rPr>
        <w:t>10</w:t>
      </w:r>
      <w:r>
        <w:rPr>
          <w:rFonts w:ascii="Times New Roman" w:eastAsia="Times New Roman" w:hAnsi="Times New Roman" w:cs="Times New Roman"/>
          <w:sz w:val="22"/>
          <w:szCs w:val="22"/>
        </w:rPr>
        <w:t xml:space="preserve"> gene and transcript expression detected with DRS and short-reads technology.</w:t>
      </w:r>
    </w:p>
    <w:p w14:paraId="3F092F16" w14:textId="77777777" w:rsidR="008E3B54" w:rsidRDefault="008E3B54">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p>
    <w:p w14:paraId="5E603D8D" w14:textId="77777777" w:rsidR="008E3B54" w:rsidRDefault="00000000">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37468FF9" wp14:editId="290E24B8">
            <wp:extent cx="5038725" cy="711533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038725" cy="7115338"/>
                    </a:xfrm>
                    <a:prstGeom prst="rect">
                      <a:avLst/>
                    </a:prstGeom>
                    <a:ln/>
                  </pic:spPr>
                </pic:pic>
              </a:graphicData>
            </a:graphic>
          </wp:inline>
        </w:drawing>
      </w:r>
    </w:p>
    <w:p w14:paraId="2D262CE8"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S2: Distribution of annotated and novel transcripts across the LCL population.</w:t>
      </w:r>
    </w:p>
    <w:p w14:paraId="2C957C3A"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(A) </w:t>
      </w:r>
      <w:r>
        <w:rPr>
          <w:rFonts w:ascii="Times New Roman" w:eastAsia="Times New Roman" w:hAnsi="Times New Roman" w:cs="Times New Roman"/>
          <w:sz w:val="22"/>
          <w:szCs w:val="22"/>
        </w:rPr>
        <w:t xml:space="preserve">Histogram comparing the expression of annotated (orange) and novel (green) transcripts in the 60 LCLs samples sequence with DRS (Wilcoxon </w:t>
      </w:r>
      <w:proofErr w:type="spellStart"/>
      <w:r>
        <w:rPr>
          <w:rFonts w:ascii="Times New Roman" w:eastAsia="Times New Roman" w:hAnsi="Times New Roman" w:cs="Times New Roman"/>
          <w:i/>
          <w:iCs/>
          <w:sz w:val="22"/>
          <w:szCs w:val="22"/>
        </w:rPr>
        <w:t>pvalue</w:t>
      </w:r>
      <w:proofErr w:type="spellEnd"/>
      <w:r>
        <w:rPr>
          <w:rFonts w:ascii="Times New Roman" w:eastAsia="Times New Roman" w:hAnsi="Times New Roman" w:cs="Times New Roman"/>
          <w:sz w:val="22"/>
          <w:szCs w:val="22"/>
        </w:rPr>
        <w:t>=1e</w:t>
      </w:r>
      <w:r>
        <w:rPr>
          <w:rFonts w:ascii="Times New Roman" w:eastAsia="Times New Roman" w:hAnsi="Times New Roman" w:cs="Times New Roman"/>
          <w:sz w:val="22"/>
          <w:szCs w:val="22"/>
          <w:vertAlign w:val="superscript"/>
        </w:rPr>
        <w:t>-296</w:t>
      </w:r>
      <w:r>
        <w:rPr>
          <w:rFonts w:ascii="Times New Roman" w:eastAsia="Times New Roman" w:hAnsi="Times New Roman" w:cs="Times New Roman"/>
          <w:sz w:val="22"/>
          <w:szCs w:val="22"/>
        </w:rPr>
        <w:t>). (B-D) Violin plots showing the log</w:t>
      </w:r>
      <w:r>
        <w:rPr>
          <w:rFonts w:ascii="Times New Roman" w:eastAsia="Times New Roman" w:hAnsi="Times New Roman" w:cs="Times New Roman"/>
          <w:sz w:val="22"/>
          <w:szCs w:val="22"/>
          <w:vertAlign w:val="subscript"/>
        </w:rPr>
        <w:t>10</w:t>
      </w:r>
      <w:r>
        <w:rPr>
          <w:rFonts w:ascii="Times New Roman" w:eastAsia="Times New Roman" w:hAnsi="Times New Roman" w:cs="Times New Roman"/>
          <w:sz w:val="22"/>
          <w:szCs w:val="22"/>
        </w:rPr>
        <w:t xml:space="preserve"> transcripts per million (TPM) gene expression values versus the number of </w:t>
      </w:r>
      <w:r>
        <w:rPr>
          <w:rFonts w:ascii="Times New Roman" w:eastAsia="Times New Roman" w:hAnsi="Times New Roman" w:cs="Times New Roman"/>
          <w:b/>
          <w:bCs/>
          <w:sz w:val="22"/>
          <w:szCs w:val="22"/>
        </w:rPr>
        <w:t xml:space="preserve">(B) </w:t>
      </w:r>
      <w:r>
        <w:rPr>
          <w:rFonts w:ascii="Times New Roman" w:eastAsia="Times New Roman" w:hAnsi="Times New Roman" w:cs="Times New Roman"/>
          <w:sz w:val="22"/>
          <w:szCs w:val="22"/>
        </w:rPr>
        <w:t xml:space="preserve">annotated transcripts (orange),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novel transcripts (dark green), and </w:t>
      </w:r>
      <w:r>
        <w:rPr>
          <w:rFonts w:ascii="Times New Roman" w:eastAsia="Times New Roman" w:hAnsi="Times New Roman" w:cs="Times New Roman"/>
          <w:b/>
          <w:bCs/>
          <w:sz w:val="22"/>
          <w:szCs w:val="22"/>
        </w:rPr>
        <w:t xml:space="preserve">(D) </w:t>
      </w:r>
      <w:r>
        <w:rPr>
          <w:rFonts w:ascii="Times New Roman" w:eastAsia="Times New Roman" w:hAnsi="Times New Roman" w:cs="Times New Roman"/>
          <w:sz w:val="22"/>
          <w:szCs w:val="22"/>
        </w:rPr>
        <w:t>total transcripts (red) per each gene; every black dot is a gene.</w:t>
      </w:r>
    </w:p>
    <w:p w14:paraId="7DCB7C88" w14:textId="77777777" w:rsidR="008E3B54" w:rsidRDefault="008E3B54">
      <w:pPr>
        <w:spacing w:line="276" w:lineRule="auto"/>
        <w:jc w:val="both"/>
        <w:rPr>
          <w:rFonts w:ascii="Arial" w:eastAsia="Arial" w:hAnsi="Arial" w:cs="Arial"/>
          <w:sz w:val="22"/>
          <w:szCs w:val="22"/>
        </w:rPr>
      </w:pPr>
    </w:p>
    <w:p w14:paraId="027567D8" w14:textId="77777777" w:rsidR="008E3B54" w:rsidRDefault="008E3B54">
      <w:pPr>
        <w:spacing w:line="276" w:lineRule="auto"/>
        <w:jc w:val="both"/>
        <w:rPr>
          <w:rFonts w:ascii="Arial" w:eastAsia="Arial" w:hAnsi="Arial" w:cs="Arial"/>
          <w:sz w:val="22"/>
          <w:szCs w:val="22"/>
        </w:rPr>
      </w:pPr>
    </w:p>
    <w:p w14:paraId="6D1D754D" w14:textId="77777777" w:rsidR="008E3B54" w:rsidRDefault="00000000">
      <w:pPr>
        <w:spacing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1EA35CF2" wp14:editId="7C3168EE">
            <wp:extent cx="5259705" cy="6048213"/>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259705" cy="6048213"/>
                    </a:xfrm>
                    <a:prstGeom prst="rect">
                      <a:avLst/>
                    </a:prstGeom>
                    <a:ln/>
                  </pic:spPr>
                </pic:pic>
              </a:graphicData>
            </a:graphic>
          </wp:inline>
        </w:drawing>
      </w:r>
    </w:p>
    <w:p w14:paraId="1E29EEC8" w14:textId="77777777" w:rsidR="008E3B54" w:rsidRDefault="008E3B54">
      <w:pPr>
        <w:spacing w:line="276" w:lineRule="auto"/>
        <w:jc w:val="both"/>
        <w:rPr>
          <w:rFonts w:ascii="Arial" w:eastAsia="Arial" w:hAnsi="Arial" w:cs="Arial"/>
          <w:sz w:val="22"/>
          <w:szCs w:val="22"/>
        </w:rPr>
      </w:pPr>
    </w:p>
    <w:p w14:paraId="49BA36F6"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S3: Characteristics of transcripts on protein-coding and lincRNA genes tested for </w:t>
      </w:r>
      <w:proofErr w:type="spellStart"/>
      <w:r>
        <w:rPr>
          <w:rFonts w:ascii="Times New Roman" w:eastAsia="Times New Roman" w:hAnsi="Times New Roman" w:cs="Times New Roman"/>
          <w:b/>
          <w:bCs/>
          <w:sz w:val="22"/>
          <w:szCs w:val="22"/>
        </w:rPr>
        <w:t>eQTL</w:t>
      </w:r>
      <w:proofErr w:type="spellEnd"/>
      <w:r>
        <w:rPr>
          <w:rFonts w:ascii="Times New Roman" w:eastAsia="Times New Roman" w:hAnsi="Times New Roman" w:cs="Times New Roman"/>
          <w:b/>
          <w:bCs/>
          <w:sz w:val="22"/>
          <w:szCs w:val="22"/>
        </w:rPr>
        <w:t xml:space="preserve"> analysis.</w:t>
      </w:r>
    </w:p>
    <w:p w14:paraId="07DB6013"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Histogram showing the difference in distribution of annotated (orange) and novel (green) isoforms expressing at least five transcripts per million (TPM) in at least one sample in the LCLs population (Wilcoxon </w:t>
      </w:r>
      <w:proofErr w:type="spellStart"/>
      <w:r>
        <w:rPr>
          <w:rFonts w:ascii="Times New Roman" w:eastAsia="Times New Roman" w:hAnsi="Times New Roman" w:cs="Times New Roman"/>
          <w:i/>
          <w:iCs/>
          <w:sz w:val="22"/>
          <w:szCs w:val="22"/>
        </w:rPr>
        <w:t>pvalue</w:t>
      </w:r>
      <w:proofErr w:type="spellEnd"/>
      <w:r>
        <w:rPr>
          <w:rFonts w:ascii="Times New Roman" w:eastAsia="Times New Roman" w:hAnsi="Times New Roman" w:cs="Times New Roman"/>
          <w:sz w:val="22"/>
          <w:szCs w:val="22"/>
        </w:rPr>
        <w:t>= 1e</w:t>
      </w:r>
      <w:r>
        <w:rPr>
          <w:rFonts w:ascii="Times New Roman" w:eastAsia="Times New Roman" w:hAnsi="Times New Roman" w:cs="Times New Roman"/>
          <w:sz w:val="22"/>
          <w:szCs w:val="22"/>
          <w:vertAlign w:val="superscript"/>
        </w:rPr>
        <w:t>-296</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(B)</w:t>
      </w:r>
      <w:r>
        <w:rPr>
          <w:rFonts w:ascii="Times New Roman" w:eastAsia="Times New Roman" w:hAnsi="Times New Roman" w:cs="Times New Roman"/>
          <w:sz w:val="22"/>
          <w:szCs w:val="22"/>
        </w:rPr>
        <w:t xml:space="preserve"> Histogram for transcripts expression (TPMs) grouped by gene categories: in yellow, 4,422 transcripts expressed by genes with no novel transcripts detected; in azure, 5,285 transcripts expressed by genes that have only novel transcripts detected; in orange, 14,135 transcripts expressed by genes with both annotated and novel transcripts; and in dark blue, 24,839 transcripts expressed by the same gene as the orange category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Histogram showing the different expression of genes (in TPM) with a dominant transcript (dark green) compared to genes without a dominant transcript (purple) (Wilcoxon </w:t>
      </w:r>
      <w:proofErr w:type="spellStart"/>
      <w:r>
        <w:rPr>
          <w:rFonts w:ascii="Times New Roman" w:eastAsia="Times New Roman" w:hAnsi="Times New Roman" w:cs="Times New Roman"/>
          <w:i/>
          <w:iCs/>
          <w:sz w:val="22"/>
          <w:szCs w:val="22"/>
        </w:rPr>
        <w:t>pvalue</w:t>
      </w:r>
      <w:proofErr w:type="spellEnd"/>
      <w:r>
        <w:rPr>
          <w:rFonts w:ascii="Times New Roman" w:eastAsia="Times New Roman" w:hAnsi="Times New Roman" w:cs="Times New Roman"/>
          <w:sz w:val="22"/>
          <w:szCs w:val="22"/>
        </w:rPr>
        <w:t xml:space="preserve"> = 1e</w:t>
      </w:r>
      <w:r>
        <w:rPr>
          <w:rFonts w:ascii="Times New Roman" w:eastAsia="Times New Roman" w:hAnsi="Times New Roman" w:cs="Times New Roman"/>
          <w:sz w:val="22"/>
          <w:szCs w:val="22"/>
          <w:vertAlign w:val="superscript"/>
        </w:rPr>
        <w:t>-296</w:t>
      </w:r>
      <w:r>
        <w:rPr>
          <w:rFonts w:ascii="Times New Roman" w:eastAsia="Times New Roman" w:hAnsi="Times New Roman" w:cs="Times New Roman"/>
          <w:sz w:val="22"/>
          <w:szCs w:val="22"/>
        </w:rPr>
        <w:t>). (D-F) Histograms showing the distribution of the log</w:t>
      </w:r>
      <w:r>
        <w:rPr>
          <w:rFonts w:ascii="Times New Roman" w:eastAsia="Times New Roman" w:hAnsi="Times New Roman" w:cs="Times New Roman"/>
          <w:sz w:val="22"/>
          <w:szCs w:val="22"/>
          <w:vertAlign w:val="subscript"/>
        </w:rPr>
        <w:t>10</w:t>
      </w:r>
      <w:r>
        <w:rPr>
          <w:rFonts w:ascii="Times New Roman" w:eastAsia="Times New Roman" w:hAnsi="Times New Roman" w:cs="Times New Roman"/>
          <w:sz w:val="22"/>
          <w:szCs w:val="22"/>
        </w:rPr>
        <w:t xml:space="preserve"> gene expression in TPMs detected with DRS for all the protein-coding and lincRNAs tested in </w:t>
      </w:r>
      <w:r>
        <w:rPr>
          <w:rFonts w:ascii="Times New Roman" w:eastAsia="Times New Roman" w:hAnsi="Times New Roman" w:cs="Times New Roman"/>
          <w:b/>
          <w:bCs/>
          <w:sz w:val="22"/>
          <w:szCs w:val="22"/>
        </w:rPr>
        <w:t>(D)</w:t>
      </w:r>
      <w:r>
        <w:rPr>
          <w:rFonts w:ascii="Times New Roman" w:eastAsia="Times New Roman" w:hAnsi="Times New Roman" w:cs="Times New Roman"/>
          <w:sz w:val="22"/>
          <w:szCs w:val="22"/>
        </w:rPr>
        <w:t xml:space="preserve"> genes tested for </w:t>
      </w:r>
      <w:proofErr w:type="spellStart"/>
      <w:r>
        <w:rPr>
          <w:rFonts w:ascii="Times New Roman" w:eastAsia="Times New Roman" w:hAnsi="Times New Roman" w:cs="Times New Roman"/>
          <w:sz w:val="22"/>
          <w:szCs w:val="22"/>
        </w:rPr>
        <w:t>eQTL</w:t>
      </w:r>
      <w:proofErr w:type="spellEnd"/>
      <w:r>
        <w:rPr>
          <w:rFonts w:ascii="Times New Roman" w:eastAsia="Times New Roman" w:hAnsi="Times New Roman" w:cs="Times New Roman"/>
          <w:sz w:val="22"/>
          <w:szCs w:val="22"/>
        </w:rPr>
        <w:t xml:space="preserve"> (red), </w:t>
      </w:r>
      <w:r>
        <w:rPr>
          <w:rFonts w:ascii="Times New Roman" w:eastAsia="Times New Roman" w:hAnsi="Times New Roman" w:cs="Times New Roman"/>
          <w:b/>
          <w:bCs/>
          <w:sz w:val="22"/>
          <w:szCs w:val="22"/>
        </w:rPr>
        <w:t>(E)</w:t>
      </w:r>
      <w:r>
        <w:rPr>
          <w:rFonts w:ascii="Times New Roman" w:eastAsia="Times New Roman" w:hAnsi="Times New Roman" w:cs="Times New Roman"/>
          <w:sz w:val="22"/>
          <w:szCs w:val="22"/>
        </w:rPr>
        <w:t xml:space="preserve"> for genes not significant for </w:t>
      </w:r>
      <w:proofErr w:type="spellStart"/>
      <w:r>
        <w:rPr>
          <w:rFonts w:ascii="Times New Roman" w:eastAsia="Times New Roman" w:hAnsi="Times New Roman" w:cs="Times New Roman"/>
          <w:sz w:val="22"/>
          <w:szCs w:val="22"/>
        </w:rPr>
        <w:t>eQTLs</w:t>
      </w:r>
      <w:proofErr w:type="spellEnd"/>
      <w:r>
        <w:rPr>
          <w:rFonts w:ascii="Times New Roman" w:eastAsia="Times New Roman" w:hAnsi="Times New Roman" w:cs="Times New Roman"/>
          <w:sz w:val="22"/>
          <w:szCs w:val="22"/>
        </w:rPr>
        <w:t xml:space="preserve"> (non </w:t>
      </w:r>
      <w:proofErr w:type="spellStart"/>
      <w:r>
        <w:rPr>
          <w:rFonts w:ascii="Times New Roman" w:eastAsia="Times New Roman" w:hAnsi="Times New Roman" w:cs="Times New Roman"/>
          <w:sz w:val="22"/>
          <w:szCs w:val="22"/>
        </w:rPr>
        <w:t>eGene</w:t>
      </w:r>
      <w:proofErr w:type="spellEnd"/>
      <w:r>
        <w:rPr>
          <w:rFonts w:ascii="Times New Roman" w:eastAsia="Times New Roman" w:hAnsi="Times New Roman" w:cs="Times New Roman"/>
          <w:sz w:val="22"/>
          <w:szCs w:val="22"/>
        </w:rPr>
        <w:t xml:space="preserve">, grey), and </w:t>
      </w:r>
      <w:r>
        <w:rPr>
          <w:rFonts w:ascii="Times New Roman" w:eastAsia="Times New Roman" w:hAnsi="Times New Roman" w:cs="Times New Roman"/>
          <w:b/>
          <w:bCs/>
          <w:sz w:val="22"/>
          <w:szCs w:val="22"/>
        </w:rPr>
        <w:t xml:space="preserve">(F) </w:t>
      </w:r>
      <w:r>
        <w:rPr>
          <w:rFonts w:ascii="Times New Roman" w:eastAsia="Times New Roman" w:hAnsi="Times New Roman" w:cs="Times New Roman"/>
          <w:sz w:val="22"/>
          <w:szCs w:val="22"/>
        </w:rPr>
        <w:t xml:space="preserve">for </w:t>
      </w:r>
      <w:proofErr w:type="spellStart"/>
      <w:r>
        <w:rPr>
          <w:rFonts w:ascii="Times New Roman" w:eastAsia="Times New Roman" w:hAnsi="Times New Roman" w:cs="Times New Roman"/>
          <w:sz w:val="22"/>
          <w:szCs w:val="22"/>
        </w:rPr>
        <w:t>eGenes</w:t>
      </w:r>
      <w:proofErr w:type="spellEnd"/>
      <w:r>
        <w:rPr>
          <w:rFonts w:ascii="Times New Roman" w:eastAsia="Times New Roman" w:hAnsi="Times New Roman" w:cs="Times New Roman"/>
          <w:sz w:val="22"/>
          <w:szCs w:val="22"/>
        </w:rPr>
        <w:t xml:space="preserve"> significantly associated with a SNP at FDR 5% (light Blue).</w:t>
      </w:r>
    </w:p>
    <w:p w14:paraId="0601712D" w14:textId="77777777" w:rsidR="008E3B54" w:rsidRDefault="008E3B54">
      <w:pPr>
        <w:spacing w:line="276" w:lineRule="auto"/>
        <w:jc w:val="both"/>
        <w:rPr>
          <w:rFonts w:ascii="Arial" w:eastAsia="Arial" w:hAnsi="Arial" w:cs="Arial"/>
          <w:sz w:val="22"/>
          <w:szCs w:val="22"/>
        </w:rPr>
      </w:pPr>
    </w:p>
    <w:p w14:paraId="005F8EA3" w14:textId="77777777" w:rsidR="008E3B54" w:rsidRDefault="008E3B54">
      <w:pPr>
        <w:spacing w:line="276" w:lineRule="auto"/>
        <w:jc w:val="both"/>
        <w:rPr>
          <w:rFonts w:ascii="Arial" w:eastAsia="Arial" w:hAnsi="Arial" w:cs="Arial"/>
          <w:sz w:val="22"/>
          <w:szCs w:val="22"/>
        </w:rPr>
      </w:pPr>
    </w:p>
    <w:p w14:paraId="6CEFBB09" w14:textId="77777777" w:rsidR="008E3B54" w:rsidRDefault="00000000">
      <w:pPr>
        <w:spacing w:line="276" w:lineRule="auto"/>
        <w:jc w:val="both"/>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0E937B6F" wp14:editId="4AF3064C">
            <wp:extent cx="5828348" cy="540074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828348" cy="5400749"/>
                    </a:xfrm>
                    <a:prstGeom prst="rect">
                      <a:avLst/>
                    </a:prstGeom>
                    <a:ln/>
                  </pic:spPr>
                </pic:pic>
              </a:graphicData>
            </a:graphic>
          </wp:inline>
        </w:drawing>
      </w:r>
    </w:p>
    <w:p w14:paraId="43E72E79"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S4: SNP-gene overlap between datasets obtained with different technologies and QTLs characteristics.</w:t>
      </w:r>
    </w:p>
    <w:p w14:paraId="16EEB6E5"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(A) </w:t>
      </w:r>
      <w:r>
        <w:rPr>
          <w:rFonts w:ascii="Times New Roman" w:eastAsia="Times New Roman" w:hAnsi="Times New Roman" w:cs="Times New Roman"/>
          <w:sz w:val="22"/>
          <w:szCs w:val="22"/>
        </w:rPr>
        <w:t xml:space="preserve">Venn diagram reporting the number of genes with significant </w:t>
      </w:r>
      <w:proofErr w:type="spellStart"/>
      <w:r>
        <w:rPr>
          <w:rFonts w:ascii="Times New Roman" w:eastAsia="Times New Roman" w:hAnsi="Times New Roman" w:cs="Times New Roman"/>
          <w:sz w:val="22"/>
          <w:szCs w:val="22"/>
        </w:rPr>
        <w:t>eQTLs</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eGene</w:t>
      </w:r>
      <w:proofErr w:type="spellEnd"/>
      <w:r>
        <w:rPr>
          <w:rFonts w:ascii="Times New Roman" w:eastAsia="Times New Roman" w:hAnsi="Times New Roman" w:cs="Times New Roman"/>
          <w:sz w:val="22"/>
          <w:szCs w:val="22"/>
        </w:rPr>
        <w:t xml:space="preserve">) that overlap between the datasets generated with DRS (red), </w:t>
      </w:r>
      <w:proofErr w:type="gramStart"/>
      <w:r>
        <w:rPr>
          <w:rFonts w:ascii="Times New Roman" w:eastAsia="Times New Roman" w:hAnsi="Times New Roman" w:cs="Times New Roman"/>
          <w:sz w:val="22"/>
          <w:szCs w:val="22"/>
        </w:rPr>
        <w:t>short-reads</w:t>
      </w:r>
      <w:proofErr w:type="gramEnd"/>
      <w:r>
        <w:rPr>
          <w:rFonts w:ascii="Times New Roman" w:eastAsia="Times New Roman" w:hAnsi="Times New Roman" w:cs="Times New Roman"/>
          <w:sz w:val="22"/>
          <w:szCs w:val="22"/>
        </w:rPr>
        <w:t xml:space="preserve"> (light blue), and genes including transcripts with significant </w:t>
      </w:r>
      <w:proofErr w:type="spellStart"/>
      <w:r>
        <w:rPr>
          <w:rFonts w:ascii="Times New Roman" w:eastAsia="Times New Roman" w:hAnsi="Times New Roman" w:cs="Times New Roman"/>
          <w:sz w:val="22"/>
          <w:szCs w:val="22"/>
        </w:rPr>
        <w:t>trQTLs</w:t>
      </w:r>
      <w:proofErr w:type="spellEnd"/>
      <w:r>
        <w:rPr>
          <w:rFonts w:ascii="Times New Roman" w:eastAsia="Times New Roman" w:hAnsi="Times New Roman" w:cs="Times New Roman"/>
          <w:sz w:val="22"/>
          <w:szCs w:val="22"/>
        </w:rPr>
        <w:t xml:space="preserve"> in the DRS dataset (yellow).</w:t>
      </w:r>
      <w:r>
        <w:rPr>
          <w:rFonts w:ascii="Times New Roman" w:eastAsia="Times New Roman" w:hAnsi="Times New Roman" w:cs="Times New Roman"/>
          <w:b/>
          <w:bCs/>
          <w:sz w:val="22"/>
          <w:szCs w:val="22"/>
        </w:rPr>
        <w:t xml:space="preserve"> (B) </w:t>
      </w:r>
      <w:r>
        <w:rPr>
          <w:rFonts w:ascii="Times New Roman" w:eastAsia="Times New Roman" w:hAnsi="Times New Roman" w:cs="Times New Roman"/>
          <w:sz w:val="22"/>
          <w:szCs w:val="22"/>
        </w:rPr>
        <w:t xml:space="preserve">Histogram with the number of transcripts per gene </w:t>
      </w:r>
      <w:proofErr w:type="spellStart"/>
      <w:r>
        <w:rPr>
          <w:rFonts w:ascii="Times New Roman" w:eastAsia="Times New Roman" w:hAnsi="Times New Roman" w:cs="Times New Roman"/>
          <w:sz w:val="22"/>
          <w:szCs w:val="22"/>
        </w:rPr>
        <w:t>on</w:t>
      </w:r>
      <w:proofErr w:type="spellEnd"/>
      <w:r>
        <w:rPr>
          <w:rFonts w:ascii="Times New Roman" w:eastAsia="Times New Roman" w:hAnsi="Times New Roman" w:cs="Times New Roman"/>
          <w:sz w:val="22"/>
          <w:szCs w:val="22"/>
        </w:rPr>
        <w:t xml:space="preserve"> genes with a significant </w:t>
      </w:r>
      <w:proofErr w:type="spellStart"/>
      <w:r>
        <w:rPr>
          <w:rFonts w:ascii="Times New Roman" w:eastAsia="Times New Roman" w:hAnsi="Times New Roman" w:cs="Times New Roman"/>
          <w:sz w:val="22"/>
          <w:szCs w:val="22"/>
        </w:rPr>
        <w:t>trQTLs</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Violin-plot comparing the number of transcripts per gene between the 52 genes with two or more </w:t>
      </w:r>
      <w:proofErr w:type="spellStart"/>
      <w:r>
        <w:rPr>
          <w:rFonts w:ascii="Times New Roman" w:eastAsia="Times New Roman" w:hAnsi="Times New Roman" w:cs="Times New Roman"/>
          <w:sz w:val="22"/>
          <w:szCs w:val="22"/>
        </w:rPr>
        <w:t>trQTLs</w:t>
      </w:r>
      <w:proofErr w:type="spellEnd"/>
      <w:r>
        <w:rPr>
          <w:rFonts w:ascii="Times New Roman" w:eastAsia="Times New Roman" w:hAnsi="Times New Roman" w:cs="Times New Roman"/>
          <w:sz w:val="22"/>
          <w:szCs w:val="22"/>
        </w:rPr>
        <w:t xml:space="preserve"> with opposite direction of effect (orange) and </w:t>
      </w:r>
      <w:proofErr w:type="spellStart"/>
      <w:r>
        <w:rPr>
          <w:rFonts w:ascii="Times New Roman" w:eastAsia="Times New Roman" w:hAnsi="Times New Roman" w:cs="Times New Roman"/>
          <w:sz w:val="22"/>
          <w:szCs w:val="22"/>
        </w:rPr>
        <w:t>trQTLs</w:t>
      </w:r>
      <w:proofErr w:type="spellEnd"/>
      <w:r>
        <w:rPr>
          <w:rFonts w:ascii="Times New Roman" w:eastAsia="Times New Roman" w:hAnsi="Times New Roman" w:cs="Times New Roman"/>
          <w:sz w:val="22"/>
          <w:szCs w:val="22"/>
        </w:rPr>
        <w:t xml:space="preserve"> with the same direction of effect (dark yellow). </w:t>
      </w:r>
      <w:r>
        <w:rPr>
          <w:rFonts w:ascii="Times New Roman" w:eastAsia="Times New Roman" w:hAnsi="Times New Roman" w:cs="Times New Roman"/>
          <w:b/>
          <w:bCs/>
          <w:sz w:val="22"/>
          <w:szCs w:val="22"/>
        </w:rPr>
        <w:t xml:space="preserve">(D) </w:t>
      </w:r>
      <w:r>
        <w:rPr>
          <w:rFonts w:ascii="Times New Roman" w:eastAsia="Times New Roman" w:hAnsi="Times New Roman" w:cs="Times New Roman"/>
          <w:sz w:val="22"/>
          <w:szCs w:val="22"/>
        </w:rPr>
        <w:t xml:space="preserve">Histogram for the distribution of the number of transcripts per gene for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affecting two or more transcripts with the same direction of effect. </w:t>
      </w:r>
      <w:r>
        <w:rPr>
          <w:rFonts w:ascii="Times New Roman" w:eastAsia="Times New Roman" w:hAnsi="Times New Roman" w:cs="Times New Roman"/>
          <w:b/>
          <w:bCs/>
          <w:sz w:val="22"/>
          <w:szCs w:val="22"/>
        </w:rPr>
        <w:t xml:space="preserve">(E) </w:t>
      </w:r>
      <w:r>
        <w:rPr>
          <w:rFonts w:ascii="Times New Roman" w:eastAsia="Times New Roman" w:hAnsi="Times New Roman" w:cs="Times New Roman"/>
          <w:sz w:val="22"/>
          <w:szCs w:val="22"/>
        </w:rPr>
        <w:t xml:space="preserve">Venn diagram showing the overlap between genes with </w:t>
      </w:r>
      <w:proofErr w:type="spellStart"/>
      <w:r>
        <w:rPr>
          <w:rFonts w:ascii="Times New Roman" w:eastAsia="Times New Roman" w:hAnsi="Times New Roman" w:cs="Times New Roman"/>
          <w:sz w:val="22"/>
          <w:szCs w:val="22"/>
        </w:rPr>
        <w:t>eQTLs</w:t>
      </w:r>
      <w:proofErr w:type="spellEnd"/>
      <w:r>
        <w:rPr>
          <w:rFonts w:ascii="Times New Roman" w:eastAsia="Times New Roman" w:hAnsi="Times New Roman" w:cs="Times New Roman"/>
          <w:sz w:val="22"/>
          <w:szCs w:val="22"/>
        </w:rPr>
        <w:t xml:space="preserve"> detected in the short-read dataset with a bigger sample size (n = 317, light blue), </w:t>
      </w:r>
      <w:proofErr w:type="spellStart"/>
      <w:r>
        <w:rPr>
          <w:rFonts w:ascii="Times New Roman" w:eastAsia="Times New Roman" w:hAnsi="Times New Roman" w:cs="Times New Roman"/>
          <w:sz w:val="22"/>
          <w:szCs w:val="22"/>
        </w:rPr>
        <w:t>eQTLs</w:t>
      </w:r>
      <w:proofErr w:type="spellEnd"/>
      <w:r>
        <w:rPr>
          <w:rFonts w:ascii="Times New Roman" w:eastAsia="Times New Roman" w:hAnsi="Times New Roman" w:cs="Times New Roman"/>
          <w:sz w:val="22"/>
          <w:szCs w:val="22"/>
        </w:rPr>
        <w:t xml:space="preserve"> detected with DRS replicated in the short-read dataset with the bigger sample size (n = 317, red), and the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replicated in the short-read dataset (n = 317, yellow). </w:t>
      </w:r>
      <w:r>
        <w:rPr>
          <w:rFonts w:ascii="Times New Roman" w:eastAsia="Times New Roman" w:hAnsi="Times New Roman" w:cs="Times New Roman"/>
          <w:b/>
          <w:bCs/>
          <w:sz w:val="22"/>
          <w:szCs w:val="22"/>
        </w:rPr>
        <w:t xml:space="preserve">(F) </w:t>
      </w:r>
      <w:r>
        <w:rPr>
          <w:rFonts w:ascii="Times New Roman" w:eastAsia="Times New Roman" w:hAnsi="Times New Roman" w:cs="Times New Roman"/>
          <w:sz w:val="22"/>
          <w:szCs w:val="22"/>
        </w:rPr>
        <w:t xml:space="preserve">Violin-plot showing the number of transcripts per gene for the genes with an </w:t>
      </w:r>
      <w:proofErr w:type="spellStart"/>
      <w:r>
        <w:rPr>
          <w:rFonts w:ascii="Times New Roman" w:eastAsia="Times New Roman" w:hAnsi="Times New Roman" w:cs="Times New Roman"/>
          <w:sz w:val="22"/>
          <w:szCs w:val="22"/>
        </w:rPr>
        <w:t>eQTL</w:t>
      </w:r>
      <w:proofErr w:type="spellEnd"/>
      <w:r>
        <w:rPr>
          <w:rFonts w:ascii="Times New Roman" w:eastAsia="Times New Roman" w:hAnsi="Times New Roman" w:cs="Times New Roman"/>
          <w:sz w:val="22"/>
          <w:szCs w:val="22"/>
        </w:rPr>
        <w:t xml:space="preserve"> (red) and genes with a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(yellow) detected with DRS and significantly replicated with the short-read dataset with a sample size n = 317. </w:t>
      </w:r>
      <w:r>
        <w:rPr>
          <w:rFonts w:ascii="Times New Roman" w:eastAsia="Times New Roman" w:hAnsi="Times New Roman" w:cs="Times New Roman"/>
          <w:b/>
          <w:bCs/>
          <w:sz w:val="22"/>
          <w:szCs w:val="22"/>
        </w:rPr>
        <w:t>(G)</w:t>
      </w:r>
      <w:r>
        <w:rPr>
          <w:rFonts w:ascii="Times New Roman" w:eastAsia="Times New Roman" w:hAnsi="Times New Roman" w:cs="Times New Roman"/>
          <w:sz w:val="22"/>
          <w:szCs w:val="22"/>
        </w:rPr>
        <w:t xml:space="preserve"> Stacked bar plot showing the proportion of SQANTI3 structural categories, FSM/ISM (annotated splice forms, blue), NIC/NNC (novel internal splice junctions, orange), and Other (</w:t>
      </w:r>
      <w:proofErr w:type="spellStart"/>
      <w:r>
        <w:rPr>
          <w:rFonts w:ascii="Times New Roman" w:eastAsia="Times New Roman" w:hAnsi="Times New Roman" w:cs="Times New Roman"/>
          <w:sz w:val="22"/>
          <w:szCs w:val="22"/>
        </w:rPr>
        <w:t>gray</w:t>
      </w:r>
      <w:proofErr w:type="spellEnd"/>
      <w:proofErr w:type="gramStart"/>
      <w:r>
        <w:rPr>
          <w:rFonts w:ascii="Times New Roman" w:eastAsia="Times New Roman" w:hAnsi="Times New Roman" w:cs="Times New Roman"/>
          <w:sz w:val="22"/>
          <w:szCs w:val="22"/>
        </w:rPr>
        <w:t>) ,for</w:t>
      </w:r>
      <w:proofErr w:type="gramEnd"/>
      <w:r>
        <w:rPr>
          <w:rFonts w:ascii="Times New Roman" w:eastAsia="Times New Roman" w:hAnsi="Times New Roman" w:cs="Times New Roman"/>
          <w:sz w:val="22"/>
          <w:szCs w:val="22"/>
        </w:rPr>
        <w:t xml:space="preserve"> transcripts involved in both </w:t>
      </w:r>
      <w:proofErr w:type="spellStart"/>
      <w:r>
        <w:rPr>
          <w:rFonts w:ascii="Times New Roman" w:eastAsia="Times New Roman" w:hAnsi="Times New Roman" w:cs="Times New Roman"/>
          <w:sz w:val="22"/>
          <w:szCs w:val="22"/>
        </w:rPr>
        <w:t>sQTL</w:t>
      </w:r>
      <w:proofErr w:type="spellEnd"/>
      <w:r>
        <w:rPr>
          <w:rFonts w:ascii="Times New Roman" w:eastAsia="Times New Roman" w:hAnsi="Times New Roman" w:cs="Times New Roman"/>
          <w:sz w:val="22"/>
          <w:szCs w:val="22"/>
        </w:rPr>
        <w:t xml:space="preserve"> and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associations (</w:t>
      </w:r>
      <w:proofErr w:type="spellStart"/>
      <w:r>
        <w:rPr>
          <w:rFonts w:ascii="Times New Roman" w:eastAsia="Times New Roman" w:hAnsi="Times New Roman" w:cs="Times New Roman"/>
          <w:sz w:val="22"/>
          <w:szCs w:val="22"/>
        </w:rPr>
        <w:t>sQTL</w:t>
      </w:r>
      <w:proofErr w:type="spellEnd"/>
      <w:r>
        <w:rPr>
          <w:rFonts w:ascii="Times New Roman" w:eastAsia="Times New Roman" w:hAnsi="Times New Roman" w:cs="Times New Roman"/>
          <w:sz w:val="22"/>
          <w:szCs w:val="22"/>
        </w:rPr>
        <w:t xml:space="preserve"> overlap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compared to transcripts with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associations only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only). NIC/NNC transcripts are depleted in the overlap group (Fisher's exact test, OR = 0.37, p = 0.05). </w:t>
      </w:r>
      <w:r>
        <w:rPr>
          <w:rFonts w:ascii="Times New Roman" w:eastAsia="Times New Roman" w:hAnsi="Times New Roman" w:cs="Times New Roman"/>
          <w:b/>
          <w:bCs/>
          <w:sz w:val="22"/>
          <w:szCs w:val="22"/>
        </w:rPr>
        <w:t>(H)</w:t>
      </w:r>
      <w:r>
        <w:rPr>
          <w:rFonts w:ascii="Times New Roman" w:eastAsia="Times New Roman" w:hAnsi="Times New Roman" w:cs="Times New Roman"/>
          <w:sz w:val="22"/>
          <w:szCs w:val="22"/>
        </w:rPr>
        <w:t xml:space="preserve"> Bar plot showing the fraction of NIC/NNC transcripts in the </w:t>
      </w:r>
      <w:proofErr w:type="spellStart"/>
      <w:r>
        <w:rPr>
          <w:rFonts w:ascii="Times New Roman" w:eastAsia="Times New Roman" w:hAnsi="Times New Roman" w:cs="Times New Roman"/>
          <w:sz w:val="22"/>
          <w:szCs w:val="22"/>
        </w:rPr>
        <w:t>sQTL-trQTL</w:t>
      </w:r>
      <w:proofErr w:type="spellEnd"/>
      <w:r>
        <w:rPr>
          <w:rFonts w:ascii="Times New Roman" w:eastAsia="Times New Roman" w:hAnsi="Times New Roman" w:cs="Times New Roman"/>
          <w:sz w:val="22"/>
          <w:szCs w:val="22"/>
        </w:rPr>
        <w:t xml:space="preserve"> overlap group (blue) compared to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-only transcripts (green), </w:t>
      </w:r>
      <w:r>
        <w:rPr>
          <w:rFonts w:ascii="Times New Roman" w:eastAsia="Times New Roman" w:hAnsi="Times New Roman" w:cs="Times New Roman"/>
          <w:sz w:val="22"/>
          <w:szCs w:val="22"/>
        </w:rPr>
        <w:lastRenderedPageBreak/>
        <w:t xml:space="preserve">highlighting the lower proportion of novel splice junction transcripts among those with convergent </w:t>
      </w:r>
      <w:proofErr w:type="spellStart"/>
      <w:r>
        <w:rPr>
          <w:rFonts w:ascii="Times New Roman" w:eastAsia="Times New Roman" w:hAnsi="Times New Roman" w:cs="Times New Roman"/>
          <w:sz w:val="22"/>
          <w:szCs w:val="22"/>
        </w:rPr>
        <w:t>sQTL</w:t>
      </w:r>
      <w:proofErr w:type="spellEnd"/>
      <w:r>
        <w:rPr>
          <w:rFonts w:ascii="Times New Roman" w:eastAsia="Times New Roman" w:hAnsi="Times New Roman" w:cs="Times New Roman"/>
          <w:sz w:val="22"/>
          <w:szCs w:val="22"/>
        </w:rPr>
        <w:t xml:space="preserve"> and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signals.</w:t>
      </w:r>
    </w:p>
    <w:p w14:paraId="5EEB27FC" w14:textId="77777777" w:rsidR="008E3B54" w:rsidRDefault="008E3B54">
      <w:pPr>
        <w:spacing w:before="160" w:line="276" w:lineRule="auto"/>
        <w:jc w:val="both"/>
        <w:rPr>
          <w:rFonts w:ascii="Times New Roman" w:eastAsia="Times New Roman" w:hAnsi="Times New Roman" w:cs="Times New Roman"/>
          <w:sz w:val="22"/>
          <w:szCs w:val="22"/>
        </w:rPr>
      </w:pPr>
    </w:p>
    <w:p w14:paraId="7E69E29B" w14:textId="77777777" w:rsidR="008E3B54"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 </w:t>
      </w:r>
    </w:p>
    <w:p w14:paraId="3F27625F" w14:textId="77777777" w:rsidR="008E3B54" w:rsidRDefault="008E3B54">
      <w:pPr>
        <w:spacing w:line="276" w:lineRule="auto"/>
        <w:jc w:val="both"/>
        <w:rPr>
          <w:rFonts w:ascii="Arial" w:eastAsia="Arial" w:hAnsi="Arial" w:cs="Arial"/>
          <w:sz w:val="22"/>
          <w:szCs w:val="22"/>
        </w:rPr>
      </w:pPr>
    </w:p>
    <w:p w14:paraId="64F5BF56" w14:textId="77777777" w:rsidR="008E3B54" w:rsidRDefault="00000000">
      <w:pPr>
        <w:spacing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8457B8E" wp14:editId="4CA1F0A5">
            <wp:extent cx="4845612" cy="684141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45612" cy="6841410"/>
                    </a:xfrm>
                    <a:prstGeom prst="rect">
                      <a:avLst/>
                    </a:prstGeom>
                    <a:ln/>
                  </pic:spPr>
                </pic:pic>
              </a:graphicData>
            </a:graphic>
          </wp:inline>
        </w:drawing>
      </w:r>
    </w:p>
    <w:p w14:paraId="42BA2481"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S5: Comparison of </w:t>
      </w:r>
      <w:proofErr w:type="spellStart"/>
      <w:r>
        <w:rPr>
          <w:rFonts w:ascii="Times New Roman" w:eastAsia="Times New Roman" w:hAnsi="Times New Roman" w:cs="Times New Roman"/>
          <w:b/>
          <w:bCs/>
          <w:sz w:val="22"/>
          <w:szCs w:val="22"/>
        </w:rPr>
        <w:t>eQTL</w:t>
      </w:r>
      <w:proofErr w:type="spellEnd"/>
      <w:r>
        <w:rPr>
          <w:rFonts w:ascii="Times New Roman" w:eastAsia="Times New Roman" w:hAnsi="Times New Roman" w:cs="Times New Roman"/>
          <w:b/>
          <w:bCs/>
          <w:sz w:val="22"/>
          <w:szCs w:val="22"/>
        </w:rPr>
        <w:t xml:space="preserve"> detected using DRS and short-reads data for the </w:t>
      </w:r>
      <w:r>
        <w:rPr>
          <w:rFonts w:ascii="Times New Roman" w:eastAsia="Times New Roman" w:hAnsi="Times New Roman" w:cs="Times New Roman"/>
          <w:b/>
          <w:bCs/>
          <w:i/>
          <w:iCs/>
          <w:sz w:val="22"/>
          <w:szCs w:val="22"/>
        </w:rPr>
        <w:t>OAS1</w:t>
      </w:r>
      <w:r>
        <w:rPr>
          <w:rFonts w:ascii="Times New Roman" w:eastAsia="Times New Roman" w:hAnsi="Times New Roman" w:cs="Times New Roman"/>
          <w:b/>
          <w:bCs/>
          <w:sz w:val="22"/>
          <w:szCs w:val="22"/>
        </w:rPr>
        <w:t xml:space="preserve"> and </w:t>
      </w:r>
      <w:r>
        <w:rPr>
          <w:rFonts w:ascii="Times New Roman" w:eastAsia="Times New Roman" w:hAnsi="Times New Roman" w:cs="Times New Roman"/>
          <w:b/>
          <w:bCs/>
          <w:i/>
          <w:iCs/>
          <w:sz w:val="22"/>
          <w:szCs w:val="22"/>
        </w:rPr>
        <w:t>ARPC2</w:t>
      </w:r>
      <w:r>
        <w:rPr>
          <w:rFonts w:ascii="Times New Roman" w:eastAsia="Times New Roman" w:hAnsi="Times New Roman" w:cs="Times New Roman"/>
          <w:b/>
          <w:bCs/>
          <w:sz w:val="22"/>
          <w:szCs w:val="22"/>
        </w:rPr>
        <w:t xml:space="preserve"> genes. </w:t>
      </w:r>
      <w:r>
        <w:rPr>
          <w:rFonts w:ascii="Times New Roman" w:eastAsia="Times New Roman" w:hAnsi="Times New Roman" w:cs="Times New Roman"/>
          <w:sz w:val="22"/>
          <w:szCs w:val="22"/>
        </w:rPr>
        <w:t xml:space="preserve">Violin plots showing gene or transcript expression stratified by genotype, with individual samples shown as black dots and embedded boxplots indicating median and interquartile range. Expression values correspond to covariate-adjusted normalized residuals derived from TPM for DRS data and RPKM for short-read measurements; </w:t>
      </w:r>
      <w:proofErr w:type="gramStart"/>
      <w:r>
        <w:rPr>
          <w:rFonts w:ascii="Times New Roman" w:eastAsia="Times New Roman" w:hAnsi="Times New Roman" w:cs="Times New Roman"/>
          <w:sz w:val="22"/>
          <w:szCs w:val="22"/>
        </w:rPr>
        <w:t>therefore</w:t>
      </w:r>
      <w:proofErr w:type="gramEnd"/>
      <w:r>
        <w:rPr>
          <w:rFonts w:ascii="Times New Roman" w:eastAsia="Times New Roman" w:hAnsi="Times New Roman" w:cs="Times New Roman"/>
          <w:sz w:val="22"/>
          <w:szCs w:val="22"/>
        </w:rPr>
        <w:t xml:space="preserve"> values are </w:t>
      </w:r>
      <w:proofErr w:type="spellStart"/>
      <w:r>
        <w:rPr>
          <w:rFonts w:ascii="Times New Roman" w:eastAsia="Times New Roman" w:hAnsi="Times New Roman" w:cs="Times New Roman"/>
          <w:sz w:val="22"/>
          <w:szCs w:val="22"/>
        </w:rPr>
        <w:t>centered</w:t>
      </w:r>
      <w:proofErr w:type="spellEnd"/>
      <w:r>
        <w:rPr>
          <w:rFonts w:ascii="Times New Roman" w:eastAsia="Times New Roman" w:hAnsi="Times New Roman" w:cs="Times New Roman"/>
          <w:sz w:val="22"/>
          <w:szCs w:val="22"/>
        </w:rPr>
        <w:t xml:space="preserve"> around zero. (</w:t>
      </w:r>
      <w:r>
        <w:rPr>
          <w:rFonts w:ascii="Times New Roman" w:eastAsia="Times New Roman" w:hAnsi="Times New Roman" w:cs="Times New Roman"/>
          <w:b/>
          <w:bCs/>
          <w:sz w:val="22"/>
          <w:szCs w:val="22"/>
        </w:rPr>
        <w:t>A-C</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eQTL</w:t>
      </w:r>
      <w:proofErr w:type="spellEnd"/>
      <w:r>
        <w:rPr>
          <w:rFonts w:ascii="Times New Roman" w:eastAsia="Times New Roman" w:hAnsi="Times New Roman" w:cs="Times New Roman"/>
          <w:sz w:val="22"/>
          <w:szCs w:val="22"/>
        </w:rPr>
        <w:t xml:space="preserve"> effects at the </w:t>
      </w:r>
      <w:r>
        <w:rPr>
          <w:rFonts w:ascii="Times New Roman" w:eastAsia="Times New Roman" w:hAnsi="Times New Roman" w:cs="Times New Roman"/>
          <w:i/>
          <w:iCs/>
          <w:sz w:val="22"/>
          <w:szCs w:val="22"/>
        </w:rPr>
        <w:t>OAS1</w:t>
      </w:r>
      <w:r>
        <w:rPr>
          <w:rFonts w:ascii="Times New Roman" w:eastAsia="Times New Roman" w:hAnsi="Times New Roman" w:cs="Times New Roman"/>
          <w:sz w:val="22"/>
          <w:szCs w:val="22"/>
        </w:rPr>
        <w:t xml:space="preserve"> locus. (</w:t>
      </w: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Gene-level expression measured using DRS (rs1154970; </w:t>
      </w:r>
      <w:r>
        <w:rPr>
          <w:rFonts w:ascii="Times New Roman" w:eastAsia="Times New Roman" w:hAnsi="Times New Roman" w:cs="Times New Roman"/>
          <w:i/>
          <w:iCs/>
          <w:sz w:val="22"/>
          <w:szCs w:val="22"/>
        </w:rPr>
        <w:t>p</w:t>
      </w:r>
      <w:r>
        <w:rPr>
          <w:rFonts w:ascii="Times New Roman" w:eastAsia="Times New Roman" w:hAnsi="Times New Roman" w:cs="Times New Roman"/>
          <w:sz w:val="22"/>
          <w:szCs w:val="22"/>
        </w:rPr>
        <w:t xml:space="preserve"> = 0.02). (</w:t>
      </w:r>
      <w:r>
        <w:rPr>
          <w:rFonts w:ascii="Times New Roman" w:eastAsia="Times New Roman" w:hAnsi="Times New Roman" w:cs="Times New Roman"/>
          <w:i/>
          <w:iCs/>
          <w:sz w:val="22"/>
          <w:szCs w:val="22"/>
        </w:rPr>
        <w:t>B</w:t>
      </w:r>
      <w:r>
        <w:rPr>
          <w:rFonts w:ascii="Times New Roman" w:eastAsia="Times New Roman" w:hAnsi="Times New Roman" w:cs="Times New Roman"/>
          <w:sz w:val="22"/>
          <w:szCs w:val="22"/>
        </w:rPr>
        <w:t>) Gene-level expression measured using short-</w:t>
      </w:r>
      <w:r>
        <w:rPr>
          <w:rFonts w:ascii="Times New Roman" w:eastAsia="Times New Roman" w:hAnsi="Times New Roman" w:cs="Times New Roman"/>
          <w:sz w:val="22"/>
          <w:szCs w:val="22"/>
        </w:rPr>
        <w:lastRenderedPageBreak/>
        <w:t xml:space="preserve">read for the same variant (rs1154970; </w:t>
      </w:r>
      <w:r>
        <w:rPr>
          <w:rFonts w:ascii="Times New Roman" w:eastAsia="Times New Roman" w:hAnsi="Times New Roman" w:cs="Times New Roman"/>
          <w:i/>
          <w:iCs/>
          <w:sz w:val="22"/>
          <w:szCs w:val="22"/>
        </w:rPr>
        <w:t>p</w:t>
      </w:r>
      <w:r>
        <w:rPr>
          <w:rFonts w:ascii="Times New Roman" w:eastAsia="Times New Roman" w:hAnsi="Times New Roman" w:cs="Times New Roman"/>
          <w:sz w:val="22"/>
          <w:szCs w:val="22"/>
        </w:rPr>
        <w:t xml:space="preserve"> = 2.58 × 10⁻¹³).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Gene-level expression measured using short-read for rs7132797 (</w:t>
      </w:r>
      <w:r>
        <w:rPr>
          <w:rFonts w:ascii="Times New Roman" w:eastAsia="Times New Roman" w:hAnsi="Times New Roman" w:cs="Times New Roman"/>
          <w:i/>
          <w:iCs/>
          <w:sz w:val="22"/>
          <w:szCs w:val="22"/>
        </w:rPr>
        <w:t>p</w:t>
      </w:r>
      <w:r>
        <w:rPr>
          <w:rFonts w:ascii="Times New Roman" w:eastAsia="Times New Roman" w:hAnsi="Times New Roman" w:cs="Times New Roman"/>
          <w:sz w:val="22"/>
          <w:szCs w:val="22"/>
        </w:rPr>
        <w:t xml:space="preserve"> = 1.42 × 10⁻¹⁴). (</w:t>
      </w:r>
      <w:r>
        <w:rPr>
          <w:rFonts w:ascii="Times New Roman" w:eastAsia="Times New Roman" w:hAnsi="Times New Roman" w:cs="Times New Roman"/>
          <w:b/>
          <w:bCs/>
          <w:sz w:val="22"/>
          <w:szCs w:val="22"/>
        </w:rPr>
        <w:t>D-L</w:t>
      </w:r>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eQTL</w:t>
      </w:r>
      <w:proofErr w:type="spellEnd"/>
      <w:r>
        <w:rPr>
          <w:rFonts w:ascii="Times New Roman" w:eastAsia="Times New Roman" w:hAnsi="Times New Roman" w:cs="Times New Roman"/>
          <w:sz w:val="22"/>
          <w:szCs w:val="22"/>
        </w:rPr>
        <w:t xml:space="preserve"> and transcript-level QTL effects at the </w:t>
      </w:r>
      <w:r>
        <w:rPr>
          <w:rFonts w:ascii="Times New Roman" w:eastAsia="Times New Roman" w:hAnsi="Times New Roman" w:cs="Times New Roman"/>
          <w:i/>
          <w:iCs/>
          <w:sz w:val="22"/>
          <w:szCs w:val="22"/>
        </w:rPr>
        <w:t>ARPC2</w:t>
      </w:r>
      <w:r>
        <w:rPr>
          <w:rFonts w:ascii="Times New Roman" w:eastAsia="Times New Roman" w:hAnsi="Times New Roman" w:cs="Times New Roman"/>
          <w:sz w:val="22"/>
          <w:szCs w:val="22"/>
        </w:rPr>
        <w:t xml:space="preserve"> locus (rs2271541). (</w:t>
      </w:r>
      <w:r>
        <w:rPr>
          <w:rFonts w:ascii="Times New Roman" w:eastAsia="Times New Roman" w:hAnsi="Times New Roman" w:cs="Times New Roman"/>
          <w:b/>
          <w:bCs/>
          <w:sz w:val="22"/>
          <w:szCs w:val="22"/>
        </w:rPr>
        <w:t>D</w:t>
      </w:r>
      <w:r>
        <w:rPr>
          <w:rFonts w:ascii="Times New Roman" w:eastAsia="Times New Roman" w:hAnsi="Times New Roman" w:cs="Times New Roman"/>
          <w:sz w:val="22"/>
          <w:szCs w:val="22"/>
        </w:rPr>
        <w:t>) Gene-level expression from short-read (</w:t>
      </w:r>
      <w:r>
        <w:rPr>
          <w:rFonts w:ascii="Times New Roman" w:eastAsia="Times New Roman" w:hAnsi="Times New Roman" w:cs="Times New Roman"/>
          <w:i/>
          <w:iCs/>
          <w:sz w:val="22"/>
          <w:szCs w:val="22"/>
        </w:rPr>
        <w:t>p</w:t>
      </w:r>
      <w:sdt>
        <w:sdtPr>
          <w:tag w:val="goog_rdk_2"/>
          <w:id w:val="-298409208"/>
        </w:sdtPr>
        <w:sdtContent>
          <w:r>
            <w:rPr>
              <w:rFonts w:ascii="Gungsuh" w:eastAsia="Gungsuh" w:hAnsi="Gungsuh" w:cs="Gungsuh"/>
              <w:sz w:val="22"/>
              <w:szCs w:val="22"/>
            </w:rPr>
            <w:t xml:space="preserve"> ≈ 0). (</w:t>
          </w:r>
        </w:sdtContent>
      </w:sdt>
      <w:r>
        <w:rPr>
          <w:rFonts w:ascii="Times New Roman" w:eastAsia="Times New Roman" w:hAnsi="Times New Roman" w:cs="Times New Roman"/>
          <w:b/>
          <w:bCs/>
          <w:sz w:val="22"/>
          <w:szCs w:val="22"/>
        </w:rPr>
        <w:t>E-L</w:t>
      </w:r>
      <w:r>
        <w:rPr>
          <w:rFonts w:ascii="Times New Roman" w:eastAsia="Times New Roman" w:hAnsi="Times New Roman" w:cs="Times New Roman"/>
          <w:sz w:val="22"/>
          <w:szCs w:val="22"/>
        </w:rPr>
        <w:t>) Transcript-level expression quantified using DRS for individual isoforms, showing variable levels of association across isoforms (</w:t>
      </w:r>
      <w:r>
        <w:rPr>
          <w:rFonts w:ascii="Times New Roman" w:eastAsia="Times New Roman" w:hAnsi="Times New Roman" w:cs="Times New Roman"/>
          <w:i/>
          <w:iCs/>
          <w:sz w:val="22"/>
          <w:szCs w:val="22"/>
        </w:rPr>
        <w:t>p</w:t>
      </w:r>
      <w:r>
        <w:rPr>
          <w:rFonts w:ascii="Times New Roman" w:eastAsia="Times New Roman" w:hAnsi="Times New Roman" w:cs="Times New Roman"/>
          <w:sz w:val="22"/>
          <w:szCs w:val="22"/>
        </w:rPr>
        <w:t xml:space="preserve"> values indicated in each panel). </w:t>
      </w:r>
    </w:p>
    <w:p w14:paraId="7A172FAB"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7B99BFA8" wp14:editId="545A8871">
            <wp:extent cx="4966366" cy="702238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966366" cy="7022385"/>
                    </a:xfrm>
                    <a:prstGeom prst="rect">
                      <a:avLst/>
                    </a:prstGeom>
                    <a:ln/>
                  </pic:spPr>
                </pic:pic>
              </a:graphicData>
            </a:graphic>
          </wp:inline>
        </w:drawing>
      </w:r>
    </w:p>
    <w:p w14:paraId="668CA5E9"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S6: Transcripts usages across the 60 LCL samples for genes with significant </w:t>
      </w:r>
      <w:proofErr w:type="spellStart"/>
      <w:r>
        <w:rPr>
          <w:rFonts w:ascii="Times New Roman" w:eastAsia="Times New Roman" w:hAnsi="Times New Roman" w:cs="Times New Roman"/>
          <w:b/>
          <w:bCs/>
          <w:sz w:val="22"/>
          <w:szCs w:val="22"/>
        </w:rPr>
        <w:t>trQTLs</w:t>
      </w:r>
      <w:proofErr w:type="spellEnd"/>
    </w:p>
    <w:p w14:paraId="3CC5BFF9"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A-D</w:t>
      </w:r>
      <w:r>
        <w:rPr>
          <w:rFonts w:ascii="Times New Roman" w:eastAsia="Times New Roman" w:hAnsi="Times New Roman" w:cs="Times New Roman"/>
          <w:sz w:val="22"/>
          <w:szCs w:val="22"/>
        </w:rPr>
        <w:t xml:space="preserve">) Each stacked bar plots show the proportion of each isoform (color-coded) within each individual sample. The x-axis reflects the relative isoform usage (from 0 to 1 per sample). This panel highlights inter-individual variability in transcript composition at this locus. The genes included are </w:t>
      </w:r>
      <w:r>
        <w:rPr>
          <w:rFonts w:ascii="Times New Roman" w:eastAsia="Times New Roman" w:hAnsi="Times New Roman" w:cs="Times New Roman"/>
          <w:i/>
          <w:iCs/>
          <w:sz w:val="22"/>
          <w:szCs w:val="22"/>
        </w:rPr>
        <w:t>CAST</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C2orf74</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B</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OAS1</w:t>
      </w:r>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and </w:t>
      </w:r>
      <w:r>
        <w:rPr>
          <w:rFonts w:ascii="Times New Roman" w:eastAsia="Times New Roman" w:hAnsi="Times New Roman" w:cs="Times New Roman"/>
          <w:i/>
          <w:iCs/>
          <w:sz w:val="22"/>
          <w:szCs w:val="22"/>
        </w:rPr>
        <w:t>ARPC2</w:t>
      </w:r>
      <w:r>
        <w:rPr>
          <w:rFonts w:ascii="Times New Roman" w:eastAsia="Times New Roman" w:hAnsi="Times New Roman" w:cs="Times New Roman"/>
          <w:sz w:val="22"/>
          <w:szCs w:val="22"/>
        </w:rPr>
        <w:t xml:space="preserve"> gene (</w:t>
      </w:r>
      <w:r>
        <w:rPr>
          <w:rFonts w:ascii="Times New Roman" w:eastAsia="Times New Roman" w:hAnsi="Times New Roman" w:cs="Times New Roman"/>
          <w:b/>
          <w:bCs/>
          <w:sz w:val="22"/>
          <w:szCs w:val="22"/>
        </w:rPr>
        <w:t>D</w:t>
      </w:r>
      <w:r>
        <w:rPr>
          <w:rFonts w:ascii="Times New Roman" w:eastAsia="Times New Roman" w:hAnsi="Times New Roman" w:cs="Times New Roman"/>
          <w:sz w:val="22"/>
          <w:szCs w:val="22"/>
        </w:rPr>
        <w:t>)</w:t>
      </w:r>
    </w:p>
    <w:p w14:paraId="0962959E" w14:textId="77777777" w:rsidR="008E3B54" w:rsidRDefault="008E3B54">
      <w:pPr>
        <w:spacing w:before="160" w:line="276" w:lineRule="auto"/>
        <w:jc w:val="both"/>
        <w:rPr>
          <w:rFonts w:ascii="Times New Roman" w:eastAsia="Times New Roman" w:hAnsi="Times New Roman" w:cs="Times New Roman"/>
          <w:sz w:val="22"/>
          <w:szCs w:val="22"/>
        </w:rPr>
      </w:pPr>
    </w:p>
    <w:p w14:paraId="26127FEE"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30312CFF" wp14:editId="6997F339">
            <wp:extent cx="6119820" cy="31750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119820" cy="3175000"/>
                    </a:xfrm>
                    <a:prstGeom prst="rect">
                      <a:avLst/>
                    </a:prstGeom>
                    <a:ln/>
                  </pic:spPr>
                </pic:pic>
              </a:graphicData>
            </a:graphic>
          </wp:inline>
        </w:drawing>
      </w:r>
    </w:p>
    <w:p w14:paraId="2EC28369" w14:textId="77777777" w:rsidR="008E3B54" w:rsidRDefault="008E3B54">
      <w:pPr>
        <w:spacing w:before="160" w:line="276" w:lineRule="auto"/>
        <w:jc w:val="both"/>
        <w:rPr>
          <w:rFonts w:ascii="Times New Roman" w:eastAsia="Times New Roman" w:hAnsi="Times New Roman" w:cs="Times New Roman"/>
          <w:sz w:val="22"/>
          <w:szCs w:val="22"/>
        </w:rPr>
      </w:pPr>
    </w:p>
    <w:p w14:paraId="77382497" w14:textId="77777777" w:rsidR="008E3B54" w:rsidRDefault="00000000">
      <w:pPr>
        <w:pBdr>
          <w:top w:val="nil"/>
          <w:left w:val="nil"/>
          <w:bottom w:val="nil"/>
          <w:right w:val="nil"/>
          <w:between w:val="nil"/>
        </w:pBdr>
        <w:spacing w:after="14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S7</w:t>
      </w:r>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 xml:space="preserve"> Isoform architecture of </w:t>
      </w:r>
      <w:r>
        <w:rPr>
          <w:rFonts w:ascii="Times New Roman" w:eastAsia="Times New Roman" w:hAnsi="Times New Roman" w:cs="Times New Roman"/>
          <w:b/>
          <w:bCs/>
          <w:i/>
          <w:iCs/>
          <w:sz w:val="22"/>
          <w:szCs w:val="22"/>
        </w:rPr>
        <w:t>OAS1</w:t>
      </w:r>
      <w:r>
        <w:rPr>
          <w:rFonts w:ascii="Times New Roman" w:eastAsia="Times New Roman" w:hAnsi="Times New Roman" w:cs="Times New Roman"/>
          <w:b/>
          <w:bCs/>
          <w:sz w:val="22"/>
          <w:szCs w:val="22"/>
        </w:rPr>
        <w:t xml:space="preserve"> gene and relative transcript usage across LCL samples.</w:t>
      </w:r>
    </w:p>
    <w:p w14:paraId="3FE09FB4" w14:textId="77777777" w:rsidR="008E3B54" w:rsidRDefault="00000000">
      <w:pPr>
        <w:spacing w:before="240" w:after="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Schematic representation of transcript isoforms detected for the </w:t>
      </w:r>
      <w:r>
        <w:rPr>
          <w:rFonts w:ascii="Times New Roman" w:eastAsia="Times New Roman" w:hAnsi="Times New Roman" w:cs="Times New Roman"/>
          <w:i/>
          <w:iCs/>
          <w:sz w:val="22"/>
          <w:szCs w:val="22"/>
        </w:rPr>
        <w:t>OAS1</w:t>
      </w:r>
      <w:r>
        <w:rPr>
          <w:rFonts w:ascii="Times New Roman" w:eastAsia="Times New Roman" w:hAnsi="Times New Roman" w:cs="Times New Roman"/>
          <w:sz w:val="22"/>
          <w:szCs w:val="22"/>
        </w:rPr>
        <w:t xml:space="preserve"> gene. </w:t>
      </w:r>
      <w:proofErr w:type="spellStart"/>
      <w:r>
        <w:rPr>
          <w:rFonts w:ascii="Times New Roman" w:eastAsia="Times New Roman" w:hAnsi="Times New Roman" w:cs="Times New Roman"/>
          <w:sz w:val="22"/>
          <w:szCs w:val="22"/>
        </w:rPr>
        <w:t>Colored</w:t>
      </w:r>
      <w:proofErr w:type="spellEnd"/>
      <w:r>
        <w:rPr>
          <w:rFonts w:ascii="Times New Roman" w:eastAsia="Times New Roman" w:hAnsi="Times New Roman" w:cs="Times New Roman"/>
          <w:sz w:val="22"/>
          <w:szCs w:val="22"/>
        </w:rPr>
        <w:t xml:space="preserve"> boxes represent exons and connecting lines represent introns. Each row corresponds to an individual isoform model identified from DRS data. The y-axis (right) indicates genomic position (chr12), and isoforms are vertically separated for visualization. Distinct </w:t>
      </w:r>
      <w:proofErr w:type="spellStart"/>
      <w:r>
        <w:rPr>
          <w:rFonts w:ascii="Times New Roman" w:eastAsia="Times New Roman" w:hAnsi="Times New Roman" w:cs="Times New Roman"/>
          <w:sz w:val="22"/>
          <w:szCs w:val="22"/>
        </w:rPr>
        <w:t>colors</w:t>
      </w:r>
      <w:proofErr w:type="spellEnd"/>
      <w:r>
        <w:rPr>
          <w:rFonts w:ascii="Times New Roman" w:eastAsia="Times New Roman" w:hAnsi="Times New Roman" w:cs="Times New Roman"/>
          <w:sz w:val="22"/>
          <w:szCs w:val="22"/>
        </w:rPr>
        <w:t xml:space="preserve"> denote different transcript structures, highlighting alternative exon usage and transcript diversity within the locus. </w:t>
      </w:r>
      <w:r>
        <w:rPr>
          <w:rFonts w:ascii="Times New Roman" w:eastAsia="Times New Roman" w:hAnsi="Times New Roman" w:cs="Times New Roman"/>
          <w:b/>
          <w:bCs/>
          <w:sz w:val="22"/>
          <w:szCs w:val="22"/>
        </w:rPr>
        <w:t>(B)</w:t>
      </w:r>
      <w:r>
        <w:rPr>
          <w:rFonts w:ascii="Times New Roman" w:eastAsia="Times New Roman" w:hAnsi="Times New Roman" w:cs="Times New Roman"/>
          <w:sz w:val="22"/>
          <w:szCs w:val="22"/>
        </w:rPr>
        <w:t xml:space="preserve"> Relative isoform usage across the 60 LCL samples. Stacked bar plots represent the proportion of each isoform (</w:t>
      </w:r>
      <w:proofErr w:type="spellStart"/>
      <w:r>
        <w:rPr>
          <w:rFonts w:ascii="Times New Roman" w:eastAsia="Times New Roman" w:hAnsi="Times New Roman" w:cs="Times New Roman"/>
          <w:sz w:val="22"/>
          <w:szCs w:val="22"/>
        </w:rPr>
        <w:t>color</w:t>
      </w:r>
      <w:proofErr w:type="spellEnd"/>
      <w:r>
        <w:rPr>
          <w:rFonts w:ascii="Times New Roman" w:eastAsia="Times New Roman" w:hAnsi="Times New Roman" w:cs="Times New Roman"/>
          <w:sz w:val="22"/>
          <w:szCs w:val="22"/>
        </w:rPr>
        <w:t>-matched to panel A) within individual samples. Each horizontal bar corresponds to one sample, and the x-axis indicates isoform usage proportion (sum = 1 per sample). This panel illustrates inter-individual variability in transcript composition at the locus.</w:t>
      </w:r>
    </w:p>
    <w:p w14:paraId="275B96FB" w14:textId="77777777" w:rsidR="008E3B54" w:rsidRDefault="008E3B54">
      <w:pPr>
        <w:spacing w:before="160" w:line="276" w:lineRule="auto"/>
        <w:jc w:val="both"/>
        <w:rPr>
          <w:rFonts w:ascii="Times New Roman" w:eastAsia="Times New Roman" w:hAnsi="Times New Roman" w:cs="Times New Roman"/>
          <w:b/>
          <w:bCs/>
          <w:sz w:val="22"/>
          <w:szCs w:val="22"/>
        </w:rPr>
      </w:pPr>
    </w:p>
    <w:p w14:paraId="7FBBE5CF" w14:textId="77777777" w:rsidR="008E3B54" w:rsidRDefault="008E3B54">
      <w:pPr>
        <w:spacing w:before="160" w:line="276" w:lineRule="auto"/>
        <w:jc w:val="both"/>
        <w:rPr>
          <w:rFonts w:ascii="Times New Roman" w:eastAsia="Times New Roman" w:hAnsi="Times New Roman" w:cs="Times New Roman"/>
          <w:b/>
          <w:bCs/>
          <w:sz w:val="22"/>
          <w:szCs w:val="22"/>
        </w:rPr>
      </w:pPr>
    </w:p>
    <w:p w14:paraId="666C331A" w14:textId="77777777" w:rsidR="008E3B54" w:rsidRDefault="008E3B54">
      <w:pPr>
        <w:spacing w:before="160" w:line="276" w:lineRule="auto"/>
        <w:jc w:val="both"/>
        <w:rPr>
          <w:rFonts w:ascii="Times New Roman" w:eastAsia="Times New Roman" w:hAnsi="Times New Roman" w:cs="Times New Roman"/>
          <w:b/>
          <w:bCs/>
          <w:sz w:val="22"/>
          <w:szCs w:val="22"/>
        </w:rPr>
      </w:pPr>
    </w:p>
    <w:p w14:paraId="5FF164DA" w14:textId="77777777" w:rsidR="008E3B54" w:rsidRDefault="008E3B54">
      <w:pPr>
        <w:spacing w:before="160" w:line="276" w:lineRule="auto"/>
        <w:jc w:val="both"/>
        <w:rPr>
          <w:rFonts w:ascii="Times New Roman" w:eastAsia="Times New Roman" w:hAnsi="Times New Roman" w:cs="Times New Roman"/>
          <w:b/>
          <w:bCs/>
          <w:sz w:val="22"/>
          <w:szCs w:val="22"/>
        </w:rPr>
      </w:pPr>
    </w:p>
    <w:p w14:paraId="4AB6FB6D" w14:textId="77777777" w:rsidR="008E3B54" w:rsidRDefault="008E3B54">
      <w:pPr>
        <w:spacing w:before="160" w:line="276" w:lineRule="auto"/>
        <w:jc w:val="both"/>
        <w:rPr>
          <w:rFonts w:ascii="Times New Roman" w:eastAsia="Times New Roman" w:hAnsi="Times New Roman" w:cs="Times New Roman"/>
          <w:b/>
          <w:bCs/>
          <w:sz w:val="22"/>
          <w:szCs w:val="22"/>
        </w:rPr>
      </w:pPr>
    </w:p>
    <w:p w14:paraId="68D86494" w14:textId="77777777" w:rsidR="008E3B54" w:rsidRDefault="008E3B54">
      <w:pPr>
        <w:spacing w:before="160" w:line="276" w:lineRule="auto"/>
        <w:jc w:val="both"/>
        <w:rPr>
          <w:rFonts w:ascii="Times New Roman" w:eastAsia="Times New Roman" w:hAnsi="Times New Roman" w:cs="Times New Roman"/>
          <w:b/>
          <w:bCs/>
          <w:sz w:val="22"/>
          <w:szCs w:val="22"/>
        </w:rPr>
      </w:pPr>
    </w:p>
    <w:p w14:paraId="509775C1" w14:textId="77777777" w:rsidR="008E3B54" w:rsidRDefault="008E3B54">
      <w:pPr>
        <w:spacing w:before="160" w:line="276" w:lineRule="auto"/>
        <w:jc w:val="both"/>
        <w:rPr>
          <w:rFonts w:ascii="Times New Roman" w:eastAsia="Times New Roman" w:hAnsi="Times New Roman" w:cs="Times New Roman"/>
          <w:b/>
          <w:bCs/>
          <w:sz w:val="22"/>
          <w:szCs w:val="22"/>
        </w:rPr>
      </w:pPr>
    </w:p>
    <w:p w14:paraId="5D8D4DD8" w14:textId="77777777" w:rsidR="008E3B54" w:rsidRDefault="008E3B54">
      <w:pPr>
        <w:spacing w:before="160" w:line="276" w:lineRule="auto"/>
        <w:jc w:val="both"/>
        <w:rPr>
          <w:rFonts w:ascii="Times New Roman" w:eastAsia="Times New Roman" w:hAnsi="Times New Roman" w:cs="Times New Roman"/>
          <w:b/>
          <w:bCs/>
          <w:sz w:val="22"/>
          <w:szCs w:val="22"/>
        </w:rPr>
      </w:pPr>
    </w:p>
    <w:p w14:paraId="10F0446B"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lastRenderedPageBreak/>
        <w:drawing>
          <wp:inline distT="114300" distB="114300" distL="114300" distR="114300" wp14:anchorId="055AC194" wp14:editId="05C10583">
            <wp:extent cx="4886325" cy="6141776"/>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86325" cy="6141776"/>
                    </a:xfrm>
                    <a:prstGeom prst="rect">
                      <a:avLst/>
                    </a:prstGeom>
                    <a:ln/>
                  </pic:spPr>
                </pic:pic>
              </a:graphicData>
            </a:graphic>
          </wp:inline>
        </w:drawing>
      </w:r>
    </w:p>
    <w:p w14:paraId="6C7D7464"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S8: m6A RNA modifications group and m6A-QTL gene description.</w:t>
      </w:r>
    </w:p>
    <w:p w14:paraId="23E71106"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Of the 18 motifs that would be evaluated to identify m6A modifications, some were more commonly found than others. The bar-plot shows the number of modifications identified per motif by m6Anet, using the 17,491 unfiltered modifications reported. (</w:t>
      </w:r>
      <w:r>
        <w:rPr>
          <w:rFonts w:ascii="Times New Roman" w:eastAsia="Times New Roman" w:hAnsi="Times New Roman" w:cs="Times New Roman"/>
          <w:b/>
          <w:bCs/>
          <w:sz w:val="22"/>
          <w:szCs w:val="22"/>
        </w:rPr>
        <w:t>B</w:t>
      </w:r>
      <w:r>
        <w:rPr>
          <w:rFonts w:ascii="Times New Roman" w:eastAsia="Times New Roman" w:hAnsi="Times New Roman" w:cs="Times New Roman"/>
          <w:sz w:val="22"/>
          <w:szCs w:val="22"/>
        </w:rPr>
        <w:t xml:space="preserve">) Histogram showing the number of missing values (NAs) per modification across the 60 samples and from the 17,491 modifications annotated to known genes in </w:t>
      </w:r>
      <w:proofErr w:type="spellStart"/>
      <w:r>
        <w:rPr>
          <w:rFonts w:ascii="Times New Roman" w:eastAsia="Times New Roman" w:hAnsi="Times New Roman" w:cs="Times New Roman"/>
          <w:sz w:val="22"/>
          <w:szCs w:val="22"/>
        </w:rPr>
        <w:t>Gencode</w:t>
      </w:r>
      <w:proofErr w:type="spellEnd"/>
      <w:r>
        <w:rPr>
          <w:rFonts w:ascii="Times New Roman" w:eastAsia="Times New Roman" w:hAnsi="Times New Roman" w:cs="Times New Roman"/>
          <w:sz w:val="22"/>
          <w:szCs w:val="22"/>
        </w:rPr>
        <w:t xml:space="preserve"> v46 and reported by m6Anet. We filtered any modifications missing in more than 30 samples (50%).  (</w:t>
      </w:r>
      <w:r>
        <w:rPr>
          <w:rFonts w:ascii="Times New Roman" w:eastAsia="Times New Roman" w:hAnsi="Times New Roman" w:cs="Times New Roman"/>
          <w:b/>
          <w:bCs/>
          <w:sz w:val="22"/>
          <w:szCs w:val="22"/>
        </w:rPr>
        <w:t>C-D</w:t>
      </w:r>
      <w:r>
        <w:rPr>
          <w:rFonts w:ascii="Times New Roman" w:eastAsia="Times New Roman" w:hAnsi="Times New Roman" w:cs="Times New Roman"/>
          <w:sz w:val="22"/>
          <w:szCs w:val="22"/>
        </w:rPr>
        <w:t xml:space="preserve">) Boxplots show the variance in the ratio of modified versus unmodified reads for each </w:t>
      </w:r>
      <w:proofErr w:type="spellStart"/>
      <w:r>
        <w:rPr>
          <w:rFonts w:ascii="Times New Roman" w:eastAsia="Times New Roman" w:hAnsi="Times New Roman" w:cs="Times New Roman"/>
          <w:sz w:val="22"/>
          <w:szCs w:val="22"/>
        </w:rPr>
        <w:t>m⁶A</w:t>
      </w:r>
      <w:proofErr w:type="spellEnd"/>
      <w:r>
        <w:rPr>
          <w:rFonts w:ascii="Times New Roman" w:eastAsia="Times New Roman" w:hAnsi="Times New Roman" w:cs="Times New Roman"/>
          <w:sz w:val="22"/>
          <w:szCs w:val="22"/>
        </w:rPr>
        <w:t xml:space="preserve"> modification across samples. Values are grouped by the 18 sequence motifs associated with </w:t>
      </w:r>
      <w:proofErr w:type="spellStart"/>
      <w:r>
        <w:rPr>
          <w:rFonts w:ascii="Times New Roman" w:eastAsia="Times New Roman" w:hAnsi="Times New Roman" w:cs="Times New Roman"/>
          <w:sz w:val="22"/>
          <w:szCs w:val="22"/>
        </w:rPr>
        <w:t>m⁶A</w:t>
      </w:r>
      <w:proofErr w:type="spellEnd"/>
      <w:r>
        <w:rPr>
          <w:rFonts w:ascii="Times New Roman" w:eastAsia="Times New Roman" w:hAnsi="Times New Roman" w:cs="Times New Roman"/>
          <w:sz w:val="22"/>
          <w:szCs w:val="22"/>
        </w:rPr>
        <w:t xml:space="preserve">. </w:t>
      </w:r>
      <w:r>
        <w:rPr>
          <w:rFonts w:ascii="Times New Roman" w:eastAsia="Times New Roman" w:hAnsi="Times New Roman" w:cs="Times New Roman"/>
          <w:b/>
          <w:bCs/>
          <w:sz w:val="22"/>
          <w:szCs w:val="22"/>
        </w:rPr>
        <w:t>(C)</w:t>
      </w:r>
      <w:r>
        <w:rPr>
          <w:rFonts w:ascii="Times New Roman" w:eastAsia="Times New Roman" w:hAnsi="Times New Roman" w:cs="Times New Roman"/>
          <w:sz w:val="22"/>
          <w:szCs w:val="22"/>
        </w:rPr>
        <w:t xml:space="preserve"> includes all 17,491 modification events identified after quality filtering (detected in at least one transcript and one individual), while </w:t>
      </w:r>
      <w:r>
        <w:rPr>
          <w:rFonts w:ascii="Times New Roman" w:eastAsia="Times New Roman" w:hAnsi="Times New Roman" w:cs="Times New Roman"/>
          <w:b/>
          <w:bCs/>
          <w:sz w:val="22"/>
          <w:szCs w:val="22"/>
        </w:rPr>
        <w:t>(D)</w:t>
      </w:r>
      <w:r>
        <w:rPr>
          <w:rFonts w:ascii="Times New Roman" w:eastAsia="Times New Roman" w:hAnsi="Times New Roman" w:cs="Times New Roman"/>
          <w:sz w:val="22"/>
          <w:szCs w:val="22"/>
        </w:rPr>
        <w:t xml:space="preserve"> shows the top 30% most variable modifications (n = 2,761) selected </w:t>
      </w:r>
      <w:proofErr w:type="spellStart"/>
      <w:r>
        <w:rPr>
          <w:rFonts w:ascii="Times New Roman" w:eastAsia="Times New Roman" w:hAnsi="Times New Roman" w:cs="Times New Roman"/>
          <w:sz w:val="22"/>
          <w:szCs w:val="22"/>
        </w:rPr>
        <w:t>for m</w:t>
      </w:r>
      <w:proofErr w:type="spellEnd"/>
      <w:r>
        <w:rPr>
          <w:rFonts w:ascii="Times New Roman" w:eastAsia="Times New Roman" w:hAnsi="Times New Roman" w:cs="Times New Roman"/>
          <w:sz w:val="22"/>
          <w:szCs w:val="22"/>
        </w:rPr>
        <w:t xml:space="preserve">⁶A-QTL mapping. Most modifications exhibit low variability, with variance typically ranging from 0 to 0.02. </w:t>
      </w:r>
      <w:r>
        <w:rPr>
          <w:rFonts w:ascii="Times New Roman" w:eastAsia="Times New Roman" w:hAnsi="Times New Roman" w:cs="Times New Roman"/>
          <w:b/>
          <w:bCs/>
          <w:sz w:val="22"/>
          <w:szCs w:val="22"/>
        </w:rPr>
        <w:t>(E-G)</w:t>
      </w:r>
      <w:r>
        <w:rPr>
          <w:rFonts w:ascii="Times New Roman" w:eastAsia="Times New Roman" w:hAnsi="Times New Roman" w:cs="Times New Roman"/>
          <w:sz w:val="22"/>
          <w:szCs w:val="22"/>
        </w:rPr>
        <w:t xml:space="preserve"> </w:t>
      </w:r>
      <w:proofErr w:type="gramStart"/>
      <w:r>
        <w:rPr>
          <w:rFonts w:ascii="Times New Roman" w:eastAsia="Times New Roman" w:hAnsi="Times New Roman" w:cs="Times New Roman"/>
          <w:sz w:val="22"/>
          <w:szCs w:val="22"/>
        </w:rPr>
        <w:t>Box-plots</w:t>
      </w:r>
      <w:proofErr w:type="gramEnd"/>
      <w:r>
        <w:rPr>
          <w:rFonts w:ascii="Times New Roman" w:eastAsia="Times New Roman" w:hAnsi="Times New Roman" w:cs="Times New Roman"/>
          <w:sz w:val="22"/>
          <w:szCs w:val="22"/>
        </w:rPr>
        <w:t xml:space="preserve"> showing the overall number of transcripts produced by genes for which no m6AQTL were found in their transcripts (pink) and genes that produce transcripts affected by m6AQTL (light blue). Wilcoxon </w:t>
      </w:r>
      <w:proofErr w:type="spellStart"/>
      <w:r>
        <w:rPr>
          <w:rFonts w:ascii="Times New Roman" w:eastAsia="Times New Roman" w:hAnsi="Times New Roman" w:cs="Times New Roman"/>
          <w:sz w:val="22"/>
          <w:szCs w:val="22"/>
        </w:rPr>
        <w:t>pvalues</w:t>
      </w:r>
      <w:proofErr w:type="spellEnd"/>
      <w:r>
        <w:rPr>
          <w:rFonts w:ascii="Times New Roman" w:eastAsia="Times New Roman" w:hAnsi="Times New Roman" w:cs="Times New Roman"/>
          <w:sz w:val="22"/>
          <w:szCs w:val="22"/>
        </w:rPr>
        <w:t xml:space="preserve"> are 8.49e</w:t>
      </w:r>
      <w:r>
        <w:rPr>
          <w:rFonts w:ascii="Times New Roman" w:eastAsia="Times New Roman" w:hAnsi="Times New Roman" w:cs="Times New Roman"/>
          <w:sz w:val="22"/>
          <w:szCs w:val="22"/>
          <w:vertAlign w:val="superscript"/>
        </w:rPr>
        <w:t>-158</w:t>
      </w:r>
      <w:r>
        <w:rPr>
          <w:rFonts w:ascii="Times New Roman" w:eastAsia="Times New Roman" w:hAnsi="Times New Roman" w:cs="Times New Roman"/>
          <w:sz w:val="22"/>
          <w:szCs w:val="22"/>
        </w:rPr>
        <w:t xml:space="preserve"> for all the transcripts together (</w:t>
      </w:r>
      <w:r>
        <w:rPr>
          <w:rFonts w:ascii="Times New Roman" w:eastAsia="Times New Roman" w:hAnsi="Times New Roman" w:cs="Times New Roman"/>
          <w:b/>
          <w:bCs/>
          <w:sz w:val="22"/>
          <w:szCs w:val="22"/>
        </w:rPr>
        <w:t>E</w:t>
      </w:r>
      <w:r>
        <w:rPr>
          <w:rFonts w:ascii="Times New Roman" w:eastAsia="Times New Roman" w:hAnsi="Times New Roman" w:cs="Times New Roman"/>
          <w:sz w:val="22"/>
          <w:szCs w:val="22"/>
        </w:rPr>
        <w:t>), 6.19e</w:t>
      </w:r>
      <w:r>
        <w:rPr>
          <w:rFonts w:ascii="Times New Roman" w:eastAsia="Times New Roman" w:hAnsi="Times New Roman" w:cs="Times New Roman"/>
          <w:sz w:val="22"/>
          <w:szCs w:val="22"/>
          <w:vertAlign w:val="superscript"/>
        </w:rPr>
        <w:t>-106</w:t>
      </w:r>
      <w:r>
        <w:rPr>
          <w:rFonts w:ascii="Times New Roman" w:eastAsia="Times New Roman" w:hAnsi="Times New Roman" w:cs="Times New Roman"/>
          <w:sz w:val="22"/>
          <w:szCs w:val="22"/>
        </w:rPr>
        <w:t xml:space="preserve"> for only the annotated transcripts (</w:t>
      </w:r>
      <w:r>
        <w:rPr>
          <w:rFonts w:ascii="Times New Roman" w:eastAsia="Times New Roman" w:hAnsi="Times New Roman" w:cs="Times New Roman"/>
          <w:b/>
          <w:bCs/>
          <w:sz w:val="22"/>
          <w:szCs w:val="22"/>
        </w:rPr>
        <w:t>F</w:t>
      </w:r>
      <w:r>
        <w:rPr>
          <w:rFonts w:ascii="Times New Roman" w:eastAsia="Times New Roman" w:hAnsi="Times New Roman" w:cs="Times New Roman"/>
          <w:sz w:val="22"/>
          <w:szCs w:val="22"/>
        </w:rPr>
        <w:t>) and 4.21e</w:t>
      </w:r>
      <w:r>
        <w:rPr>
          <w:rFonts w:ascii="Times New Roman" w:eastAsia="Times New Roman" w:hAnsi="Times New Roman" w:cs="Times New Roman"/>
          <w:sz w:val="22"/>
          <w:szCs w:val="22"/>
          <w:vertAlign w:val="superscript"/>
        </w:rPr>
        <w:t>-84</w:t>
      </w:r>
      <w:r>
        <w:rPr>
          <w:rFonts w:ascii="Times New Roman" w:eastAsia="Times New Roman" w:hAnsi="Times New Roman" w:cs="Times New Roman"/>
          <w:sz w:val="22"/>
          <w:szCs w:val="22"/>
        </w:rPr>
        <w:t xml:space="preserve"> for only the novel transcripts (</w:t>
      </w:r>
      <w:r>
        <w:rPr>
          <w:rFonts w:ascii="Times New Roman" w:eastAsia="Times New Roman" w:hAnsi="Times New Roman" w:cs="Times New Roman"/>
          <w:b/>
          <w:bCs/>
          <w:sz w:val="22"/>
          <w:szCs w:val="22"/>
        </w:rPr>
        <w:t>G</w:t>
      </w:r>
      <w:r>
        <w:rPr>
          <w:rFonts w:ascii="Times New Roman" w:eastAsia="Times New Roman" w:hAnsi="Times New Roman" w:cs="Times New Roman"/>
          <w:sz w:val="22"/>
          <w:szCs w:val="22"/>
        </w:rPr>
        <w:t>).</w:t>
      </w:r>
    </w:p>
    <w:p w14:paraId="7284CDD9" w14:textId="77777777" w:rsidR="008E3B54" w:rsidRDefault="008E3B54">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p>
    <w:p w14:paraId="6BD9E049" w14:textId="77777777" w:rsidR="008E3B54" w:rsidRDefault="00000000">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114300" distB="114300" distL="114300" distR="114300" wp14:anchorId="58FD35A6" wp14:editId="050010F4">
            <wp:extent cx="6119820" cy="5638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6119820" cy="5638800"/>
                    </a:xfrm>
                    <a:prstGeom prst="rect">
                      <a:avLst/>
                    </a:prstGeom>
                    <a:ln/>
                  </pic:spPr>
                </pic:pic>
              </a:graphicData>
            </a:graphic>
          </wp:inline>
        </w:drawing>
      </w:r>
    </w:p>
    <w:p w14:paraId="207E4449" w14:textId="77777777" w:rsidR="008E3B54" w:rsidRDefault="00000000">
      <w:pPr>
        <w:spacing w:before="160" w:line="276"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S9: Colocalization between </w:t>
      </w:r>
      <w:proofErr w:type="spellStart"/>
      <w:r>
        <w:rPr>
          <w:rFonts w:ascii="Times New Roman" w:eastAsia="Times New Roman" w:hAnsi="Times New Roman" w:cs="Times New Roman"/>
          <w:b/>
          <w:bCs/>
          <w:sz w:val="22"/>
          <w:szCs w:val="22"/>
        </w:rPr>
        <w:t>trQTL</w:t>
      </w:r>
      <w:proofErr w:type="spellEnd"/>
      <w:r>
        <w:rPr>
          <w:rFonts w:ascii="Times New Roman" w:eastAsia="Times New Roman" w:hAnsi="Times New Roman" w:cs="Times New Roman"/>
          <w:b/>
          <w:bCs/>
          <w:sz w:val="22"/>
          <w:szCs w:val="22"/>
        </w:rPr>
        <w:t xml:space="preserve"> and GWAS signals</w:t>
      </w:r>
    </w:p>
    <w:p w14:paraId="270E706C" w14:textId="77777777" w:rsidR="008E3B54" w:rsidRDefault="00000000">
      <w:pPr>
        <w:spacing w:before="16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b/>
          <w:bCs/>
          <w:sz w:val="22"/>
          <w:szCs w:val="22"/>
        </w:rPr>
        <w:t>A</w:t>
      </w:r>
      <w:r>
        <w:rPr>
          <w:rFonts w:ascii="Times New Roman" w:eastAsia="Times New Roman" w:hAnsi="Times New Roman" w:cs="Times New Roman"/>
          <w:sz w:val="22"/>
          <w:szCs w:val="22"/>
        </w:rPr>
        <w:t xml:space="preserve">) Variants within ±200 kb of the </w:t>
      </w:r>
      <w:proofErr w:type="spellStart"/>
      <w:r>
        <w:rPr>
          <w:rFonts w:ascii="Times New Roman" w:eastAsia="Times New Roman" w:hAnsi="Times New Roman" w:cs="Times New Roman"/>
          <w:sz w:val="22"/>
          <w:szCs w:val="22"/>
        </w:rPr>
        <w:t>m⁶A</w:t>
      </w:r>
      <w:proofErr w:type="spellEnd"/>
      <w:r>
        <w:rPr>
          <w:rFonts w:ascii="Times New Roman" w:eastAsia="Times New Roman" w:hAnsi="Times New Roman" w:cs="Times New Roman"/>
          <w:sz w:val="22"/>
          <w:szCs w:val="22"/>
        </w:rPr>
        <w:t xml:space="preserve"> site at the OAS1 locus, </w:t>
      </w:r>
      <w:proofErr w:type="spellStart"/>
      <w:r>
        <w:rPr>
          <w:rFonts w:ascii="Times New Roman" w:eastAsia="Times New Roman" w:hAnsi="Times New Roman" w:cs="Times New Roman"/>
          <w:sz w:val="22"/>
          <w:szCs w:val="22"/>
        </w:rPr>
        <w:t>colored</w:t>
      </w:r>
      <w:proofErr w:type="spellEnd"/>
      <w:r>
        <w:rPr>
          <w:rFonts w:ascii="Times New Roman" w:eastAsia="Times New Roman" w:hAnsi="Times New Roman" w:cs="Times New Roman"/>
          <w:sz w:val="22"/>
          <w:szCs w:val="22"/>
        </w:rPr>
        <w:t xml:space="preserve"> by LD (r²) with rs1154970. Symbols denote lead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(square), </w:t>
      </w:r>
      <w:proofErr w:type="spellStart"/>
      <w:r>
        <w:rPr>
          <w:rFonts w:ascii="Times New Roman" w:eastAsia="Times New Roman" w:hAnsi="Times New Roman" w:cs="Times New Roman"/>
          <w:sz w:val="22"/>
          <w:szCs w:val="22"/>
        </w:rPr>
        <w:t>eQTL</w:t>
      </w:r>
      <w:proofErr w:type="spellEnd"/>
      <w:r>
        <w:rPr>
          <w:rFonts w:ascii="Times New Roman" w:eastAsia="Times New Roman" w:hAnsi="Times New Roman" w:cs="Times New Roman"/>
          <w:sz w:val="22"/>
          <w:szCs w:val="22"/>
        </w:rPr>
        <w:t xml:space="preserve"> (circle), and </w:t>
      </w:r>
      <w:proofErr w:type="spellStart"/>
      <w:r>
        <w:rPr>
          <w:rFonts w:ascii="Times New Roman" w:eastAsia="Times New Roman" w:hAnsi="Times New Roman" w:cs="Times New Roman"/>
          <w:sz w:val="22"/>
          <w:szCs w:val="22"/>
        </w:rPr>
        <w:t>sQTL</w:t>
      </w:r>
      <w:proofErr w:type="spellEnd"/>
      <w:r>
        <w:rPr>
          <w:rFonts w:ascii="Times New Roman" w:eastAsia="Times New Roman" w:hAnsi="Times New Roman" w:cs="Times New Roman"/>
          <w:sz w:val="22"/>
          <w:szCs w:val="22"/>
        </w:rPr>
        <w:t xml:space="preserve"> (triangle) variants. Strong LD and attenuation of associations upon conditioning indicate a shared genetic signal across molecular phenotypes. (</w:t>
      </w:r>
      <w:r>
        <w:rPr>
          <w:rFonts w:ascii="Times New Roman" w:eastAsia="Times New Roman" w:hAnsi="Times New Roman" w:cs="Times New Roman"/>
          <w:b/>
          <w:bCs/>
          <w:sz w:val="22"/>
          <w:szCs w:val="22"/>
        </w:rPr>
        <w:t>B</w:t>
      </w:r>
      <w:r>
        <w:rPr>
          <w:rFonts w:ascii="Times New Roman" w:eastAsia="Times New Roman" w:hAnsi="Times New Roman" w:cs="Times New Roman"/>
          <w:sz w:val="22"/>
          <w:szCs w:val="22"/>
        </w:rPr>
        <w:t xml:space="preserve">) (right) </w:t>
      </w:r>
      <w:proofErr w:type="spellStart"/>
      <w:r>
        <w:rPr>
          <w:rFonts w:ascii="Times New Roman" w:eastAsia="Times New Roman" w:hAnsi="Times New Roman" w:cs="Times New Roman"/>
          <w:sz w:val="22"/>
          <w:szCs w:val="22"/>
        </w:rPr>
        <w:t>LocusZoom</w:t>
      </w:r>
      <w:proofErr w:type="spellEnd"/>
      <w:r>
        <w:rPr>
          <w:rFonts w:ascii="Times New Roman" w:eastAsia="Times New Roman" w:hAnsi="Times New Roman" w:cs="Times New Roman"/>
          <w:sz w:val="22"/>
          <w:szCs w:val="22"/>
        </w:rPr>
        <w:t xml:space="preserve">-style plots showing a ~1 Mb region </w:t>
      </w:r>
      <w:proofErr w:type="spellStart"/>
      <w:r>
        <w:rPr>
          <w:rFonts w:ascii="Times New Roman" w:eastAsia="Times New Roman" w:hAnsi="Times New Roman" w:cs="Times New Roman"/>
          <w:sz w:val="22"/>
          <w:szCs w:val="22"/>
        </w:rPr>
        <w:t>centered</w:t>
      </w:r>
      <w:proofErr w:type="spellEnd"/>
      <w:r>
        <w:rPr>
          <w:rFonts w:ascii="Times New Roman" w:eastAsia="Times New Roman" w:hAnsi="Times New Roman" w:cs="Times New Roman"/>
          <w:sz w:val="22"/>
          <w:szCs w:val="22"/>
        </w:rPr>
        <w:t xml:space="preserve"> on the lead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SNP (rs2271543) for the gene TMBIM1, which colocalizes with a GWAS signal for inflammatory bowel disease (IBD) [de Lange KM et al., Nat. Genetics, 2017]. The top panel shows GWAS association statistics and the bottom panel shows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association statistics. The x-axis represents genomic position on chromosome 2 (Mb), and the y-axis shows –log10(P) values. Each point corresponds to a SNP, </w:t>
      </w:r>
      <w:proofErr w:type="spellStart"/>
      <w:r>
        <w:rPr>
          <w:rFonts w:ascii="Times New Roman" w:eastAsia="Times New Roman" w:hAnsi="Times New Roman" w:cs="Times New Roman"/>
          <w:sz w:val="22"/>
          <w:szCs w:val="22"/>
        </w:rPr>
        <w:t>colored</w:t>
      </w:r>
      <w:proofErr w:type="spellEnd"/>
      <w:r>
        <w:rPr>
          <w:rFonts w:ascii="Times New Roman" w:eastAsia="Times New Roman" w:hAnsi="Times New Roman" w:cs="Times New Roman"/>
          <w:sz w:val="22"/>
          <w:szCs w:val="22"/>
        </w:rPr>
        <w:t xml:space="preserve"> according to linkage disequilibrium (r²) with the lead SNP (rs2271543), which is highlighted in purple. (left) Scatter plot comparing GWAS and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association signals across shared variants at the locus. Each point represents a SNP, with the x-axis showing </w:t>
      </w:r>
      <w:proofErr w:type="spellStart"/>
      <w:r>
        <w:rPr>
          <w:rFonts w:ascii="Times New Roman" w:eastAsia="Times New Roman" w:hAnsi="Times New Roman" w:cs="Times New Roman"/>
          <w:sz w:val="22"/>
          <w:szCs w:val="22"/>
        </w:rPr>
        <w:t>trQTL</w:t>
      </w:r>
      <w:proofErr w:type="spellEnd"/>
      <w:r>
        <w:rPr>
          <w:rFonts w:ascii="Times New Roman" w:eastAsia="Times New Roman" w:hAnsi="Times New Roman" w:cs="Times New Roman"/>
          <w:sz w:val="22"/>
          <w:szCs w:val="22"/>
        </w:rPr>
        <w:t xml:space="preserve"> –log10(P) values and the y-axis showing GWAS –log10(P) values. Points are </w:t>
      </w:r>
      <w:proofErr w:type="spellStart"/>
      <w:r>
        <w:rPr>
          <w:rFonts w:ascii="Times New Roman" w:eastAsia="Times New Roman" w:hAnsi="Times New Roman" w:cs="Times New Roman"/>
          <w:sz w:val="22"/>
          <w:szCs w:val="22"/>
        </w:rPr>
        <w:t>colored</w:t>
      </w:r>
      <w:proofErr w:type="spellEnd"/>
      <w:r>
        <w:rPr>
          <w:rFonts w:ascii="Times New Roman" w:eastAsia="Times New Roman" w:hAnsi="Times New Roman" w:cs="Times New Roman"/>
          <w:sz w:val="22"/>
          <w:szCs w:val="22"/>
        </w:rPr>
        <w:t xml:space="preserve"> according to linkage disequilibrium (r²) with the lead SNP, illustrating concordance between regulatory and disease association signals.</w:t>
      </w:r>
    </w:p>
    <w:p w14:paraId="6FFBB925" w14:textId="77777777" w:rsidR="008E3B54" w:rsidRDefault="008E3B54">
      <w:pPr>
        <w:spacing w:before="160" w:line="276" w:lineRule="auto"/>
        <w:jc w:val="both"/>
        <w:rPr>
          <w:rFonts w:ascii="Times New Roman" w:eastAsia="Times New Roman" w:hAnsi="Times New Roman" w:cs="Times New Roman"/>
          <w:sz w:val="22"/>
          <w:szCs w:val="22"/>
        </w:rPr>
      </w:pPr>
    </w:p>
    <w:p w14:paraId="26FABF72" w14:textId="77777777" w:rsidR="008E3B54" w:rsidRDefault="008E3B54">
      <w:pPr>
        <w:pBdr>
          <w:top w:val="nil"/>
          <w:left w:val="nil"/>
          <w:bottom w:val="nil"/>
          <w:right w:val="nil"/>
          <w:between w:val="nil"/>
        </w:pBdr>
        <w:spacing w:after="140" w:line="276" w:lineRule="auto"/>
        <w:jc w:val="both"/>
        <w:rPr>
          <w:rFonts w:ascii="Times New Roman" w:eastAsia="Times New Roman" w:hAnsi="Times New Roman" w:cs="Times New Roman"/>
          <w:sz w:val="22"/>
          <w:szCs w:val="22"/>
        </w:rPr>
      </w:pPr>
    </w:p>
    <w:sectPr w:rsidR="008E3B54">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auto"/>
    <w:pitch w:val="default"/>
  </w:font>
  <w:font w:name="Noto Serif CJK SC">
    <w:altName w:val="Cambria"/>
    <w:panose1 w:val="020B0604020202020204"/>
    <w:charset w:val="00"/>
    <w:family w:val="roman"/>
    <w:pitch w:val="default"/>
  </w:font>
  <w:font w:name="Lohit Devanagari">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embedRegular r:id="rId10" w:fontKey="{53FA7365-0E7D-5541-A449-4EF0E3B48F86}"/>
    <w:embedBold r:id="rId11" w:fontKey="{72DAE47B-A508-E04A-97F3-1BC76DFB32B8}"/>
    <w:embedItalic r:id="rId12" w:fontKey="{CA397BBE-9D76-5444-B38D-08D17452FF0D}"/>
    <w:embedBoldItalic r:id="rId13" w:fontKey="{5DD11E98-9A9B-FE48-970A-C6934D26BB8D}"/>
  </w:font>
  <w:font w:name="Liberation Sans">
    <w:altName w:val="Arial"/>
    <w:panose1 w:val="020B0604020202020204"/>
    <w:charset w:val="01"/>
    <w:family w:val="roman"/>
    <w:pitch w:val="variable"/>
  </w:font>
  <w:font w:name="Noto Sans CJK SC">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Italic r:id="rId15" w:fontKey="{E69FA0C4-79A0-2341-9CE1-EF474CBAFB9B}"/>
  </w:font>
  <w:font w:name="Cardo">
    <w:panose1 w:val="020B0604020202020204"/>
    <w:charset w:val="00"/>
    <w:family w:val="auto"/>
    <w:pitch w:val="default"/>
    <w:embedRegular r:id="rId16" w:fontKey="{4CA0E2EF-6D9E-DC4A-859E-01676574A6F3}"/>
  </w:font>
  <w:font w:name="Arial">
    <w:panose1 w:val="020B0604020202020204"/>
    <w:charset w:val="00"/>
    <w:family w:val="swiss"/>
    <w:pitch w:val="variable"/>
    <w:sig w:usb0="E0002AFF" w:usb1="C0007843" w:usb2="00000009" w:usb3="00000000" w:csb0="000001FF" w:csb1="00000000"/>
    <w:embedRegular r:id="rId17" w:fontKey="{2D867605-49A8-3A47-BB1F-528E64D613D3}"/>
  </w:font>
  <w:font w:name="Gungsuh">
    <w:panose1 w:val="02030600000101010101"/>
    <w:charset w:val="81"/>
    <w:family w:val="roman"/>
    <w:pitch w:val="variable"/>
    <w:sig w:usb0="B00002AF" w:usb1="69D77CFB" w:usb2="00000030" w:usb3="00000000" w:csb0="0008009F" w:csb1="00000000"/>
    <w:embedRegular r:id="rId18" w:subsetted="1" w:fontKey="{3613C2AA-96A1-1C45-80DA-CDA6BCA99B36}"/>
  </w:font>
  <w:font w:name="Calibri">
    <w:panose1 w:val="020F0502020204030204"/>
    <w:charset w:val="00"/>
    <w:family w:val="swiss"/>
    <w:pitch w:val="variable"/>
    <w:sig w:usb0="E0002AFF" w:usb1="C000247B" w:usb2="00000009" w:usb3="00000000" w:csb0="000001FF" w:csb1="00000000"/>
    <w:embedRegular r:id="rId19" w:fontKey="{52171E19-C66B-FD4D-A87E-FB1F6197A9AD}"/>
  </w:font>
  <w:font w:name="Cambria">
    <w:panose1 w:val="02040503050406030204"/>
    <w:charset w:val="00"/>
    <w:family w:val="roman"/>
    <w:pitch w:val="variable"/>
    <w:sig w:usb0="E00006FF" w:usb1="420024FF" w:usb2="02000000" w:usb3="00000000" w:csb0="0000019F" w:csb1="00000000"/>
    <w:embedRegular r:id="rId20" w:fontKey="{9BFEF957-C147-9B4C-BF38-C2840B8A46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54"/>
    <w:rsid w:val="007C7D67"/>
    <w:rsid w:val="008E3B54"/>
    <w:rsid w:val="00C67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510B49"/>
  <w15:docId w15:val="{C43D3BB2-93BF-F847-8437-2945CED76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Noto Serif CJK SC" w:cs="Lohit Devanagari"/>
      <w:kern w:val="2"/>
      <w:lang w:eastAsia="zh-CN" w:bidi="hi-IN"/>
    </w:rPr>
  </w:style>
  <w:style w:type="paragraph" w:styleId="Heading1">
    <w:name w:val="heading 1"/>
    <w:basedOn w:val="Heading"/>
    <w:next w:val="BodyText"/>
    <w:uiPriority w:val="9"/>
    <w:qFormat/>
    <w:pPr>
      <w:outlineLvl w:val="0"/>
    </w:pPr>
    <w:rPr>
      <w:rFonts w:ascii="Liberation Serif" w:eastAsia="Noto Serif CJK SC" w:hAnsi="Liberation Serif"/>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80"/>
      <w:u w:val="single"/>
      <w:lang/>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0HgBCQGv5OLWIVGllVE1Nve1jw==">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1504</Words>
  <Characters>8534</Characters>
  <Application>Microsoft Office Word</Application>
  <DocSecurity>0</DocSecurity>
  <Lines>135</Lines>
  <Paragraphs>22</Paragraphs>
  <ScaleCrop>false</ScaleCrop>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Viñuela</dc:creator>
  <cp:lastModifiedBy>Aline Real</cp:lastModifiedBy>
  <cp:revision>2</cp:revision>
  <dcterms:created xsi:type="dcterms:W3CDTF">2026-04-22T20:50:00Z</dcterms:created>
  <dcterms:modified xsi:type="dcterms:W3CDTF">2026-04-22T20:50:00Z</dcterms:modified>
</cp:coreProperties>
</file>