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B6F21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</w:rPr>
      </w:pPr>
      <w:r w:rsidRPr="00E44C95">
        <w:rPr>
          <w:b/>
          <w:bCs/>
          <w:color w:val="000000" w:themeColor="text1"/>
        </w:rPr>
        <w:t>SUPPLEMENT</w:t>
      </w:r>
    </w:p>
    <w:p w14:paraId="251304FB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</w:rPr>
      </w:pPr>
    </w:p>
    <w:p w14:paraId="65B2C94E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Table</w:t>
      </w:r>
      <w:r w:rsidRPr="00C86A79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</w:rPr>
        <w:t>S</w:t>
      </w:r>
      <w:r w:rsidRPr="00C86A79">
        <w:rPr>
          <w:rFonts w:asciiTheme="majorBidi" w:hAnsiTheme="majorBidi" w:cstheme="majorBidi"/>
          <w:b/>
          <w:bCs/>
          <w:color w:val="000000" w:themeColor="text1"/>
        </w:rPr>
        <w:t>1</w:t>
      </w:r>
      <w:r>
        <w:rPr>
          <w:rFonts w:asciiTheme="majorBidi" w:hAnsiTheme="majorBidi" w:cstheme="majorBidi"/>
          <w:b/>
          <w:bCs/>
          <w:color w:val="000000" w:themeColor="text1"/>
        </w:rPr>
        <w:t xml:space="preserve">. </w:t>
      </w:r>
      <w:r w:rsidRPr="00A10592">
        <w:rPr>
          <w:rFonts w:asciiTheme="majorBidi" w:hAnsiTheme="majorBidi" w:cstheme="majorBidi"/>
          <w:b/>
          <w:bCs/>
          <w:color w:val="000000" w:themeColor="text1"/>
        </w:rPr>
        <w:t>MGB Full Cohort PAD Patient Demographics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25"/>
        <w:gridCol w:w="1620"/>
      </w:tblGrid>
      <w:tr w:rsidR="00BF2DA9" w:rsidRPr="005E4FE7" w14:paraId="4C158779" w14:textId="77777777" w:rsidTr="000E6C99">
        <w:trPr>
          <w:trHeight w:val="144"/>
        </w:trPr>
        <w:tc>
          <w:tcPr>
            <w:tcW w:w="6025" w:type="dxa"/>
            <w:noWrap/>
          </w:tcPr>
          <w:p w14:paraId="16E1910D" w14:textId="77777777" w:rsidR="00BF2DA9" w:rsidRPr="00C40D60" w:rsidRDefault="00BF2DA9" w:rsidP="000E6C9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0D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Predominantly antibody deficiency, n</w:t>
            </w:r>
          </w:p>
        </w:tc>
        <w:tc>
          <w:tcPr>
            <w:tcW w:w="1620" w:type="dxa"/>
            <w:noWrap/>
            <w:vAlign w:val="center"/>
          </w:tcPr>
          <w:p w14:paraId="66865FC9" w14:textId="77777777" w:rsidR="00BF2DA9" w:rsidRPr="00CD7980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525</w:t>
            </w:r>
          </w:p>
        </w:tc>
      </w:tr>
      <w:tr w:rsidR="00BF2DA9" w:rsidRPr="005E4FE7" w14:paraId="00E51654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70FB048C" w14:textId="77777777" w:rsidR="00BF2DA9" w:rsidRPr="00C40D60" w:rsidRDefault="00BF2DA9" w:rsidP="000E6C9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0D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 age (years, [s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 w:rsidRPr="00C40D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d]) </w:t>
            </w:r>
          </w:p>
        </w:tc>
        <w:tc>
          <w:tcPr>
            <w:tcW w:w="1620" w:type="dxa"/>
            <w:noWrap/>
            <w:vAlign w:val="center"/>
            <w:hideMark/>
          </w:tcPr>
          <w:p w14:paraId="68EA55A9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55.46 [19.44]</w:t>
            </w:r>
          </w:p>
        </w:tc>
      </w:tr>
      <w:tr w:rsidR="00BF2DA9" w:rsidRPr="005E4FE7" w14:paraId="3D6B4449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6F965780" w14:textId="77777777" w:rsidR="00BF2DA9" w:rsidRPr="00C40D60" w:rsidRDefault="00BF2DA9" w:rsidP="000E6C9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0D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1620" w:type="dxa"/>
            <w:noWrap/>
            <w:hideMark/>
          </w:tcPr>
          <w:p w14:paraId="75A7B22C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F2DA9" w:rsidRPr="005E4FE7" w14:paraId="6D2A361A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57277990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Male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(% [n])</w:t>
            </w:r>
          </w:p>
        </w:tc>
        <w:tc>
          <w:tcPr>
            <w:tcW w:w="1620" w:type="dxa"/>
            <w:noWrap/>
            <w:vAlign w:val="center"/>
            <w:hideMark/>
          </w:tcPr>
          <w:p w14:paraId="206F695F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33.53 (169)</w:t>
            </w:r>
          </w:p>
        </w:tc>
      </w:tr>
      <w:tr w:rsidR="00BF2DA9" w:rsidRPr="005E4FE7" w14:paraId="32AEC62A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076A866C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Female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(% [n])</w:t>
            </w:r>
          </w:p>
        </w:tc>
        <w:tc>
          <w:tcPr>
            <w:tcW w:w="1620" w:type="dxa"/>
            <w:noWrap/>
            <w:vAlign w:val="center"/>
            <w:hideMark/>
          </w:tcPr>
          <w:p w14:paraId="1CB3A432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66.67 (335)</w:t>
            </w:r>
          </w:p>
        </w:tc>
      </w:tr>
      <w:tr w:rsidR="00BF2DA9" w:rsidRPr="005E4FE7" w14:paraId="0B41693A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75F51557" w14:textId="77777777" w:rsidR="00BF2DA9" w:rsidRPr="00C40D60" w:rsidRDefault="00BF2DA9" w:rsidP="000E6C9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0D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Race (% [n])</w:t>
            </w:r>
          </w:p>
        </w:tc>
        <w:tc>
          <w:tcPr>
            <w:tcW w:w="1620" w:type="dxa"/>
            <w:noWrap/>
            <w:hideMark/>
          </w:tcPr>
          <w:p w14:paraId="5640B3E0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F2DA9" w:rsidRPr="005E4FE7" w14:paraId="5B3ED657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676E892B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Non-Hispanic </w:t>
            </w:r>
            <w:r w:rsidRPr="005E4FE7">
              <w:rPr>
                <w:rFonts w:asciiTheme="majorBidi" w:hAnsiTheme="majorBidi" w:cstheme="majorBidi"/>
                <w:sz w:val="24"/>
                <w:szCs w:val="24"/>
              </w:rPr>
              <w:t>White</w:t>
            </w:r>
          </w:p>
        </w:tc>
        <w:tc>
          <w:tcPr>
            <w:tcW w:w="1620" w:type="dxa"/>
            <w:noWrap/>
            <w:vAlign w:val="center"/>
            <w:hideMark/>
          </w:tcPr>
          <w:p w14:paraId="1691322E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93 (458)</w:t>
            </w:r>
          </w:p>
        </w:tc>
      </w:tr>
      <w:tr w:rsidR="00BF2DA9" w:rsidRPr="005E4FE7" w14:paraId="6ADCCD14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14B1BA53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Black/African American</w:t>
            </w:r>
          </w:p>
        </w:tc>
        <w:tc>
          <w:tcPr>
            <w:tcW w:w="1620" w:type="dxa"/>
            <w:noWrap/>
            <w:vAlign w:val="center"/>
            <w:hideMark/>
          </w:tcPr>
          <w:p w14:paraId="0145B927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1 (5)</w:t>
            </w:r>
          </w:p>
        </w:tc>
      </w:tr>
      <w:tr w:rsidR="00BF2DA9" w:rsidRPr="005E4FE7" w14:paraId="0C339492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33B47626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Asian</w:t>
            </w:r>
          </w:p>
        </w:tc>
        <w:tc>
          <w:tcPr>
            <w:tcW w:w="1620" w:type="dxa"/>
            <w:noWrap/>
            <w:vAlign w:val="center"/>
            <w:hideMark/>
          </w:tcPr>
          <w:p w14:paraId="2D2554D1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1 (4)</w:t>
            </w:r>
          </w:p>
        </w:tc>
      </w:tr>
      <w:tr w:rsidR="00BF2DA9" w:rsidRPr="005E4FE7" w14:paraId="55D710D3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31D752D2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American Indian/Alaska</w:t>
            </w:r>
          </w:p>
        </w:tc>
        <w:tc>
          <w:tcPr>
            <w:tcW w:w="1620" w:type="dxa"/>
            <w:noWrap/>
            <w:vAlign w:val="center"/>
            <w:hideMark/>
          </w:tcPr>
          <w:p w14:paraId="2C911B75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0.2 (1)</w:t>
            </w:r>
          </w:p>
        </w:tc>
      </w:tr>
      <w:tr w:rsidR="00BF2DA9" w:rsidRPr="005E4FE7" w14:paraId="5615FA51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36AD46C5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Native Hawaiian Other Pacific Islander</w:t>
            </w:r>
          </w:p>
        </w:tc>
        <w:tc>
          <w:tcPr>
            <w:tcW w:w="1620" w:type="dxa"/>
            <w:noWrap/>
            <w:vAlign w:val="center"/>
            <w:hideMark/>
          </w:tcPr>
          <w:p w14:paraId="3080BE6C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0 (0)</w:t>
            </w:r>
          </w:p>
        </w:tc>
      </w:tr>
      <w:tr w:rsidR="00BF2DA9" w:rsidRPr="005E4FE7" w14:paraId="7F7896CD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2430E166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Declined/Two or more/Other/Unknown</w:t>
            </w:r>
          </w:p>
        </w:tc>
        <w:tc>
          <w:tcPr>
            <w:tcW w:w="1620" w:type="dxa"/>
            <w:noWrap/>
            <w:vAlign w:val="center"/>
            <w:hideMark/>
          </w:tcPr>
          <w:p w14:paraId="0243D615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6 (28)</w:t>
            </w:r>
          </w:p>
        </w:tc>
      </w:tr>
      <w:tr w:rsidR="00BF2DA9" w:rsidRPr="005E4FE7" w14:paraId="4F1A5E7C" w14:textId="77777777" w:rsidTr="000E6C99">
        <w:trPr>
          <w:trHeight w:val="144"/>
        </w:trPr>
        <w:tc>
          <w:tcPr>
            <w:tcW w:w="6025" w:type="dxa"/>
            <w:noWrap/>
            <w:hideMark/>
          </w:tcPr>
          <w:p w14:paraId="503E3900" w14:textId="77777777" w:rsidR="00BF2DA9" w:rsidRPr="00C40D60" w:rsidRDefault="00BF2DA9" w:rsidP="000E6C9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0D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Predominantly antibody deficiency type (% [n])</w:t>
            </w:r>
          </w:p>
        </w:tc>
        <w:tc>
          <w:tcPr>
            <w:tcW w:w="1620" w:type="dxa"/>
            <w:noWrap/>
            <w:hideMark/>
          </w:tcPr>
          <w:p w14:paraId="7E1D8F96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F2DA9" w:rsidRPr="005E4FE7" w14:paraId="2B96D6EB" w14:textId="77777777" w:rsidTr="000E6C99">
        <w:trPr>
          <w:trHeight w:val="144"/>
        </w:trPr>
        <w:tc>
          <w:tcPr>
            <w:tcW w:w="6025" w:type="dxa"/>
            <w:noWrap/>
          </w:tcPr>
          <w:p w14:paraId="41A79197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omplicated C</w:t>
            </w:r>
            <w:r w:rsidRPr="005E4FE7">
              <w:rPr>
                <w:rFonts w:asciiTheme="majorBidi" w:hAnsiTheme="majorBidi" w:cstheme="majorBidi"/>
                <w:sz w:val="24"/>
                <w:szCs w:val="24"/>
              </w:rPr>
              <w:t>VID</w:t>
            </w:r>
          </w:p>
        </w:tc>
        <w:tc>
          <w:tcPr>
            <w:tcW w:w="1620" w:type="dxa"/>
            <w:noWrap/>
            <w:vAlign w:val="center"/>
          </w:tcPr>
          <w:p w14:paraId="54891FD3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26 (137)</w:t>
            </w:r>
          </w:p>
        </w:tc>
      </w:tr>
      <w:tr w:rsidR="00BF2DA9" w:rsidRPr="005E4FE7" w14:paraId="1A8DFF47" w14:textId="77777777" w:rsidTr="000E6C99">
        <w:trPr>
          <w:trHeight w:val="144"/>
        </w:trPr>
        <w:tc>
          <w:tcPr>
            <w:tcW w:w="6025" w:type="dxa"/>
            <w:noWrap/>
          </w:tcPr>
          <w:p w14:paraId="54BFB31C" w14:textId="77777777" w:rsidR="00BF2DA9" w:rsidRPr="005E4FE7" w:rsidRDefault="00BF2DA9" w:rsidP="000E6C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Common variable immunodeficiency (CVID)</w:t>
            </w:r>
          </w:p>
        </w:tc>
        <w:tc>
          <w:tcPr>
            <w:tcW w:w="1620" w:type="dxa"/>
            <w:noWrap/>
            <w:vAlign w:val="center"/>
          </w:tcPr>
          <w:p w14:paraId="59472CC9" w14:textId="77777777" w:rsidR="00BF2DA9" w:rsidRPr="005E4FE7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39 (203)</w:t>
            </w:r>
          </w:p>
        </w:tc>
      </w:tr>
      <w:tr w:rsidR="00BF2DA9" w:rsidRPr="005E4FE7" w14:paraId="2E027015" w14:textId="77777777" w:rsidTr="000E6C99">
        <w:trPr>
          <w:trHeight w:val="144"/>
        </w:trPr>
        <w:tc>
          <w:tcPr>
            <w:tcW w:w="6025" w:type="dxa"/>
            <w:noWrap/>
          </w:tcPr>
          <w:p w14:paraId="5486FB9E" w14:textId="77777777" w:rsidR="00BF2DA9" w:rsidRPr="005E4FE7" w:rsidRDefault="00BF2DA9" w:rsidP="000E6C99">
            <w:pPr>
              <w:rPr>
                <w:rFonts w:asciiTheme="majorBidi" w:hAnsiTheme="majorBidi" w:cstheme="majorBidi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Primary Hypogammaglobulinemia</w:t>
            </w:r>
          </w:p>
        </w:tc>
        <w:tc>
          <w:tcPr>
            <w:tcW w:w="1620" w:type="dxa"/>
            <w:noWrap/>
            <w:vAlign w:val="center"/>
          </w:tcPr>
          <w:p w14:paraId="596FB869" w14:textId="77777777" w:rsidR="00BF2DA9" w:rsidRPr="005C1F5A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18 (95)</w:t>
            </w:r>
          </w:p>
        </w:tc>
      </w:tr>
      <w:tr w:rsidR="00BF2DA9" w:rsidRPr="005E4FE7" w14:paraId="75330732" w14:textId="77777777" w:rsidTr="000E6C99">
        <w:trPr>
          <w:trHeight w:val="144"/>
        </w:trPr>
        <w:tc>
          <w:tcPr>
            <w:tcW w:w="6025" w:type="dxa"/>
            <w:noWrap/>
          </w:tcPr>
          <w:p w14:paraId="2E92AA99" w14:textId="77777777" w:rsidR="00BF2DA9" w:rsidRPr="005E4FE7" w:rsidRDefault="00BF2DA9" w:rsidP="000E6C99">
            <w:pPr>
              <w:rPr>
                <w:rFonts w:asciiTheme="majorBidi" w:hAnsiTheme="majorBidi" w:cstheme="majorBidi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Secondary Hypogammaglobulinemia</w:t>
            </w:r>
          </w:p>
        </w:tc>
        <w:tc>
          <w:tcPr>
            <w:tcW w:w="1620" w:type="dxa"/>
            <w:noWrap/>
            <w:vAlign w:val="center"/>
          </w:tcPr>
          <w:p w14:paraId="4BA788AC" w14:textId="77777777" w:rsidR="00BF2DA9" w:rsidRPr="005C1F5A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3 (18)</w:t>
            </w:r>
          </w:p>
        </w:tc>
      </w:tr>
      <w:tr w:rsidR="00BF2DA9" w:rsidRPr="005E4FE7" w14:paraId="0DA06A0E" w14:textId="77777777" w:rsidTr="000E6C99">
        <w:trPr>
          <w:trHeight w:val="144"/>
        </w:trPr>
        <w:tc>
          <w:tcPr>
            <w:tcW w:w="6025" w:type="dxa"/>
            <w:noWrap/>
          </w:tcPr>
          <w:p w14:paraId="41A80BC4" w14:textId="77777777" w:rsidR="00BF2DA9" w:rsidRPr="005E4FE7" w:rsidRDefault="00BF2DA9" w:rsidP="000E6C99">
            <w:pPr>
              <w:rPr>
                <w:rFonts w:asciiTheme="majorBidi" w:hAnsiTheme="majorBidi" w:cstheme="majorBidi"/>
              </w:rPr>
            </w:pPr>
            <w:r w:rsidRPr="005E4FE7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Specific antibody deficiency</w:t>
            </w:r>
          </w:p>
        </w:tc>
        <w:tc>
          <w:tcPr>
            <w:tcW w:w="1620" w:type="dxa"/>
            <w:noWrap/>
            <w:vAlign w:val="center"/>
          </w:tcPr>
          <w:p w14:paraId="66D828C1" w14:textId="77777777" w:rsidR="00BF2DA9" w:rsidRPr="005C1F5A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8 (43)</w:t>
            </w:r>
          </w:p>
        </w:tc>
      </w:tr>
      <w:tr w:rsidR="00BF2DA9" w:rsidRPr="005E4FE7" w14:paraId="5C1ADD67" w14:textId="77777777" w:rsidTr="000E6C99">
        <w:trPr>
          <w:trHeight w:val="144"/>
        </w:trPr>
        <w:tc>
          <w:tcPr>
            <w:tcW w:w="6025" w:type="dxa"/>
            <w:noWrap/>
          </w:tcPr>
          <w:p w14:paraId="5E114AD0" w14:textId="77777777" w:rsidR="00BF2DA9" w:rsidRPr="005E4FE7" w:rsidRDefault="00BF2DA9" w:rsidP="000E6C9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IgG subclass deficiency </w:t>
            </w:r>
          </w:p>
        </w:tc>
        <w:tc>
          <w:tcPr>
            <w:tcW w:w="1620" w:type="dxa"/>
            <w:noWrap/>
            <w:vAlign w:val="center"/>
          </w:tcPr>
          <w:p w14:paraId="58700273" w14:textId="77777777" w:rsidR="00BF2DA9" w:rsidRPr="005C1F5A" w:rsidRDefault="00BF2DA9" w:rsidP="000E6C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4055">
              <w:rPr>
                <w:rFonts w:asciiTheme="majorBidi" w:hAnsiTheme="majorBidi" w:cstheme="majorBidi"/>
                <w:sz w:val="24"/>
                <w:szCs w:val="24"/>
              </w:rPr>
              <w:t>6 (29)</w:t>
            </w:r>
          </w:p>
        </w:tc>
      </w:tr>
    </w:tbl>
    <w:p w14:paraId="0DAC9A47" w14:textId="77777777" w:rsidR="00BF2DA9" w:rsidRDefault="00BF2DA9" w:rsidP="00BF2DA9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31A751D0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7AFA5EFE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721B2C95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178A4924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E44C95">
        <w:rPr>
          <w:b/>
          <w:bCs/>
          <w:color w:val="000000" w:themeColor="text1"/>
        </w:rPr>
        <w:t>Figure S1:</w:t>
      </w:r>
      <w:r>
        <w:rPr>
          <w:b/>
          <w:bCs/>
          <w:color w:val="000000" w:themeColor="text1"/>
        </w:rPr>
        <w:t xml:space="preserve"> </w:t>
      </w:r>
      <w:r w:rsidRPr="002B7F86">
        <w:rPr>
          <w:rFonts w:asciiTheme="majorBidi" w:hAnsiTheme="majorBidi" w:cstheme="majorBidi"/>
          <w:b/>
          <w:bCs/>
          <w:color w:val="000000" w:themeColor="text1"/>
        </w:rPr>
        <w:t xml:space="preserve">Percentage of poor self-rated health status, mental health, and physical health among </w:t>
      </w:r>
      <w:r>
        <w:rPr>
          <w:rFonts w:asciiTheme="majorBidi" w:hAnsiTheme="majorBidi" w:cstheme="majorBidi"/>
          <w:b/>
          <w:bCs/>
          <w:color w:val="000000" w:themeColor="text1"/>
        </w:rPr>
        <w:t>primary PAD</w:t>
      </w:r>
      <w:r w:rsidRPr="002B7F86">
        <w:rPr>
          <w:rFonts w:asciiTheme="majorBidi" w:hAnsiTheme="majorBidi" w:cstheme="majorBidi"/>
          <w:b/>
          <w:bCs/>
          <w:color w:val="000000" w:themeColor="text1"/>
        </w:rPr>
        <w:t xml:space="preserve"> patients </w:t>
      </w:r>
      <w:r>
        <w:rPr>
          <w:rFonts w:asciiTheme="majorBidi" w:hAnsiTheme="majorBidi" w:cstheme="majorBidi"/>
          <w:b/>
          <w:bCs/>
          <w:color w:val="000000" w:themeColor="text1"/>
        </w:rPr>
        <w:t xml:space="preserve">by immunoglobin replacement therapy status. </w:t>
      </w:r>
    </w:p>
    <w:p w14:paraId="2F24AB0B" w14:textId="77777777" w:rsidR="00BF2DA9" w:rsidRPr="00E44C95" w:rsidRDefault="00BF2DA9" w:rsidP="00BF2DA9">
      <w:pPr>
        <w:pStyle w:val="NormalWeb"/>
        <w:spacing w:before="0" w:beforeAutospacing="0" w:after="0" w:afterAutospacing="0" w:line="480" w:lineRule="auto"/>
        <w:jc w:val="center"/>
        <w:rPr>
          <w:b/>
          <w:bCs/>
          <w:color w:val="000000" w:themeColor="text1"/>
        </w:rPr>
      </w:pPr>
    </w:p>
    <w:p w14:paraId="2CC28AFB" w14:textId="77777777" w:rsidR="00BF2DA9" w:rsidRPr="008C525F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  <w:r w:rsidRPr="00E44C95">
        <w:rPr>
          <w:color w:val="000000" w:themeColor="text1"/>
        </w:rPr>
        <w:t xml:space="preserve">Figure S1. </w:t>
      </w:r>
      <w:r w:rsidRPr="002B7F86">
        <w:rPr>
          <w:color w:val="000000" w:themeColor="text1"/>
        </w:rPr>
        <w:t>The figure represents the distribution of self-rated health status: A) Fair or poor self-rated health status, B) Mental health not good for ≥14 days, and C) Physical health not good for ≥14 days, compar</w:t>
      </w:r>
      <w:r>
        <w:rPr>
          <w:color w:val="000000" w:themeColor="text1"/>
        </w:rPr>
        <w:t>ing patients who received IgRT (blue</w:t>
      </w:r>
      <w:r w:rsidRPr="002B7F86">
        <w:rPr>
          <w:color w:val="000000" w:themeColor="text1"/>
        </w:rPr>
        <w:t xml:space="preserve"> bar; n=</w:t>
      </w:r>
      <w:r>
        <w:rPr>
          <w:color w:val="000000" w:themeColor="text1"/>
        </w:rPr>
        <w:t>48) and those who did not (orange</w:t>
      </w:r>
      <w:r w:rsidRPr="002B7F86">
        <w:rPr>
          <w:color w:val="000000" w:themeColor="text1"/>
        </w:rPr>
        <w:t xml:space="preserve"> </w:t>
      </w:r>
      <w:r w:rsidRPr="002B7F86">
        <w:rPr>
          <w:color w:val="000000" w:themeColor="text1"/>
        </w:rPr>
        <w:lastRenderedPageBreak/>
        <w:t>bar; n=</w:t>
      </w:r>
      <w:r>
        <w:rPr>
          <w:color w:val="000000" w:themeColor="text1"/>
        </w:rPr>
        <w:t>18).</w:t>
      </w:r>
      <w:r w:rsidRPr="002B7F86">
        <w:rPr>
          <w:color w:val="000000" w:themeColor="text1"/>
        </w:rPr>
        <w:t xml:space="preserve"> Each bar indicates the proportion of individuals who reported their health status.</w:t>
      </w:r>
      <w:r>
        <w:rPr>
          <w:color w:val="000000" w:themeColor="text1"/>
        </w:rPr>
        <w:t xml:space="preserve"> </w:t>
      </w:r>
      <w:r w:rsidRPr="002B7F86">
        <w:rPr>
          <w:color w:val="000000" w:themeColor="text1"/>
        </w:rPr>
        <w:t>Error bars represent the</w:t>
      </w:r>
      <w:r w:rsidRPr="00C0318A">
        <w:rPr>
          <w:color w:val="000000" w:themeColor="text1"/>
        </w:rPr>
        <w:t xml:space="preserve"> 95% confidence interval of the proportion</w:t>
      </w:r>
      <w:r>
        <w:rPr>
          <w:color w:val="000000" w:themeColor="text1"/>
        </w:rPr>
        <w:t xml:space="preserve"> o</w:t>
      </w:r>
      <w:r w:rsidRPr="002B7F86">
        <w:rPr>
          <w:color w:val="000000" w:themeColor="text1"/>
        </w:rPr>
        <w:t xml:space="preserve">f respondents. </w:t>
      </w:r>
    </w:p>
    <w:p w14:paraId="3E5A8BB0" w14:textId="77777777" w:rsidR="00BF2DA9" w:rsidRPr="008C525F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</w:p>
    <w:p w14:paraId="32ADA3DF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</w:rPr>
      </w:pPr>
    </w:p>
    <w:p w14:paraId="4A74800C" w14:textId="77777777" w:rsidR="00BF2DA9" w:rsidRPr="00FE1E4B" w:rsidRDefault="00BF2DA9" w:rsidP="00BF2DA9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hd w:val="clear" w:color="auto" w:fill="FEFEFE"/>
        </w:rPr>
      </w:pPr>
      <w:r w:rsidRPr="00FE1E4B">
        <w:rPr>
          <w:rFonts w:asciiTheme="majorBidi" w:hAnsiTheme="majorBidi" w:cstheme="majorBidi"/>
          <w:b/>
          <w:bCs/>
          <w:color w:val="000000" w:themeColor="text1"/>
          <w:shd w:val="clear" w:color="auto" w:fill="FEFEFE"/>
        </w:rPr>
        <w:t>Figure S2: Percentage of poor self-rated health status, mental health, and physical health among primary PAD patients by immunomodulator therapy status.</w:t>
      </w:r>
    </w:p>
    <w:p w14:paraId="7261249F" w14:textId="77777777" w:rsidR="00BF2DA9" w:rsidRPr="00FE1E4B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</w:p>
    <w:p w14:paraId="13C6E6EB" w14:textId="77777777" w:rsidR="00BF2DA9" w:rsidRPr="00FE1E4B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  <w:r w:rsidRPr="00FE1E4B">
        <w:rPr>
          <w:color w:val="000000" w:themeColor="text1"/>
        </w:rPr>
        <w:t>Figure S2. The figure represents the distribution of self-rated health status: A) Fair or poor self-rated health status, B) Mental health not good for ≥14 days, and C) Physical health not good for ≥14 days, comparing patients who received immunomodulator therapy (blue bar; n=</w:t>
      </w:r>
      <w:r>
        <w:rPr>
          <w:color w:val="000000" w:themeColor="text1"/>
        </w:rPr>
        <w:t>55</w:t>
      </w:r>
      <w:r w:rsidRPr="00FE1E4B">
        <w:rPr>
          <w:color w:val="000000" w:themeColor="text1"/>
        </w:rPr>
        <w:t>) and those who did not (orange bar; n=</w:t>
      </w:r>
      <w:r>
        <w:rPr>
          <w:color w:val="000000" w:themeColor="text1"/>
        </w:rPr>
        <w:t>21</w:t>
      </w:r>
      <w:r w:rsidRPr="00FE1E4B">
        <w:rPr>
          <w:color w:val="000000" w:themeColor="text1"/>
        </w:rPr>
        <w:t>). Each bar indicates the proportion of individuals who reported their health status. Error bars represent the 95% confidence interval of the proportion of respondents.</w:t>
      </w:r>
    </w:p>
    <w:p w14:paraId="5095824A" w14:textId="77777777" w:rsidR="00BF2DA9" w:rsidRDefault="00BF2DA9" w:rsidP="00BF2DA9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shd w:val="clear" w:color="auto" w:fill="FEFEFE"/>
        </w:rPr>
      </w:pPr>
    </w:p>
    <w:p w14:paraId="12B41E36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</w:rPr>
      </w:pPr>
      <w:r w:rsidRPr="00FE1E4B">
        <w:rPr>
          <w:rFonts w:asciiTheme="majorBidi" w:eastAsiaTheme="majorEastAsia" w:hAnsiTheme="majorBidi" w:cstheme="majorBidi"/>
          <w:b/>
          <w:bCs/>
          <w:color w:val="000000" w:themeColor="text1"/>
          <w:shd w:val="clear" w:color="auto" w:fill="FEFEFE"/>
        </w:rPr>
        <w:t xml:space="preserve">Figure S3: Percentage of poor self-rated health status, mental health, and physical health </w:t>
      </w:r>
      <w:r w:rsidRPr="00FE1E4B">
        <w:rPr>
          <w:b/>
          <w:bCs/>
          <w:color w:val="000000" w:themeColor="text1"/>
        </w:rPr>
        <w:t>among primary PAD patients by genetic etiology status.</w:t>
      </w:r>
    </w:p>
    <w:p w14:paraId="22F7C27A" w14:textId="77777777" w:rsidR="00BF2DA9" w:rsidRPr="00FE1E4B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</w:rPr>
      </w:pPr>
    </w:p>
    <w:p w14:paraId="15EC9964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</w:rPr>
      </w:pPr>
      <w:r w:rsidRPr="00FE1E4B">
        <w:rPr>
          <w:b/>
          <w:bCs/>
          <w:color w:val="000000" w:themeColor="text1"/>
        </w:rPr>
        <w:t>Figure S3.</w:t>
      </w:r>
      <w:r w:rsidRPr="00FE1E4B">
        <w:rPr>
          <w:color w:val="000000" w:themeColor="text1"/>
        </w:rPr>
        <w:t xml:space="preserve"> The figure represents the distribution of self-rated health status: A) Fair or poor self-rated health status, B) Mental health not good for ≥14 days, and C) Physical health not good for ≥14 days, comparing patients with identified genetic etiology (blue bar; n=</w:t>
      </w:r>
      <w:r>
        <w:rPr>
          <w:color w:val="000000" w:themeColor="text1"/>
        </w:rPr>
        <w:t>10</w:t>
      </w:r>
      <w:r w:rsidRPr="00FE1E4B">
        <w:rPr>
          <w:color w:val="000000" w:themeColor="text1"/>
        </w:rPr>
        <w:t>) and those with not identified genetic etiology (orange bar; n=</w:t>
      </w:r>
      <w:r>
        <w:rPr>
          <w:color w:val="000000" w:themeColor="text1"/>
        </w:rPr>
        <w:t>66</w:t>
      </w:r>
      <w:r w:rsidRPr="00FE1E4B">
        <w:rPr>
          <w:color w:val="000000" w:themeColor="text1"/>
        </w:rPr>
        <w:t>). Each bar indicates the proportion of individuals who reported their health status. Error bars represent the 95% confidence interval of the proportion of respondents.</w:t>
      </w:r>
    </w:p>
    <w:p w14:paraId="30C5475A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1B4F201D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458FB8E6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35B52A85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022CF76D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121CD28A" w14:textId="77777777" w:rsidR="00BF2DA9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76C5A59D" w14:textId="77777777" w:rsidR="00BF2DA9" w:rsidRPr="00E44C95" w:rsidRDefault="00BF2DA9" w:rsidP="00BF2DA9">
      <w:pPr>
        <w:pStyle w:val="NormalWeb"/>
        <w:spacing w:before="0" w:beforeAutospacing="0" w:after="0" w:afterAutospacing="0" w:line="480" w:lineRule="auto"/>
        <w:jc w:val="both"/>
        <w:rPr>
          <w:i/>
          <w:iCs/>
          <w:color w:val="000000" w:themeColor="text1"/>
          <w:shd w:val="clear" w:color="auto" w:fill="FEFEFE"/>
        </w:rPr>
      </w:pPr>
    </w:p>
    <w:p w14:paraId="176F72B2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C86A79">
        <w:rPr>
          <w:rFonts w:asciiTheme="majorBidi" w:hAnsiTheme="majorBidi" w:cstheme="majorBidi"/>
          <w:b/>
          <w:bCs/>
          <w:color w:val="000000" w:themeColor="text1"/>
        </w:rPr>
        <w:t xml:space="preserve">Figure </w:t>
      </w:r>
      <w:r>
        <w:rPr>
          <w:rFonts w:asciiTheme="majorBidi" w:hAnsiTheme="majorBidi" w:cstheme="majorBidi"/>
          <w:b/>
          <w:bCs/>
          <w:color w:val="000000" w:themeColor="text1"/>
        </w:rPr>
        <w:t>S</w:t>
      </w:r>
      <w:r w:rsidRPr="00C86A79">
        <w:rPr>
          <w:rFonts w:asciiTheme="majorBidi" w:hAnsiTheme="majorBidi" w:cstheme="majorBidi"/>
          <w:b/>
          <w:bCs/>
          <w:color w:val="000000" w:themeColor="text1"/>
        </w:rPr>
        <w:t>1</w:t>
      </w:r>
      <w:r>
        <w:rPr>
          <w:rFonts w:asciiTheme="majorBidi" w:hAnsiTheme="majorBidi" w:cstheme="majorBidi"/>
          <w:b/>
          <w:bCs/>
          <w:color w:val="000000" w:themeColor="text1"/>
        </w:rPr>
        <w:t>.</w:t>
      </w:r>
    </w:p>
    <w:p w14:paraId="298FD77B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29031AAC" wp14:editId="77230D13">
            <wp:extent cx="2098555" cy="7860484"/>
            <wp:effectExtent l="0" t="0" r="0" b="1270"/>
            <wp:docPr id="1897632972" name="Picture 2" descr="A graph of a person's mental heal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632972" name="Picture 2" descr="A graph of a person's mental health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256" cy="7878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A41BC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C86A79">
        <w:rPr>
          <w:rFonts w:asciiTheme="majorBidi" w:hAnsiTheme="majorBidi" w:cstheme="majorBidi"/>
          <w:b/>
          <w:bCs/>
          <w:color w:val="000000" w:themeColor="text1"/>
        </w:rPr>
        <w:t xml:space="preserve">Figure </w:t>
      </w:r>
      <w:r>
        <w:rPr>
          <w:rFonts w:asciiTheme="majorBidi" w:hAnsiTheme="majorBidi" w:cstheme="majorBidi"/>
          <w:b/>
          <w:bCs/>
          <w:color w:val="000000" w:themeColor="text1"/>
        </w:rPr>
        <w:t>S2.</w:t>
      </w:r>
    </w:p>
    <w:p w14:paraId="51C877AD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16B994E1" wp14:editId="689142B1">
            <wp:extent cx="1970321" cy="7146758"/>
            <wp:effectExtent l="0" t="0" r="0" b="3810"/>
            <wp:docPr id="2037930985" name="Picture 5" descr="A graph of a pati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930985" name="Picture 5" descr="A graph of a patien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489" cy="717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41266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3B6291C5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4F7F0DAE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C86A79">
        <w:rPr>
          <w:rFonts w:asciiTheme="majorBidi" w:hAnsiTheme="majorBidi" w:cstheme="majorBidi"/>
          <w:b/>
          <w:bCs/>
          <w:color w:val="000000" w:themeColor="text1"/>
        </w:rPr>
        <w:t xml:space="preserve">Figure </w:t>
      </w:r>
      <w:r>
        <w:rPr>
          <w:rFonts w:asciiTheme="majorBidi" w:hAnsiTheme="majorBidi" w:cstheme="majorBidi"/>
          <w:b/>
          <w:bCs/>
          <w:color w:val="000000" w:themeColor="text1"/>
        </w:rPr>
        <w:t>S3.</w:t>
      </w:r>
    </w:p>
    <w:p w14:paraId="583CA141" w14:textId="77777777" w:rsidR="00BF2DA9" w:rsidRDefault="00BF2DA9" w:rsidP="00BF2DA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27B88108" wp14:editId="6C3AC5A1">
            <wp:extent cx="1964623" cy="6930189"/>
            <wp:effectExtent l="0" t="0" r="4445" b="4445"/>
            <wp:docPr id="418274087" name="Picture 6" descr="A graph of a person's mental heal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274087" name="Picture 6" descr="A graph of a person's mental health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656" cy="694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855B8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DA9"/>
    <w:rsid w:val="00207679"/>
    <w:rsid w:val="00BF2DA9"/>
    <w:rsid w:val="00FB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8F9AE"/>
  <w15:chartTrackingRefBased/>
  <w15:docId w15:val="{60BB7C13-B314-4849-90DE-A0C9DC951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DA9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F2D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D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DA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DA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DA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DA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DA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DA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DA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D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D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D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D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D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D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D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D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2D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2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DA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2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2DA9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D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2DA9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D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D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2DA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F2DA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F2DA9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408</Words>
  <Characters>2327</Characters>
  <Application>Microsoft Office Word</Application>
  <DocSecurity>0</DocSecurity>
  <Lines>19</Lines>
  <Paragraphs>5</Paragraphs>
  <ScaleCrop>false</ScaleCrop>
  <Company>Springer Nature</Company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2024-07-11T06:16:00Z</dcterms:created>
  <dcterms:modified xsi:type="dcterms:W3CDTF">2024-07-11T06:16:00Z</dcterms:modified>
</cp:coreProperties>
</file>