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CCAF0C" w14:textId="67A89B0D" w:rsidR="00243090" w:rsidRPr="00243090" w:rsidRDefault="00243090" w:rsidP="00243090">
      <w:pPr>
        <w:pStyle w:val="Heading1"/>
        <w:spacing w:line="360" w:lineRule="auto"/>
        <w:rPr>
          <w:rFonts w:ascii="Times New Roman" w:hAnsi="Times New Roman" w:cs="Times New Roman"/>
          <w:b/>
          <w:bCs/>
          <w:color w:val="auto"/>
          <w:sz w:val="36"/>
          <w:szCs w:val="36"/>
          <w:lang w:val="en-US"/>
        </w:rPr>
      </w:pPr>
      <w:bookmarkStart w:id="0" w:name="_Hlk163108240"/>
      <w:r w:rsidRPr="00243090">
        <w:rPr>
          <w:rFonts w:ascii="Times New Roman" w:hAnsi="Times New Roman" w:cs="Times New Roman"/>
          <w:b/>
          <w:bCs/>
          <w:color w:val="auto"/>
          <w:sz w:val="36"/>
          <w:szCs w:val="36"/>
          <w:lang w:val="en-US"/>
        </w:rPr>
        <w:t>First Hip Hemiarthroplasty in Göttingen Minipigs; Surgical and Post-mortem Protocol</w:t>
      </w:r>
      <w:bookmarkEnd w:id="0"/>
    </w:p>
    <w:p w14:paraId="732F81F2" w14:textId="156452E4" w:rsidR="00243090" w:rsidRPr="00243090" w:rsidRDefault="00243090" w:rsidP="00243090">
      <w:pPr>
        <w:pStyle w:val="Heading2"/>
        <w:rPr>
          <w:rFonts w:ascii="Calibri Light" w:hAnsi="Calibri Light" w:cs="Calibri Light"/>
          <w:sz w:val="26"/>
          <w:szCs w:val="26"/>
          <w:lang w:val="en-US"/>
        </w:rPr>
      </w:pPr>
      <w:r w:rsidRPr="00243090">
        <w:rPr>
          <w:rFonts w:ascii="Calibri Light" w:hAnsi="Calibri Light" w:cs="Calibri Light"/>
          <w:sz w:val="26"/>
          <w:szCs w:val="26"/>
          <w:lang w:val="en-US"/>
        </w:rPr>
        <w:t>Supplementary</w:t>
      </w:r>
      <w:r>
        <w:rPr>
          <w:rFonts w:ascii="Calibri Light" w:hAnsi="Calibri Light" w:cs="Calibri Light"/>
          <w:sz w:val="26"/>
          <w:szCs w:val="26"/>
          <w:lang w:val="en-US"/>
        </w:rPr>
        <w:t xml:space="preserve"> - </w:t>
      </w:r>
      <w:r w:rsidRPr="00243090">
        <w:rPr>
          <w:rFonts w:ascii="Calibri Light" w:hAnsi="Calibri Light" w:cs="Calibri Light"/>
          <w:sz w:val="26"/>
          <w:szCs w:val="26"/>
          <w:lang w:val="en-US"/>
        </w:rPr>
        <w:t>S1</w:t>
      </w:r>
    </w:p>
    <w:p w14:paraId="00990B9E" w14:textId="77777777" w:rsidR="00243090" w:rsidRPr="00D27A82" w:rsidRDefault="00243090" w:rsidP="00243090">
      <w:pPr>
        <w:spacing w:after="0"/>
        <w:rPr>
          <w:b/>
          <w:bCs/>
        </w:rPr>
      </w:pPr>
      <w:r w:rsidRPr="00D27A82">
        <w:rPr>
          <w:b/>
          <w:bCs/>
        </w:rPr>
        <w:t xml:space="preserve">Anesthesia, analgesia and </w:t>
      </w:r>
      <w:proofErr w:type="spellStart"/>
      <w:r w:rsidRPr="00D27A82">
        <w:rPr>
          <w:b/>
          <w:bCs/>
        </w:rPr>
        <w:t>euthanization</w:t>
      </w:r>
      <w:proofErr w:type="spellEnd"/>
      <w:r w:rsidRPr="00D27A82">
        <w:rPr>
          <w:b/>
          <w:bCs/>
        </w:rPr>
        <w:t xml:space="preserve"> protocol</w:t>
      </w:r>
    </w:p>
    <w:p w14:paraId="0A5F52B1" w14:textId="77777777" w:rsidR="00243090" w:rsidRPr="00D27A82" w:rsidRDefault="00243090" w:rsidP="00243090">
      <w:pPr>
        <w:jc w:val="both"/>
      </w:pPr>
      <w:r w:rsidRPr="00D27A82">
        <w:t xml:space="preserve">The minipigs were sedated by an intramuscular injection of 0.08 ml/kg body weight (BW) with </w:t>
      </w:r>
      <w:proofErr w:type="spellStart"/>
      <w:r w:rsidRPr="00D27A82">
        <w:t>Zoletil</w:t>
      </w:r>
      <w:proofErr w:type="spellEnd"/>
      <w:r w:rsidRPr="00D27A82">
        <w:t xml:space="preserve"> Mixture </w:t>
      </w:r>
      <w:r w:rsidRPr="00D27A82">
        <w:rPr>
          <w:rFonts w:cstheme="minorHAnsi"/>
        </w:rPr>
        <w:t xml:space="preserve">consisting of </w:t>
      </w:r>
      <w:proofErr w:type="spellStart"/>
      <w:r w:rsidRPr="00D27A82">
        <w:rPr>
          <w:rFonts w:cstheme="minorHAnsi"/>
        </w:rPr>
        <w:t>Zoletil</w:t>
      </w:r>
      <w:proofErr w:type="spellEnd"/>
      <w:r w:rsidRPr="00D27A82">
        <w:rPr>
          <w:rFonts w:cstheme="minorHAnsi"/>
        </w:rPr>
        <w:t xml:space="preserve"> 50 Vet. dry matter: 125 mg tiletamine + 125 mg zolazepam (</w:t>
      </w:r>
      <w:proofErr w:type="spellStart"/>
      <w:r w:rsidRPr="00D27A82">
        <w:rPr>
          <w:rFonts w:cstheme="minorHAnsi"/>
        </w:rPr>
        <w:t>Zoletil</w:t>
      </w:r>
      <w:proofErr w:type="spellEnd"/>
      <w:r w:rsidRPr="00D27A82">
        <w:rPr>
          <w:rFonts w:cstheme="minorHAnsi"/>
        </w:rPr>
        <w:t xml:space="preserve">® 50 Vet. (50 mg/ml); </w:t>
      </w:r>
      <w:proofErr w:type="spellStart"/>
      <w:r w:rsidRPr="00D27A82">
        <w:rPr>
          <w:rFonts w:cstheme="minorHAnsi"/>
        </w:rPr>
        <w:t>Virbac</w:t>
      </w:r>
      <w:proofErr w:type="spellEnd"/>
      <w:r w:rsidRPr="00D27A82">
        <w:rPr>
          <w:rFonts w:cstheme="minorHAnsi"/>
        </w:rPr>
        <w:t xml:space="preserve">) dissolved with 6.25 ml </w:t>
      </w:r>
      <w:proofErr w:type="spellStart"/>
      <w:r w:rsidRPr="00D27A82">
        <w:rPr>
          <w:rFonts w:cstheme="minorHAnsi"/>
        </w:rPr>
        <w:t>xylazin</w:t>
      </w:r>
      <w:proofErr w:type="spellEnd"/>
      <w:r w:rsidRPr="00D27A82">
        <w:rPr>
          <w:rFonts w:cstheme="minorHAnsi"/>
        </w:rPr>
        <w:t xml:space="preserve"> (</w:t>
      </w:r>
      <w:proofErr w:type="spellStart"/>
      <w:r w:rsidRPr="00D27A82">
        <w:rPr>
          <w:rFonts w:cstheme="minorHAnsi"/>
        </w:rPr>
        <w:t>Xysol</w:t>
      </w:r>
      <w:proofErr w:type="spellEnd"/>
      <w:r w:rsidRPr="00D27A82">
        <w:rPr>
          <w:rFonts w:cstheme="minorHAnsi"/>
        </w:rPr>
        <w:t xml:space="preserve"> Vet. (20 mg/ml); </w:t>
      </w:r>
      <w:proofErr w:type="spellStart"/>
      <w:r w:rsidRPr="00D27A82">
        <w:rPr>
          <w:rFonts w:cstheme="minorHAnsi"/>
        </w:rPr>
        <w:t>Scanvet</w:t>
      </w:r>
      <w:proofErr w:type="spellEnd"/>
      <w:r w:rsidRPr="00D27A82">
        <w:rPr>
          <w:rFonts w:cstheme="minorHAnsi"/>
        </w:rPr>
        <w:t>), 1.25 ml ketamine (</w:t>
      </w:r>
      <w:proofErr w:type="spellStart"/>
      <w:r w:rsidRPr="00D27A82">
        <w:rPr>
          <w:rFonts w:cstheme="minorHAnsi"/>
        </w:rPr>
        <w:t>Ketaminol</w:t>
      </w:r>
      <w:proofErr w:type="spellEnd"/>
      <w:r w:rsidRPr="00D27A82">
        <w:rPr>
          <w:rFonts w:cstheme="minorHAnsi"/>
        </w:rPr>
        <w:t xml:space="preserve"> Vet. (100 mg/ml), MSD Animal Health A/S), 2.0 ml butorphanol (</w:t>
      </w:r>
      <w:proofErr w:type="spellStart"/>
      <w:r w:rsidRPr="00D27A82">
        <w:rPr>
          <w:rFonts w:cstheme="minorHAnsi"/>
        </w:rPr>
        <w:t>Torbugesic</w:t>
      </w:r>
      <w:proofErr w:type="spellEnd"/>
      <w:r w:rsidRPr="00D27A82">
        <w:rPr>
          <w:rFonts w:cstheme="minorHAnsi"/>
        </w:rPr>
        <w:t xml:space="preserve"> (10 mg/ml); Zoetis Animal Health </w:t>
      </w:r>
      <w:proofErr w:type="spellStart"/>
      <w:r w:rsidRPr="00D27A82">
        <w:rPr>
          <w:rFonts w:cstheme="minorHAnsi"/>
        </w:rPr>
        <w:t>ApS</w:t>
      </w:r>
      <w:proofErr w:type="spellEnd"/>
      <w:r w:rsidRPr="00D27A82">
        <w:rPr>
          <w:rFonts w:cstheme="minorHAnsi"/>
        </w:rPr>
        <w:t xml:space="preserve">) and 2.0 ml </w:t>
      </w:r>
      <w:proofErr w:type="spellStart"/>
      <w:r w:rsidRPr="00D27A82">
        <w:rPr>
          <w:rFonts w:cstheme="minorHAnsi"/>
        </w:rPr>
        <w:t>metadon</w:t>
      </w:r>
      <w:proofErr w:type="spellEnd"/>
      <w:r w:rsidRPr="00D27A82">
        <w:rPr>
          <w:rFonts w:cstheme="minorHAnsi"/>
        </w:rPr>
        <w:t xml:space="preserve"> (</w:t>
      </w:r>
      <w:proofErr w:type="spellStart"/>
      <w:r w:rsidRPr="00D27A82">
        <w:rPr>
          <w:rFonts w:cstheme="minorHAnsi"/>
        </w:rPr>
        <w:t>Comfortan</w:t>
      </w:r>
      <w:proofErr w:type="spellEnd"/>
      <w:r w:rsidRPr="00D27A82">
        <w:rPr>
          <w:rFonts w:cstheme="minorHAnsi"/>
        </w:rPr>
        <w:t xml:space="preserve"> Vet. (10 mg/ml); </w:t>
      </w:r>
      <w:proofErr w:type="spellStart"/>
      <w:r w:rsidRPr="00D27A82">
        <w:rPr>
          <w:rFonts w:cstheme="minorHAnsi"/>
        </w:rPr>
        <w:t>Dechra</w:t>
      </w:r>
      <w:proofErr w:type="spellEnd"/>
      <w:r w:rsidRPr="00D27A82">
        <w:rPr>
          <w:rFonts w:cstheme="minorHAnsi"/>
        </w:rPr>
        <w:t xml:space="preserve"> Veterinary Products). Sedation was achieved approximately 10 to 15 minutes following injection. </w:t>
      </w:r>
      <w:proofErr w:type="gramStart"/>
      <w:r w:rsidRPr="00D27A82">
        <w:rPr>
          <w:rFonts w:cstheme="minorHAnsi"/>
        </w:rPr>
        <w:t>Anesthesia</w:t>
      </w:r>
      <w:proofErr w:type="gramEnd"/>
      <w:r w:rsidRPr="00D27A82">
        <w:rPr>
          <w:rFonts w:cstheme="minorHAnsi"/>
        </w:rPr>
        <w:t xml:space="preserve"> was maintained by intravenous infusion of Propofol </w:t>
      </w:r>
      <w:r w:rsidRPr="00D27A82">
        <w:t>5 mg/kg BW/h</w:t>
      </w:r>
      <w:r w:rsidRPr="00D27A82">
        <w:rPr>
          <w:rFonts w:cstheme="minorHAnsi"/>
        </w:rPr>
        <w:t xml:space="preserve"> (Propofol (10 mg/ml); B. Braun). </w:t>
      </w:r>
      <w:r w:rsidRPr="00D27A82">
        <w:t>Intraoperative analgesia was achieved by intravenous infusion of Fentanyl 0.75 mg/kg BW/ hr. (Fentanyl (</w:t>
      </w:r>
      <w:r w:rsidRPr="00D27A82">
        <w:rPr>
          <w:rFonts w:cs="Times New Roman"/>
        </w:rPr>
        <w:t>50 µg</w:t>
      </w:r>
      <w:r w:rsidRPr="00D27A82">
        <w:t xml:space="preserve">/ml); Hameln). Fentanyl administration was initiated 15 minutes prior to surgery. Intraoperative and postoperative analgesia was achieved with epidural block, consisting of Morfin 0.1 mg/kg (Morfin Dak (20 mg/ml)), </w:t>
      </w:r>
      <w:proofErr w:type="spellStart"/>
      <w:r w:rsidRPr="00D27A82">
        <w:t>Bupivacain</w:t>
      </w:r>
      <w:proofErr w:type="spellEnd"/>
      <w:r w:rsidRPr="00D27A82">
        <w:t xml:space="preserve"> 0.3 mg/kg (</w:t>
      </w:r>
      <w:proofErr w:type="spellStart"/>
      <w:r w:rsidRPr="00D27A82">
        <w:t>Marcain</w:t>
      </w:r>
      <w:proofErr w:type="spellEnd"/>
      <w:r w:rsidRPr="00D27A82">
        <w:t xml:space="preserve"> Spinal (5 mg/ml)) and sterile isotonic saline, in a total volume of 6 ml, sterilely injected to the epidural space between the lumbosacral junction of L6 and S1 (Figure 1) </w:t>
      </w:r>
      <w:r w:rsidRPr="00D27A82">
        <w:fldChar w:fldCharType="begin"/>
      </w:r>
      <w:r w:rsidRPr="00D27A82">
        <w:instrText xml:space="preserve"> ADDIN EN.CITE &lt;EndNote&gt;&lt;Cite&gt;&lt;Author&gt;Skarda&lt;/Author&gt;&lt;Year&gt;1986&lt;/Year&gt;&lt;RecNum&gt;123&lt;/RecNum&gt;&lt;DisplayText&gt;[9]&lt;/DisplayText&gt;&lt;record&gt;&lt;rec-number&gt;123&lt;/rec-number&gt;&lt;foreign-keys&gt;&lt;key app="EN" db-id="wsvvppwa5azaede25vqxa0x4v5rdd99eevws" timestamp="1712228927"&gt;123&lt;/key&gt;&lt;/foreign-keys&gt;&lt;ref-type name="Journal Article"&gt;17&lt;/ref-type&gt;&lt;contributors&gt;&lt;authors&gt;&lt;author&gt;Skarda, Roman T.&lt;/author&gt;&lt;/authors&gt;&lt;/contributors&gt;&lt;titles&gt;&lt;title&gt;Techniques of Local Analgesia in Ruminants and Swine&lt;/title&gt;&lt;secondary-title&gt;Veterinary Clinics of North America: Food Animal Practice&lt;/secondary-title&gt;&lt;/titles&gt;&lt;periodical&gt;&lt;full-title&gt;Veterinary Clinics of North America: Food Animal Practice&lt;/full-title&gt;&lt;/periodical&gt;&lt;pages&gt;621-663&lt;/pages&gt;&lt;volume&gt;2&lt;/volume&gt;&lt;number&gt;3&lt;/number&gt;&lt;dates&gt;&lt;year&gt;1986&lt;/year&gt;&lt;pub-dates&gt;&lt;date&gt;1986/11/01/&lt;/date&gt;&lt;/pub-dates&gt;&lt;/dates&gt;&lt;isbn&gt;0749-0720&lt;/isbn&gt;&lt;urls&gt;&lt;related-urls&gt;&lt;url&gt;https://www.sciencedirect.com/science/article/pii/S0749072015312093&lt;/url&gt;&lt;/related-urls&gt;&lt;/urls&gt;&lt;electronic-resource-num&gt;https://doi.org/10.1016/S0749-0720(15)31209-3&lt;/electronic-resource-num&gt;&lt;/record&gt;&lt;/Cite&gt;&lt;/EndNote&gt;</w:instrText>
      </w:r>
      <w:r w:rsidRPr="00D27A82">
        <w:fldChar w:fldCharType="separate"/>
      </w:r>
      <w:r w:rsidRPr="00D27A82">
        <w:t>[9]</w:t>
      </w:r>
      <w:r w:rsidRPr="00D27A82">
        <w:fldChar w:fldCharType="end"/>
      </w:r>
      <w:r w:rsidRPr="00D27A82">
        <w:t xml:space="preserve">, 15 minutes prior to surgery. The postoperative analgesic time for this procedure is reported to be up to 24 hours in dogs </w:t>
      </w:r>
      <w:r w:rsidRPr="00D27A82">
        <w:fldChar w:fldCharType="begin"/>
      </w:r>
      <w:r w:rsidRPr="00D27A82">
        <w:instrText xml:space="preserve"> ADDIN EN.CITE &lt;EndNote&gt;&lt;Cite&gt;&lt;Author&gt;Steagall&lt;/Author&gt;&lt;Year&gt;2017&lt;/Year&gt;&lt;RecNum&gt;122&lt;/RecNum&gt;&lt;DisplayText&gt;[10]&lt;/DisplayText&gt;&lt;record&gt;&lt;rec-number&gt;122&lt;/rec-number&gt;&lt;foreign-keys&gt;&lt;key app="EN" db-id="wsvvppwa5azaede25vqxa0x4v5rdd99eevws" timestamp="1712141113"&gt;122&lt;/key&gt;&lt;/foreign-keys&gt;&lt;ref-type name="Journal Article"&gt;17&lt;/ref-type&gt;&lt;contributors&gt;&lt;authors&gt;&lt;author&gt;Steagall,Paulo V. M.&lt;/author&gt;&lt;author&gt;Simon,Bradley T.&lt;/author&gt;&lt;author&gt;Teixeira Neto,Francisco J.&lt;/author&gt;&lt;author&gt;Luna,Stelio P. L.&lt;/author&gt;&lt;/authors&gt;&lt;/contributors&gt;&lt;auth-address&gt;Bradley T. Simon,Department of Small Animal Clinical Sciences, College of Veterinary Medicine and Biomedical Sciences, Texas A&amp;amp;M University,USA,bsimondacvaa@gmail.com&lt;/auth-address&gt;&lt;titles&gt;&lt;title&gt;An Update on Drugs Used for Lumbosacral Epidural Anesthesia and Analgesia in Dogs&lt;/title&gt;&lt;secondary-title&gt;Frontiers in Veterinary Science&lt;/secondary-title&gt;&lt;short-title&gt;Epidural anesthesia-analgesia in dogs&lt;/short-title&gt;&lt;/titles&gt;&lt;periodical&gt;&lt;full-title&gt;Frontiers in Veterinary Science&lt;/full-title&gt;&lt;/periodical&gt;&lt;volume&gt;4&lt;/volume&gt;&lt;keywords&gt;&lt;keyword&gt;epidural,canine,Analgesia,Anesthesia,Opioids,Local anesthetics,Pain&lt;/keyword&gt;&lt;/keywords&gt;&lt;dates&gt;&lt;year&gt;2017&lt;/year&gt;&lt;pub-dates&gt;&lt;date&gt;2017-May-12&lt;/date&gt;&lt;/pub-dates&gt;&lt;/dates&gt;&lt;isbn&gt;2297-1769&lt;/isbn&gt;&lt;work-type&gt;Review&lt;/work-type&gt;&lt;urls&gt;&lt;related-urls&gt;&lt;url&gt;https://www.frontiersin.org/articles/10.3389/fvets.2017.00068&lt;/url&gt;&lt;/related-urls&gt;&lt;/urls&gt;&lt;electronic-resource-num&gt;10.3389/fvets.2017.00068&lt;/electronic-resource-num&gt;&lt;language&gt;English&lt;/language&gt;&lt;/record&gt;&lt;/Cite&gt;&lt;/EndNote&gt;</w:instrText>
      </w:r>
      <w:r w:rsidRPr="00D27A82">
        <w:fldChar w:fldCharType="separate"/>
      </w:r>
      <w:r w:rsidRPr="00D27A82">
        <w:t>[10]</w:t>
      </w:r>
      <w:r w:rsidRPr="00D27A82">
        <w:fldChar w:fldCharType="end"/>
      </w:r>
      <w:r w:rsidRPr="00D27A82">
        <w:t>.</w:t>
      </w:r>
      <w:r w:rsidRPr="00D27A82">
        <w:rPr>
          <w:rFonts w:cstheme="minorHAnsi"/>
        </w:rPr>
        <w:t xml:space="preserve"> Prior to surgery the minipigs received an intramuscular injection of Meloxicam 0.4 mg/kg </w:t>
      </w:r>
      <w:r w:rsidRPr="00D27A82">
        <w:t xml:space="preserve">(Metacam (20 mg/ml), </w:t>
      </w:r>
      <w:hyperlink r:id="rId4" w:history="1">
        <w:r w:rsidRPr="00D27A82">
          <w:t>Boehringer Ingelheim Animal Health Nordics A/S</w:t>
        </w:r>
      </w:hyperlink>
      <w:r w:rsidRPr="00D27A82">
        <w:rPr>
          <w:rFonts w:cstheme="minorHAnsi"/>
        </w:rPr>
        <w:t xml:space="preserve">), providing postoperative analgesia for 24 hours. </w:t>
      </w:r>
    </w:p>
    <w:p w14:paraId="05F3FCD0" w14:textId="77777777" w:rsidR="00243090" w:rsidRPr="00C60B00" w:rsidRDefault="00243090" w:rsidP="00243090">
      <w:pPr>
        <w:jc w:val="both"/>
      </w:pPr>
      <w:r w:rsidRPr="00D27A82">
        <w:rPr>
          <w:rFonts w:cstheme="minorHAnsi"/>
        </w:rPr>
        <w:t xml:space="preserve">Following surgery, the minipigs received daily oral analgetic treatment with Meloxicam 0.4 mg/kg (Metacam (15 mg/ml); Boehringer Ingelheim Animal Health Nordics A/S). In case of </w:t>
      </w:r>
      <w:r w:rsidRPr="00D27A82">
        <w:t xml:space="preserve">lameness or observed pain behavior of the minipigs, intramuscular injection of Buprenorphine 0.1 ml/kg (Bupaq Vet. Multidose (0.3 mg/ml), </w:t>
      </w:r>
      <w:proofErr w:type="spellStart"/>
      <w:r w:rsidRPr="00D27A82">
        <w:t>Salfarm</w:t>
      </w:r>
      <w:proofErr w:type="spellEnd"/>
      <w:r w:rsidRPr="00D27A82">
        <w:t xml:space="preserve"> Denmark A/S), was provided every eighth hour. At </w:t>
      </w:r>
      <w:proofErr w:type="spellStart"/>
      <w:r w:rsidRPr="00D27A82">
        <w:t>euthanization</w:t>
      </w:r>
      <w:proofErr w:type="spellEnd"/>
      <w:r>
        <w:t>,</w:t>
      </w:r>
      <w:r w:rsidRPr="00D27A82">
        <w:t xml:space="preserve"> the minipigs were sedated by intramuscular injection of </w:t>
      </w:r>
      <w:proofErr w:type="spellStart"/>
      <w:r w:rsidRPr="00D27A82">
        <w:t>Zoletil</w:t>
      </w:r>
      <w:proofErr w:type="spellEnd"/>
      <w:r w:rsidRPr="00D27A82">
        <w:t xml:space="preserve"> Mixture 0.12 ml/kg followed by an intravenous injection of an o</w:t>
      </w:r>
      <w:r>
        <w:t>verdose of</w:t>
      </w:r>
      <w:r w:rsidRPr="00D27A82">
        <w:t xml:space="preserve"> pentobarbital 0.35 ml/kg (</w:t>
      </w:r>
      <w:proofErr w:type="spellStart"/>
      <w:r w:rsidRPr="00D27A82">
        <w:t>Euthanimal</w:t>
      </w:r>
      <w:proofErr w:type="spellEnd"/>
      <w:r w:rsidRPr="00D27A82">
        <w:t xml:space="preserve"> (400 mg/ml), </w:t>
      </w:r>
      <w:proofErr w:type="spellStart"/>
      <w:r w:rsidRPr="00D27A82">
        <w:t>Alfasan</w:t>
      </w:r>
      <w:proofErr w:type="spellEnd"/>
      <w:r w:rsidRPr="00D27A82">
        <w:t xml:space="preserve">). </w:t>
      </w:r>
      <w:r>
        <w:rPr>
          <w:rFonts w:cstheme="minorHAnsi"/>
        </w:rPr>
        <w:t xml:space="preserve">Ringers </w:t>
      </w:r>
      <w:proofErr w:type="spellStart"/>
      <w:r>
        <w:rPr>
          <w:rFonts w:cstheme="minorHAnsi"/>
        </w:rPr>
        <w:t>Acetat</w:t>
      </w:r>
      <w:proofErr w:type="spellEnd"/>
      <w:r>
        <w:rPr>
          <w:rFonts w:cstheme="minorHAnsi"/>
        </w:rPr>
        <w:t xml:space="preserve"> 10 ml/kg BW/h was administered during surgery,</w:t>
      </w:r>
      <w:r w:rsidRPr="00D27A82">
        <w:rPr>
          <w:rFonts w:cstheme="minorHAnsi"/>
        </w:rPr>
        <w:t xml:space="preserve"> and a urinary catheter was placed.</w:t>
      </w:r>
    </w:p>
    <w:p w14:paraId="5355288F" w14:textId="77777777" w:rsidR="00496579" w:rsidRDefault="00496579"/>
    <w:sectPr w:rsidR="00496579" w:rsidSect="00243090">
      <w:footerReference w:type="default" r:id="rId5"/>
      <w:pgSz w:w="11906" w:h="16838"/>
      <w:pgMar w:top="1440" w:right="1440" w:bottom="1440" w:left="1440" w:header="708" w:footer="600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20"/>
        <w:szCs w:val="18"/>
      </w:rPr>
      <w:id w:val="-604497305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7C36727E" w14:textId="77777777" w:rsidR="00000000" w:rsidRPr="00D27A82" w:rsidRDefault="00000000">
            <w:pPr>
              <w:pStyle w:val="Footer"/>
              <w:jc w:val="right"/>
              <w:rPr>
                <w:sz w:val="20"/>
                <w:szCs w:val="18"/>
              </w:rPr>
            </w:pPr>
            <w:r w:rsidRPr="00D27A82">
              <w:rPr>
                <w:sz w:val="20"/>
                <w:szCs w:val="18"/>
              </w:rPr>
              <w:t xml:space="preserve">Page </w:t>
            </w:r>
            <w:r w:rsidRPr="00D27A82">
              <w:rPr>
                <w:sz w:val="20"/>
                <w:szCs w:val="20"/>
              </w:rPr>
              <w:fldChar w:fldCharType="begin"/>
            </w:r>
            <w:r w:rsidRPr="00D27A82">
              <w:rPr>
                <w:sz w:val="20"/>
                <w:szCs w:val="18"/>
              </w:rPr>
              <w:instrText>PAGE</w:instrText>
            </w:r>
            <w:r w:rsidRPr="00D27A82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18"/>
              </w:rPr>
              <w:t>12</w:t>
            </w:r>
            <w:r w:rsidRPr="00D27A82">
              <w:rPr>
                <w:sz w:val="20"/>
                <w:szCs w:val="20"/>
              </w:rPr>
              <w:fldChar w:fldCharType="end"/>
            </w:r>
            <w:r w:rsidRPr="00D27A82">
              <w:rPr>
                <w:sz w:val="20"/>
                <w:szCs w:val="18"/>
              </w:rPr>
              <w:t xml:space="preserve"> of </w:t>
            </w:r>
            <w:r w:rsidRPr="00D27A82">
              <w:rPr>
                <w:sz w:val="20"/>
                <w:szCs w:val="20"/>
              </w:rPr>
              <w:fldChar w:fldCharType="begin"/>
            </w:r>
            <w:r w:rsidRPr="00D27A82">
              <w:rPr>
                <w:sz w:val="20"/>
                <w:szCs w:val="18"/>
              </w:rPr>
              <w:instrText>NUMPAGES</w:instrText>
            </w:r>
            <w:r w:rsidRPr="00D27A82"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18"/>
              </w:rPr>
              <w:t>15</w:t>
            </w:r>
            <w:r w:rsidRPr="00D27A82">
              <w:rPr>
                <w:sz w:val="20"/>
                <w:szCs w:val="20"/>
              </w:rPr>
              <w:fldChar w:fldCharType="end"/>
            </w:r>
          </w:p>
        </w:sdtContent>
      </w:sdt>
    </w:sdtContent>
  </w:sdt>
  <w:p w14:paraId="4FD33370" w14:textId="77777777" w:rsidR="00000000" w:rsidRPr="00D27A82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090"/>
    <w:rsid w:val="00155A11"/>
    <w:rsid w:val="00243090"/>
    <w:rsid w:val="00246967"/>
    <w:rsid w:val="00496579"/>
    <w:rsid w:val="005A52B9"/>
    <w:rsid w:val="00656543"/>
    <w:rsid w:val="00712B82"/>
    <w:rsid w:val="00B42CCB"/>
    <w:rsid w:val="00E7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3921F"/>
  <w15:chartTrackingRefBased/>
  <w15:docId w15:val="{95D24746-BB92-48D5-B7D1-090119D59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090"/>
    <w:pPr>
      <w:spacing w:line="360" w:lineRule="auto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09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da-D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309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da-DK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309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da-DK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09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val="da-DK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09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val="da-DK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090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da-DK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090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da-DK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090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da-DK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090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0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430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430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30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0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30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30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30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30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0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a-DK"/>
    </w:rPr>
  </w:style>
  <w:style w:type="character" w:customStyle="1" w:styleId="TitleChar">
    <w:name w:val="Title Char"/>
    <w:basedOn w:val="DefaultParagraphFont"/>
    <w:link w:val="Title"/>
    <w:uiPriority w:val="10"/>
    <w:rsid w:val="002430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090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da-DK"/>
    </w:rPr>
  </w:style>
  <w:style w:type="character" w:customStyle="1" w:styleId="SubtitleChar">
    <w:name w:val="Subtitle Char"/>
    <w:basedOn w:val="DefaultParagraphFont"/>
    <w:link w:val="Subtitle"/>
    <w:uiPriority w:val="11"/>
    <w:rsid w:val="002430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090"/>
    <w:pPr>
      <w:spacing w:before="160" w:line="259" w:lineRule="auto"/>
      <w:jc w:val="center"/>
    </w:pPr>
    <w:rPr>
      <w:rFonts w:asciiTheme="minorHAnsi" w:hAnsiTheme="minorHAnsi"/>
      <w:i/>
      <w:iCs/>
      <w:color w:val="404040" w:themeColor="text1" w:themeTint="BF"/>
      <w:sz w:val="22"/>
      <w:lang w:val="da-DK"/>
    </w:rPr>
  </w:style>
  <w:style w:type="character" w:customStyle="1" w:styleId="QuoteChar">
    <w:name w:val="Quote Char"/>
    <w:basedOn w:val="DefaultParagraphFont"/>
    <w:link w:val="Quote"/>
    <w:uiPriority w:val="29"/>
    <w:rsid w:val="002430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090"/>
    <w:pPr>
      <w:spacing w:line="259" w:lineRule="auto"/>
      <w:ind w:left="720"/>
      <w:contextualSpacing/>
    </w:pPr>
    <w:rPr>
      <w:rFonts w:asciiTheme="minorHAnsi" w:hAnsiTheme="minorHAnsi"/>
      <w:sz w:val="22"/>
      <w:lang w:val="da-DK"/>
    </w:rPr>
  </w:style>
  <w:style w:type="character" w:styleId="IntenseEmphasis">
    <w:name w:val="Intense Emphasis"/>
    <w:basedOn w:val="DefaultParagraphFont"/>
    <w:uiPriority w:val="21"/>
    <w:qFormat/>
    <w:rsid w:val="002430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0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2"/>
      <w:lang w:val="da-DK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30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09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430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090"/>
    <w:rPr>
      <w:rFonts w:ascii="Times New Roman" w:hAnsi="Times New Roman"/>
      <w:sz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243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medicintildyr.dk/company/Boehringer-Ingelhei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760</Words>
  <Characters>4333</Characters>
  <Application>Microsoft Office Word</Application>
  <DocSecurity>0</DocSecurity>
  <Lines>105</Lines>
  <Paragraphs>59</Paragraphs>
  <ScaleCrop>false</ScaleCrop>
  <Company/>
  <LinksUpToDate>false</LinksUpToDate>
  <CharactersWithSpaces>5034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Katrine Top Hartmann</dc:creator>
  <cp:keywords/>
  <dc:description/>
  <cp:lastModifiedBy>Katrine Top Hartmann</cp:lastModifiedBy>
  <cp:revision>1</cp:revision>
  <dcterms:created xsi:type="dcterms:W3CDTF">2024-05-30T09:59:00Z</dcterms:created>
  <dcterms:modified xsi:type="dcterms:W3CDTF">2024-05-30T10:01:00Z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