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3BA4FD" w14:textId="2CAF9271" w:rsidR="00186906" w:rsidRPr="005646AD" w:rsidRDefault="001E31BB" w:rsidP="005646AD">
      <w:pPr>
        <w:spacing w:line="360" w:lineRule="auto"/>
        <w:jc w:val="both"/>
        <w:rPr>
          <w:rFonts w:ascii="Cambria" w:hAnsi="Cambria"/>
          <w:b/>
          <w:bCs/>
          <w:sz w:val="24"/>
          <w:szCs w:val="24"/>
        </w:rPr>
      </w:pPr>
      <w:r w:rsidRPr="005646AD">
        <w:rPr>
          <w:rFonts w:ascii="Cambria" w:hAnsi="Cambria"/>
          <w:b/>
          <w:bCs/>
          <w:sz w:val="24"/>
          <w:szCs w:val="24"/>
        </w:rPr>
        <w:t>Supplementary Material</w:t>
      </w:r>
      <w:r w:rsidR="003A7459">
        <w:rPr>
          <w:rFonts w:ascii="Cambria" w:hAnsi="Cambria"/>
          <w:b/>
          <w:bCs/>
          <w:sz w:val="24"/>
          <w:szCs w:val="24"/>
        </w:rPr>
        <w:t xml:space="preserve"> – Carbon fluxes (</w:t>
      </w:r>
      <w:r w:rsidR="00020097">
        <w:rPr>
          <w:rFonts w:ascii="Cambria" w:hAnsi="Cambria"/>
          <w:b/>
          <w:bCs/>
          <w:sz w:val="24"/>
          <w:szCs w:val="24"/>
        </w:rPr>
        <w:t xml:space="preserve">Preliminary </w:t>
      </w:r>
      <w:r w:rsidR="003A7459" w:rsidRPr="003A7459">
        <w:rPr>
          <w:rFonts w:ascii="Sabon Next LT" w:hAnsi="Sabon Next LT" w:cs="Sabon Next LT"/>
          <w:b/>
          <w:bCs/>
          <w:sz w:val="24"/>
          <w:szCs w:val="24"/>
        </w:rPr>
        <w:t>CO</w:t>
      </w:r>
      <w:r w:rsidR="003A7459" w:rsidRPr="003A7459">
        <w:rPr>
          <w:rFonts w:ascii="Sabon Next LT" w:hAnsi="Sabon Next LT" w:cs="Sabon Next LT"/>
          <w:b/>
          <w:bCs/>
          <w:sz w:val="24"/>
          <w:szCs w:val="24"/>
          <w:vertAlign w:val="subscript"/>
        </w:rPr>
        <w:t>2</w:t>
      </w:r>
      <w:r w:rsidR="003A7459">
        <w:rPr>
          <w:rFonts w:ascii="Cambria" w:hAnsi="Cambria"/>
          <w:b/>
          <w:bCs/>
          <w:sz w:val="24"/>
          <w:szCs w:val="24"/>
        </w:rPr>
        <w:t xml:space="preserve"> and </w:t>
      </w:r>
      <w:r w:rsidR="003A7459" w:rsidRPr="003A7459">
        <w:rPr>
          <w:rFonts w:ascii="Sabon Next LT" w:hAnsi="Sabon Next LT" w:cs="Sabon Next LT"/>
          <w:b/>
          <w:bCs/>
          <w:sz w:val="24"/>
          <w:szCs w:val="24"/>
        </w:rPr>
        <w:t>CH</w:t>
      </w:r>
      <w:r w:rsidR="003A7459" w:rsidRPr="003A7459">
        <w:rPr>
          <w:rFonts w:ascii="Sabon Next LT" w:hAnsi="Sabon Next LT" w:cs="Sabon Next LT"/>
          <w:b/>
          <w:bCs/>
          <w:sz w:val="24"/>
          <w:szCs w:val="24"/>
          <w:vertAlign w:val="subscript"/>
        </w:rPr>
        <w:t>4</w:t>
      </w:r>
      <w:r w:rsidR="003A7459">
        <w:rPr>
          <w:rFonts w:ascii="Cambria" w:hAnsi="Cambria"/>
          <w:b/>
          <w:bCs/>
          <w:sz w:val="24"/>
          <w:szCs w:val="24"/>
        </w:rPr>
        <w:t xml:space="preserve"> </w:t>
      </w:r>
      <w:r w:rsidR="00020097">
        <w:rPr>
          <w:rFonts w:ascii="Cambria" w:hAnsi="Cambria"/>
          <w:b/>
          <w:bCs/>
          <w:sz w:val="24"/>
          <w:szCs w:val="24"/>
        </w:rPr>
        <w:t xml:space="preserve">data </w:t>
      </w:r>
      <w:r w:rsidR="003A7459">
        <w:rPr>
          <w:rFonts w:ascii="Cambria" w:hAnsi="Cambria"/>
          <w:b/>
          <w:bCs/>
          <w:sz w:val="24"/>
          <w:szCs w:val="24"/>
        </w:rPr>
        <w:t>from chambers and eddy covariance measurement)</w:t>
      </w:r>
    </w:p>
    <w:p w14:paraId="7CEEDCDB" w14:textId="77777777" w:rsidR="001E31BB" w:rsidRDefault="001E31BB" w:rsidP="005646AD">
      <w:pPr>
        <w:spacing w:line="360" w:lineRule="auto"/>
        <w:jc w:val="both"/>
        <w:rPr>
          <w:rFonts w:ascii="Cambria" w:hAnsi="Cambria"/>
          <w:sz w:val="24"/>
          <w:szCs w:val="24"/>
        </w:rPr>
      </w:pPr>
    </w:p>
    <w:p w14:paraId="0E83A777" w14:textId="101F8598" w:rsidR="00020097" w:rsidRDefault="00020097" w:rsidP="005646AD">
      <w:pPr>
        <w:spacing w:line="360" w:lineRule="auto"/>
        <w:jc w:val="both"/>
        <w:rPr>
          <w:rFonts w:ascii="Cambria" w:hAnsi="Cambria"/>
          <w:b/>
          <w:bCs/>
          <w:sz w:val="24"/>
          <w:szCs w:val="24"/>
        </w:rPr>
      </w:pPr>
      <w:r>
        <w:rPr>
          <w:rFonts w:ascii="Cambria" w:hAnsi="Cambria"/>
          <w:b/>
          <w:bCs/>
          <w:sz w:val="24"/>
          <w:szCs w:val="24"/>
        </w:rPr>
        <w:t>Methods</w:t>
      </w:r>
    </w:p>
    <w:p w14:paraId="5DB1CE10" w14:textId="77777777" w:rsidR="00E06E86" w:rsidRPr="001970D9" w:rsidRDefault="00E06E86" w:rsidP="00E06E86">
      <w:pPr>
        <w:rPr>
          <w:rFonts w:ascii="Cambria" w:hAnsi="Cambria"/>
          <w:i/>
          <w:iCs/>
          <w:sz w:val="24"/>
          <w:szCs w:val="24"/>
        </w:rPr>
      </w:pPr>
      <w:r w:rsidRPr="001970D9">
        <w:rPr>
          <w:rFonts w:ascii="Cambria" w:hAnsi="Cambria"/>
          <w:i/>
          <w:iCs/>
          <w:sz w:val="24"/>
          <w:szCs w:val="24"/>
        </w:rPr>
        <w:t>Carbon fluxes – chamber-based method (Sites BHP-2 – BHP-8)</w:t>
      </w:r>
    </w:p>
    <w:p w14:paraId="093B1D73" w14:textId="77B106AE" w:rsidR="00E06E86" w:rsidRPr="001970D9" w:rsidRDefault="00E06E86" w:rsidP="00E06E86">
      <w:pPr>
        <w:pStyle w:val="Body"/>
        <w:jc w:val="both"/>
        <w:rPr>
          <w:rFonts w:ascii="Cambria" w:eastAsia="Arial Unicode MS" w:hAnsi="Cambria" w:cs="Arial"/>
          <w:lang w:val="en-US"/>
        </w:rPr>
      </w:pPr>
      <w:r w:rsidRPr="001970D9">
        <w:rPr>
          <w:rFonts w:ascii="Cambria" w:eastAsia="Arial Unicode MS" w:hAnsi="Cambria" w:cs="Arial"/>
          <w:lang w:val="en-US"/>
        </w:rPr>
        <w:t>Greenhouse gas (GHG) measurements were made in a single sampling period at seven of the eight sites during daylight hours, between 08:00 and 17:00. GHG measurements were not taken at BHP-1, as sampling at that site was carried out at dusk. Carbon dioxide (</w:t>
      </w:r>
      <w:r w:rsidRPr="001970D9">
        <w:rPr>
          <w:rFonts w:ascii="Cambria" w:eastAsia="Arial Unicode MS" w:hAnsi="Cambria" w:cs="Arial"/>
        </w:rPr>
        <w:t>CO</w:t>
      </w:r>
      <w:r w:rsidRPr="001970D9">
        <w:rPr>
          <w:rFonts w:ascii="Cambria" w:eastAsia="Arial Unicode MS" w:hAnsi="Cambria" w:cs="Arial"/>
          <w:vertAlign w:val="subscript"/>
        </w:rPr>
        <w:t>2</w:t>
      </w:r>
      <w:r w:rsidRPr="001970D9">
        <w:rPr>
          <w:rFonts w:ascii="Cambria" w:eastAsia="Arial Unicode MS" w:hAnsi="Cambria" w:cs="Arial"/>
        </w:rPr>
        <w:t>)</w:t>
      </w:r>
      <w:r w:rsidRPr="001970D9">
        <w:rPr>
          <w:rFonts w:ascii="Cambria" w:eastAsia="Arial Unicode MS" w:hAnsi="Cambria" w:cs="Arial"/>
          <w:lang w:val="en-US"/>
        </w:rPr>
        <w:t xml:space="preserve"> and methane (</w:t>
      </w:r>
      <w:r w:rsidRPr="001970D9">
        <w:rPr>
          <w:rFonts w:ascii="Cambria" w:eastAsia="Arial Unicode MS" w:hAnsi="Cambria" w:cs="Arial"/>
        </w:rPr>
        <w:t>CH</w:t>
      </w:r>
      <w:r w:rsidRPr="001970D9">
        <w:rPr>
          <w:rFonts w:ascii="Cambria" w:eastAsia="Arial Unicode MS" w:hAnsi="Cambria" w:cs="Arial"/>
          <w:vertAlign w:val="subscript"/>
        </w:rPr>
        <w:t>4</w:t>
      </w:r>
      <w:r w:rsidRPr="001970D9">
        <w:rPr>
          <w:rFonts w:ascii="Cambria" w:eastAsia="Arial Unicode MS" w:hAnsi="Cambria" w:cs="Arial"/>
        </w:rPr>
        <w:t>)</w:t>
      </w:r>
      <w:r w:rsidRPr="001970D9">
        <w:rPr>
          <w:rFonts w:ascii="Cambria" w:eastAsia="Arial Unicode MS" w:hAnsi="Cambria" w:cs="Arial"/>
          <w:lang w:val="en-US"/>
        </w:rPr>
        <w:t xml:space="preserve"> diffusive emissions were recorded in replicates of four at each site. GHG recordings were made for a minimum of 300 seconds at each station, using opaque (dark) cylindrical PVC chambers measuring 30 cm D x 55 cm H, with battery operated fans installed for mixing gases during measurement, attached to an ultraportable greenhouse gas analyzer (UGGA; Los Gatos Research, San Jose, California, USA). GHG emissions, reported here in </w:t>
      </w:r>
      <w:proofErr w:type="spellStart"/>
      <w:r w:rsidRPr="001970D9">
        <w:rPr>
          <w:rFonts w:ascii="Cambria" w:eastAsia="Arial Unicode MS" w:hAnsi="Cambria" w:cs="Arial"/>
          <w:lang w:val="en-US"/>
        </w:rPr>
        <w:t>umol</w:t>
      </w:r>
      <w:proofErr w:type="spellEnd"/>
      <w:r w:rsidRPr="001970D9">
        <w:rPr>
          <w:rFonts w:ascii="Cambria" w:eastAsia="Arial Unicode MS" w:hAnsi="Cambria" w:cs="Arial"/>
          <w:lang w:val="en-US"/>
        </w:rPr>
        <w:t xml:space="preserve"> m</w:t>
      </w:r>
      <w:r w:rsidRPr="001970D9">
        <w:rPr>
          <w:rFonts w:ascii="Cambria" w:eastAsia="Arial Unicode MS" w:hAnsi="Cambria" w:cs="Arial"/>
          <w:color w:val="000000" w:themeColor="text1"/>
          <w:vertAlign w:val="superscript"/>
          <w:lang w:val="en-US"/>
        </w:rPr>
        <w:t>-2</w:t>
      </w:r>
      <w:r w:rsidRPr="001970D9">
        <w:rPr>
          <w:rFonts w:ascii="Cambria" w:eastAsia="Arial Unicode MS" w:hAnsi="Cambria" w:cs="Arial"/>
          <w:lang w:val="en-US"/>
        </w:rPr>
        <w:t xml:space="preserve"> min</w:t>
      </w:r>
      <w:r w:rsidRPr="001970D9">
        <w:rPr>
          <w:rFonts w:ascii="Cambria" w:eastAsia="Arial Unicode MS" w:hAnsi="Cambria" w:cs="Arial"/>
          <w:vertAlign w:val="superscript"/>
          <w:lang w:val="en-US"/>
        </w:rPr>
        <w:t>-1</w:t>
      </w:r>
      <w:r w:rsidRPr="001970D9">
        <w:rPr>
          <w:rFonts w:ascii="Cambria" w:eastAsia="Arial Unicode MS" w:hAnsi="Cambria" w:cs="Arial"/>
          <w:lang w:val="en-US"/>
        </w:rPr>
        <w:t xml:space="preserve">, were calculated using a standard diffusive flux equation </w:t>
      </w:r>
      <w:sdt>
        <w:sdtPr>
          <w:rPr>
            <w:rFonts w:ascii="Cambria" w:eastAsia="Arial Unicode MS" w:hAnsi="Cambria" w:cs="Arial"/>
            <w:lang w:val="en-US"/>
          </w:rPr>
          <w:tag w:val="MENDELEY_CITATION_v3_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"/>
          <w:id w:val="-381104284"/>
          <w:placeholder>
            <w:docPart w:val="EFA9FC438E6647A3A5712404ED2B46C3"/>
          </w:placeholder>
        </w:sdtPr>
        <w:sdtContent>
          <w:r w:rsidR="009674A5">
            <w:rPr>
              <w:rFonts w:eastAsia="Times New Roman"/>
            </w:rPr>
            <w:t>(see Lambert &amp; Fréchette, 2005)</w:t>
          </w:r>
        </w:sdtContent>
      </w:sdt>
      <w:r w:rsidRPr="001970D9">
        <w:rPr>
          <w:rFonts w:ascii="Cambria" w:eastAsia="Arial Unicode MS" w:hAnsi="Cambria" w:cs="Arial"/>
          <w:lang w:val="en-US"/>
        </w:rPr>
        <w:t xml:space="preserve"> based on the best fit linear regression of emissions over time. Resulting data underwent a visual quality control check to ensure that each regression did not indicate either (a) poor sealing of the chamber; (b) saturation of the gas within the chamber; and/or (c) had an R</w:t>
      </w:r>
      <w:r w:rsidRPr="001970D9">
        <w:rPr>
          <w:rFonts w:ascii="Cambria" w:eastAsia="Arial Unicode MS" w:hAnsi="Cambria" w:cs="Arial"/>
          <w:vertAlign w:val="superscript"/>
          <w:lang w:val="en-US"/>
        </w:rPr>
        <w:t>2</w:t>
      </w:r>
      <w:r w:rsidRPr="001970D9">
        <w:rPr>
          <w:rFonts w:ascii="Cambria" w:eastAsia="Arial Unicode MS" w:hAnsi="Cambria" w:cs="Arial"/>
          <w:lang w:val="en-US"/>
        </w:rPr>
        <w:t xml:space="preserve"> value &lt;0.7. Through this QC step, one chamber measurement of each </w:t>
      </w:r>
      <w:r w:rsidRPr="001970D9">
        <w:rPr>
          <w:rFonts w:ascii="Cambria" w:eastAsia="Arial Unicode MS" w:hAnsi="Cambria" w:cs="Sabon Next LT"/>
          <w:lang w:val="en-US"/>
        </w:rPr>
        <w:t>CH</w:t>
      </w:r>
      <w:r w:rsidRPr="001970D9">
        <w:rPr>
          <w:rFonts w:ascii="Cambria" w:eastAsia="Arial Unicode MS" w:hAnsi="Cambria" w:cs="Sabon Next LT"/>
          <w:vertAlign w:val="subscript"/>
          <w:lang w:val="en-US"/>
        </w:rPr>
        <w:t>4</w:t>
      </w:r>
      <w:r w:rsidRPr="001970D9">
        <w:rPr>
          <w:rFonts w:ascii="Cambria" w:eastAsia="Arial Unicode MS" w:hAnsi="Cambria" w:cs="Arial"/>
          <w:lang w:val="en-US"/>
        </w:rPr>
        <w:t xml:space="preserve"> and </w:t>
      </w:r>
      <w:r w:rsidRPr="001970D9">
        <w:rPr>
          <w:rFonts w:ascii="Cambria" w:eastAsia="Arial Unicode MS" w:hAnsi="Cambria" w:cs="Sabon Next LT"/>
          <w:lang w:val="en-US"/>
        </w:rPr>
        <w:t>CO</w:t>
      </w:r>
      <w:r w:rsidRPr="001970D9">
        <w:rPr>
          <w:rFonts w:ascii="Cambria" w:eastAsia="Arial Unicode MS" w:hAnsi="Cambria" w:cs="Sabon Next LT"/>
          <w:vertAlign w:val="subscript"/>
          <w:lang w:val="en-US"/>
        </w:rPr>
        <w:t>2</w:t>
      </w:r>
      <w:r w:rsidRPr="001970D9">
        <w:rPr>
          <w:rFonts w:ascii="Cambria" w:eastAsia="Arial Unicode MS" w:hAnsi="Cambria" w:cs="Arial"/>
          <w:lang w:val="en-US"/>
        </w:rPr>
        <w:t xml:space="preserve"> was excluded (n = 27 per gas). </w:t>
      </w:r>
    </w:p>
    <w:p w14:paraId="3BE56BE4" w14:textId="77777777" w:rsidR="00E06E86" w:rsidRPr="001970D9" w:rsidRDefault="00E06E86" w:rsidP="00E06E86">
      <w:pPr>
        <w:pStyle w:val="Body"/>
        <w:jc w:val="both"/>
        <w:rPr>
          <w:rFonts w:ascii="Cambria" w:eastAsia="Arial Unicode MS" w:hAnsi="Cambria" w:cs="Arial"/>
          <w:lang w:val="en-US"/>
        </w:rPr>
      </w:pPr>
    </w:p>
    <w:p w14:paraId="6B68DC9F" w14:textId="77777777" w:rsidR="00E06E86" w:rsidRPr="001970D9" w:rsidRDefault="00E06E86" w:rsidP="00E06E86">
      <w:pPr>
        <w:pStyle w:val="Body"/>
        <w:jc w:val="both"/>
        <w:rPr>
          <w:rFonts w:ascii="Cambria" w:eastAsia="Arial Unicode MS" w:hAnsi="Cambria" w:cs="Arial"/>
          <w:b/>
          <w:bCs/>
          <w:i/>
          <w:iCs/>
          <w:lang w:val="en-US"/>
        </w:rPr>
      </w:pPr>
      <w:r w:rsidRPr="001970D9">
        <w:rPr>
          <w:rFonts w:ascii="Cambria" w:eastAsia="Arial Unicode MS" w:hAnsi="Cambria" w:cs="Arial"/>
          <w:i/>
          <w:iCs/>
          <w:lang w:val="en-US"/>
        </w:rPr>
        <w:t xml:space="preserve">Carbon fluxes – eddy covariance method (Alpine Peatland) </w:t>
      </w:r>
    </w:p>
    <w:p w14:paraId="30E4B4F3" w14:textId="77777777" w:rsidR="00E06E86" w:rsidRPr="001970D9" w:rsidRDefault="00E06E86" w:rsidP="00E06E86">
      <w:pPr>
        <w:spacing w:line="360" w:lineRule="auto"/>
        <w:jc w:val="both"/>
        <w:rPr>
          <w:rFonts w:ascii="Cambria" w:hAnsi="Cambria" w:cs="Times New Roman"/>
          <w:sz w:val="24"/>
          <w:szCs w:val="24"/>
          <w:lang w:eastAsia="en-AU"/>
        </w:rPr>
      </w:pPr>
      <w:r w:rsidRPr="001970D9">
        <w:rPr>
          <w:rFonts w:ascii="Cambria" w:eastAsia="Arial Unicode MS" w:hAnsi="Cambria" w:cs="Arial"/>
          <w:sz w:val="24"/>
          <w:szCs w:val="24"/>
          <w:lang w:val="en-US"/>
        </w:rPr>
        <w:t>As our gas sampling method using opaque (dark) chambers at sites BHP2–8 prevented photosynthesis from occurring during measurement, our directly measured CO</w:t>
      </w:r>
      <w:r w:rsidRPr="001970D9">
        <w:rPr>
          <w:rFonts w:ascii="Cambria" w:eastAsia="Arial Unicode MS" w:hAnsi="Cambria" w:cs="Arial"/>
          <w:sz w:val="24"/>
          <w:szCs w:val="24"/>
          <w:vertAlign w:val="subscript"/>
          <w:lang w:val="en-US"/>
        </w:rPr>
        <w:t>2</w:t>
      </w:r>
      <w:r w:rsidRPr="001970D9">
        <w:rPr>
          <w:rFonts w:ascii="Cambria" w:eastAsia="Arial Unicode MS" w:hAnsi="Cambria" w:cs="Arial"/>
          <w:sz w:val="24"/>
          <w:szCs w:val="24"/>
          <w:lang w:val="en-US"/>
        </w:rPr>
        <w:t xml:space="preserve"> data represent ecosystem respiration (ER), i.e., the amount of CO</w:t>
      </w:r>
      <w:r w:rsidRPr="001970D9">
        <w:rPr>
          <w:rFonts w:ascii="Cambria" w:eastAsia="Arial Unicode MS" w:hAnsi="Cambria" w:cs="Arial"/>
          <w:sz w:val="24"/>
          <w:szCs w:val="24"/>
          <w:vertAlign w:val="subscript"/>
          <w:lang w:val="en-US"/>
        </w:rPr>
        <w:t>2</w:t>
      </w:r>
      <w:r w:rsidRPr="001970D9">
        <w:rPr>
          <w:rFonts w:ascii="Cambria" w:eastAsia="Arial Unicode MS" w:hAnsi="Cambria" w:cs="Arial"/>
          <w:sz w:val="24"/>
          <w:szCs w:val="24"/>
          <w:lang w:val="en-US"/>
        </w:rPr>
        <w:t xml:space="preserve"> lost from the peatland to the atmosphere through both autotrophic and heterotrophic respiration. Net Ecosystem Exchange (NEE) is the net CO</w:t>
      </w:r>
      <w:r w:rsidRPr="001970D9">
        <w:rPr>
          <w:rFonts w:ascii="Cambria" w:eastAsia="Arial Unicode MS" w:hAnsi="Cambria" w:cs="Arial"/>
          <w:sz w:val="24"/>
          <w:szCs w:val="24"/>
          <w:vertAlign w:val="subscript"/>
          <w:lang w:val="en-US"/>
        </w:rPr>
        <w:t>2</w:t>
      </w:r>
      <w:r w:rsidRPr="001970D9">
        <w:rPr>
          <w:rFonts w:ascii="Cambria" w:eastAsia="Arial Unicode MS" w:hAnsi="Cambria" w:cs="Arial"/>
          <w:sz w:val="24"/>
          <w:szCs w:val="24"/>
          <w:lang w:val="en-US"/>
        </w:rPr>
        <w:t xml:space="preserve"> flux between the ecosystem and the atmosphere, representing the net balance of CO</w:t>
      </w:r>
      <w:r w:rsidRPr="001970D9">
        <w:rPr>
          <w:rFonts w:ascii="Cambria" w:eastAsia="Arial Unicode MS" w:hAnsi="Cambria" w:cs="Arial"/>
          <w:sz w:val="24"/>
          <w:szCs w:val="24"/>
          <w:vertAlign w:val="subscript"/>
          <w:lang w:val="en-US"/>
        </w:rPr>
        <w:t>2</w:t>
      </w:r>
      <w:r w:rsidRPr="001970D9">
        <w:rPr>
          <w:rFonts w:ascii="Cambria" w:eastAsia="Arial Unicode MS" w:hAnsi="Cambria" w:cs="Arial"/>
          <w:sz w:val="24"/>
          <w:szCs w:val="24"/>
          <w:lang w:val="en-US"/>
        </w:rPr>
        <w:t xml:space="preserve"> uptake (gross primary productivity, GPP) and ER, i.e., NEE = GPP – ER. Thus, for the purpose of understanding peatland global warming and/or climate mitigation potential, NEE can be considered a more informative indicator of CO</w:t>
      </w:r>
      <w:r w:rsidRPr="001970D9">
        <w:rPr>
          <w:rFonts w:ascii="Cambria" w:eastAsia="Arial Unicode MS" w:hAnsi="Cambria" w:cs="Arial"/>
          <w:sz w:val="24"/>
          <w:szCs w:val="24"/>
          <w:vertAlign w:val="subscript"/>
          <w:lang w:val="en-US"/>
        </w:rPr>
        <w:t>2</w:t>
      </w:r>
      <w:r w:rsidRPr="001970D9">
        <w:rPr>
          <w:rFonts w:ascii="Cambria" w:eastAsia="Arial Unicode MS" w:hAnsi="Cambria" w:cs="Arial"/>
          <w:sz w:val="24"/>
          <w:szCs w:val="24"/>
          <w:lang w:val="en-US"/>
        </w:rPr>
        <w:t xml:space="preserve"> emissions/cycling than ER alone. We used high-frequency Eddy Covariance (EC) data </w:t>
      </w:r>
      <w:r w:rsidRPr="001970D9">
        <w:rPr>
          <w:rFonts w:ascii="Cambria" w:eastAsia="Arial Unicode MS" w:hAnsi="Cambria" w:cs="Arial"/>
          <w:sz w:val="24"/>
          <w:szCs w:val="24"/>
          <w:lang w:val="en-US"/>
        </w:rPr>
        <w:lastRenderedPageBreak/>
        <w:t xml:space="preserve">from the nearby Alpine Peatland flux tower to understand relative rates of peatland ER, NEE, and GPP over the same 2-day sampling period (Table S1). </w:t>
      </w:r>
    </w:p>
    <w:p w14:paraId="50FEAB6A" w14:textId="77777777" w:rsidR="00E06E86" w:rsidRPr="001970D9" w:rsidRDefault="00E06E86" w:rsidP="00E06E86">
      <w:pPr>
        <w:spacing w:line="360" w:lineRule="auto"/>
        <w:jc w:val="both"/>
        <w:rPr>
          <w:rFonts w:ascii="Cambria" w:eastAsia="Arial Unicode MS" w:hAnsi="Cambria" w:cs="Arial"/>
          <w:sz w:val="24"/>
          <w:szCs w:val="24"/>
          <w:lang w:val="en-US"/>
        </w:rPr>
      </w:pPr>
    </w:p>
    <w:p w14:paraId="5502D2E1" w14:textId="0915D59A" w:rsidR="00E06E86" w:rsidRPr="001970D9" w:rsidRDefault="00E06E86" w:rsidP="00E06E86">
      <w:pPr>
        <w:spacing w:line="360" w:lineRule="auto"/>
        <w:jc w:val="both"/>
        <w:rPr>
          <w:rFonts w:ascii="Cambria" w:hAnsi="Cambria" w:cs="Times New Roman"/>
          <w:sz w:val="24"/>
          <w:szCs w:val="24"/>
          <w:lang w:eastAsia="en-AU"/>
        </w:rPr>
      </w:pPr>
      <w:r w:rsidRPr="001970D9">
        <w:rPr>
          <w:rFonts w:ascii="Cambria" w:eastAsia="Arial Unicode MS" w:hAnsi="Cambria" w:cs="Arial"/>
          <w:sz w:val="24"/>
          <w:szCs w:val="24"/>
          <w:lang w:val="en-US"/>
        </w:rPr>
        <w:t xml:space="preserve">The EC flux tower configuration of AU-APL at Heathy Spur-1, a sub-catchment of </w:t>
      </w:r>
      <w:proofErr w:type="spellStart"/>
      <w:r w:rsidRPr="001970D9">
        <w:rPr>
          <w:rFonts w:ascii="Cambria" w:eastAsia="Arial Unicode MS" w:hAnsi="Cambria" w:cs="Arial"/>
          <w:sz w:val="24"/>
          <w:szCs w:val="24"/>
          <w:lang w:val="en-US"/>
        </w:rPr>
        <w:t>Watchbed</w:t>
      </w:r>
      <w:proofErr w:type="spellEnd"/>
      <w:r w:rsidRPr="001970D9">
        <w:rPr>
          <w:rFonts w:ascii="Cambria" w:eastAsia="Arial Unicode MS" w:hAnsi="Cambria" w:cs="Arial"/>
          <w:sz w:val="24"/>
          <w:szCs w:val="24"/>
          <w:lang w:val="en-US"/>
        </w:rPr>
        <w:t xml:space="preserve"> Creek peatland, is described in detail by Gunawardhana et al. (2021), but in brief: the tower measures CO</w:t>
      </w:r>
      <w:r w:rsidRPr="001970D9">
        <w:rPr>
          <w:rFonts w:ascii="Cambria" w:eastAsia="Arial Unicode MS" w:hAnsi="Cambria" w:cs="Arial"/>
          <w:sz w:val="24"/>
          <w:szCs w:val="24"/>
          <w:vertAlign w:val="subscript"/>
          <w:lang w:val="en-US"/>
        </w:rPr>
        <w:t>2</w:t>
      </w:r>
      <w:r w:rsidRPr="001970D9">
        <w:rPr>
          <w:rFonts w:ascii="Cambria" w:eastAsia="Arial Unicode MS" w:hAnsi="Cambria" w:cs="Arial"/>
          <w:sz w:val="24"/>
          <w:szCs w:val="24"/>
          <w:lang w:val="en-US"/>
        </w:rPr>
        <w:t xml:space="preserve"> via a fast-response, three-dimensional, entirely integrated sonic anemometer and open path infrared gas </w:t>
      </w:r>
      <w:proofErr w:type="spellStart"/>
      <w:r w:rsidRPr="001970D9">
        <w:rPr>
          <w:rFonts w:ascii="Cambria" w:eastAsia="Arial Unicode MS" w:hAnsi="Cambria" w:cs="Arial"/>
          <w:sz w:val="24"/>
          <w:szCs w:val="24"/>
          <w:lang w:val="en-US"/>
        </w:rPr>
        <w:t>analyser</w:t>
      </w:r>
      <w:proofErr w:type="spellEnd"/>
      <w:r w:rsidRPr="001970D9">
        <w:rPr>
          <w:rFonts w:ascii="Cambria" w:eastAsia="Arial Unicode MS" w:hAnsi="Cambria" w:cs="Arial"/>
          <w:sz w:val="24"/>
          <w:szCs w:val="24"/>
          <w:lang w:val="en-US"/>
        </w:rPr>
        <w:t xml:space="preserve"> (IRGASON, Campbell Scientific, Logan, Utah, USA) installed at 2.7 m aboveground. Data, sampled at 10 Hz frequency with a solar-powered datalogger (CR3000, Campbell Scientific, USA), were collected remotely via a modem connected to the local 3G network. Data were processed to 30-min averages and quality control checks were performed in </w:t>
      </w:r>
      <w:proofErr w:type="spellStart"/>
      <w:r w:rsidRPr="001970D9">
        <w:rPr>
          <w:rFonts w:ascii="Cambria" w:eastAsia="Arial Unicode MS" w:hAnsi="Cambria" w:cs="Arial"/>
          <w:sz w:val="24"/>
          <w:szCs w:val="24"/>
          <w:lang w:val="en-US"/>
        </w:rPr>
        <w:t>EddyPro</w:t>
      </w:r>
      <w:r w:rsidRPr="001970D9">
        <w:rPr>
          <w:rFonts w:ascii="Cambria" w:eastAsia="Arial Unicode MS" w:hAnsi="Cambria" w:cs="Arial"/>
          <w:sz w:val="24"/>
          <w:szCs w:val="24"/>
          <w:vertAlign w:val="superscript"/>
          <w:lang w:val="en-US"/>
        </w:rPr>
        <w:t>TM</w:t>
      </w:r>
      <w:proofErr w:type="spellEnd"/>
      <w:r w:rsidRPr="001970D9">
        <w:rPr>
          <w:rFonts w:ascii="Cambria" w:eastAsia="Arial Unicode MS" w:hAnsi="Cambria" w:cs="Arial"/>
          <w:sz w:val="24"/>
          <w:szCs w:val="24"/>
          <w:lang w:val="en-US"/>
        </w:rPr>
        <w:t xml:space="preserve"> </w:t>
      </w:r>
      <w:r w:rsidRPr="001970D9">
        <w:rPr>
          <w:rFonts w:ascii="Cambria" w:hAnsi="Cambria" w:cs="Times New Roman"/>
          <w:noProof/>
          <w:sz w:val="24"/>
          <w:szCs w:val="24"/>
          <w:lang w:eastAsia="en-AU"/>
        </w:rPr>
        <w:t>open–source software (</w:t>
      </w:r>
      <w:r w:rsidRPr="001970D9">
        <w:rPr>
          <w:rFonts w:ascii="Cambria" w:eastAsia="Arial Unicode MS" w:hAnsi="Cambria" w:cs="Arial"/>
          <w:sz w:val="24"/>
          <w:szCs w:val="24"/>
          <w:lang w:val="en-US"/>
        </w:rPr>
        <w:t>v</w:t>
      </w:r>
      <w:r w:rsidRPr="001970D9">
        <w:rPr>
          <w:rFonts w:ascii="Cambria" w:hAnsi="Cambria" w:cs="Times New Roman"/>
          <w:noProof/>
          <w:sz w:val="24"/>
          <w:szCs w:val="24"/>
          <w:lang w:eastAsia="en-AU"/>
        </w:rPr>
        <w:t xml:space="preserve">6.2.0; LI–COR, Inc., Lincoln, NE, USA) </w:t>
      </w:r>
      <w:r w:rsidRPr="001970D9">
        <w:rPr>
          <w:rFonts w:ascii="Cambria" w:eastAsia="Arial Unicode MS" w:hAnsi="Cambria" w:cs="Arial"/>
          <w:sz w:val="24"/>
          <w:szCs w:val="24"/>
          <w:lang w:val="en-US"/>
        </w:rPr>
        <w:t xml:space="preserve">and half-hourly fluxes were subject to post-processing using Tovi software </w:t>
      </w:r>
      <w:r w:rsidRPr="001970D9">
        <w:rPr>
          <w:rFonts w:ascii="Cambria" w:hAnsi="Cambria" w:cs="Times New Roman"/>
          <w:sz w:val="24"/>
          <w:szCs w:val="24"/>
        </w:rPr>
        <w:t>(LI-COR Inc., Lincoln, NE, USA)</w:t>
      </w:r>
      <w:r w:rsidRPr="001970D9">
        <w:rPr>
          <w:rFonts w:ascii="Cambria" w:eastAsia="Arial Unicode MS" w:hAnsi="Cambria" w:cs="Arial"/>
          <w:sz w:val="24"/>
          <w:szCs w:val="24"/>
          <w:lang w:val="en-US"/>
        </w:rPr>
        <w:t xml:space="preserve">. Following standard quality control approaches, the night-time flux method was applied to partition NEE into the individual components of gross primary productivity (GPP) and ecosystem respiration (ER), including autotrophic and heterotrophic respiration </w:t>
      </w:r>
      <w:sdt>
        <w:sdtPr>
          <w:rPr>
            <w:rFonts w:ascii="Cambria" w:eastAsia="Arial Unicode MS" w:hAnsi="Cambria" w:cs="Arial"/>
            <w:color w:val="000000"/>
            <w:sz w:val="24"/>
            <w:szCs w:val="24"/>
            <w:lang w:val="en-US"/>
          </w:rPr>
          <w:tag w:val="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"/>
          <w:id w:val="-1165229843"/>
          <w:placeholder>
            <w:docPart w:val="EFA9FC438E6647A3A5712404ED2B46C3"/>
          </w:placeholder>
        </w:sdtPr>
        <w:sdtContent>
          <w:r w:rsidR="009674A5" w:rsidRPr="009674A5">
            <w:rPr>
              <w:rFonts w:ascii="Cambria" w:eastAsia="Arial Unicode MS" w:hAnsi="Cambria" w:cs="Arial"/>
              <w:color w:val="000000"/>
              <w:sz w:val="24"/>
              <w:szCs w:val="24"/>
              <w:lang w:val="en-US"/>
            </w:rPr>
            <w:t>(Reichstein et al., 2005)</w:t>
          </w:r>
        </w:sdtContent>
      </w:sdt>
      <w:r w:rsidRPr="001970D9">
        <w:rPr>
          <w:rFonts w:ascii="Cambria" w:eastAsia="Arial Unicode MS" w:hAnsi="Cambria" w:cs="Arial"/>
          <w:sz w:val="24"/>
          <w:szCs w:val="24"/>
          <w:lang w:val="en-US"/>
        </w:rPr>
        <w:t xml:space="preserve">. All available ER data were modelled from air or soil temperature using the exponential regression model from </w:t>
      </w:r>
      <w:sdt>
        <w:sdtPr>
          <w:rPr>
            <w:rFonts w:ascii="Cambria" w:eastAsia="Arial Unicode MS" w:hAnsi="Cambria" w:cs="Arial"/>
            <w:color w:val="000000"/>
            <w:sz w:val="24"/>
            <w:szCs w:val="24"/>
            <w:lang w:val="en-US"/>
          </w:rPr>
          <w:tag w:val="MENDELEY_CITATION_v3_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"/>
          <w:id w:val="-222372236"/>
          <w:placeholder>
            <w:docPart w:val="EFA9FC438E6647A3A5712404ED2B46C3"/>
          </w:placeholder>
        </w:sdtPr>
        <w:sdtContent>
          <w:r w:rsidR="009674A5">
            <w:rPr>
              <w:rFonts w:eastAsia="Times New Roman"/>
            </w:rPr>
            <w:t>Lloyd &amp; Taylor, (1994)</w:t>
          </w:r>
        </w:sdtContent>
      </w:sdt>
      <w:r w:rsidRPr="001970D9">
        <w:rPr>
          <w:rFonts w:ascii="Cambria" w:eastAsia="Arial Unicode MS" w:hAnsi="Cambria" w:cs="Arial"/>
          <w:sz w:val="24"/>
          <w:szCs w:val="24"/>
          <w:lang w:val="en-US"/>
        </w:rPr>
        <w:t>.</w:t>
      </w:r>
      <w:r w:rsidRPr="001970D9">
        <w:rPr>
          <w:rFonts w:ascii="Cambria" w:hAnsi="Cambria" w:cs="Times New Roman"/>
          <w:sz w:val="24"/>
          <w:szCs w:val="24"/>
          <w:lang w:eastAsia="en-AU"/>
        </w:rPr>
        <w:t xml:space="preserve"> </w:t>
      </w:r>
      <w:r w:rsidRPr="001970D9">
        <w:rPr>
          <w:rFonts w:ascii="Cambria" w:eastAsia="Arial Unicode MS" w:hAnsi="Cambria" w:cs="Arial"/>
          <w:sz w:val="24"/>
          <w:szCs w:val="24"/>
          <w:lang w:val="en-US"/>
        </w:rPr>
        <w:t xml:space="preserve">From the resulting 30-min data set, values of GPP, ER, and NEE from the same dates and times as the chamber gas sampling (May 23–24, 2018) were extracted and are presented here. Average daytime ER:GPP ratios from the Alpine Peatland site were then calculated for comparison against the chamber-based </w:t>
      </w:r>
      <w:r w:rsidRPr="001970D9">
        <w:rPr>
          <w:rFonts w:ascii="Cambria" w:eastAsia="Arial Unicode MS" w:hAnsi="Cambria" w:cs="Sabon Next LT"/>
          <w:sz w:val="24"/>
          <w:szCs w:val="24"/>
          <w:lang w:val="en-US"/>
        </w:rPr>
        <w:t>CO</w:t>
      </w:r>
      <w:r w:rsidRPr="001970D9">
        <w:rPr>
          <w:rFonts w:ascii="Cambria" w:eastAsia="Arial Unicode MS" w:hAnsi="Cambria" w:cs="Sabon Next LT"/>
          <w:sz w:val="24"/>
          <w:szCs w:val="24"/>
          <w:vertAlign w:val="subscript"/>
          <w:lang w:val="en-US"/>
        </w:rPr>
        <w:t>2</w:t>
      </w:r>
      <w:r w:rsidRPr="001970D9">
        <w:rPr>
          <w:rFonts w:ascii="Cambria" w:eastAsia="Arial Unicode MS" w:hAnsi="Cambria" w:cs="Arial"/>
          <w:sz w:val="24"/>
          <w:szCs w:val="24"/>
          <w:lang w:val="en-US"/>
        </w:rPr>
        <w:t xml:space="preserve"> (ER) data from sites BHP2–8. </w:t>
      </w:r>
    </w:p>
    <w:p w14:paraId="64D214EE" w14:textId="77777777" w:rsidR="00020097" w:rsidRDefault="00020097" w:rsidP="005646AD">
      <w:pPr>
        <w:spacing w:line="360" w:lineRule="auto"/>
        <w:jc w:val="both"/>
        <w:rPr>
          <w:rFonts w:ascii="Cambria" w:hAnsi="Cambria"/>
          <w:b/>
          <w:bCs/>
          <w:sz w:val="24"/>
          <w:szCs w:val="24"/>
        </w:rPr>
      </w:pPr>
    </w:p>
    <w:p w14:paraId="4D7B0FB2" w14:textId="140817FE" w:rsidR="001970D9" w:rsidRPr="001970D9" w:rsidRDefault="001970D9" w:rsidP="005646AD">
      <w:pPr>
        <w:spacing w:line="360" w:lineRule="auto"/>
        <w:jc w:val="both"/>
        <w:rPr>
          <w:rFonts w:ascii="Cambria" w:hAnsi="Cambria"/>
          <w:i/>
          <w:iCs/>
          <w:sz w:val="24"/>
          <w:szCs w:val="24"/>
        </w:rPr>
      </w:pPr>
      <w:r w:rsidRPr="001970D9">
        <w:rPr>
          <w:rFonts w:ascii="Cambria" w:hAnsi="Cambria"/>
          <w:i/>
          <w:iCs/>
          <w:sz w:val="24"/>
          <w:szCs w:val="24"/>
        </w:rPr>
        <w:t>Statistical Analysis</w:t>
      </w:r>
    </w:p>
    <w:p w14:paraId="23FB3170" w14:textId="42CA3E7D" w:rsidR="00E63CF6" w:rsidRPr="001970D9" w:rsidRDefault="00E63CF6" w:rsidP="00E63CF6">
      <w:pPr>
        <w:pStyle w:val="Body"/>
        <w:jc w:val="both"/>
        <w:rPr>
          <w:rFonts w:ascii="Cambria" w:hAnsi="Cambria"/>
        </w:rPr>
      </w:pPr>
      <w:r w:rsidRPr="001970D9">
        <w:rPr>
          <w:rFonts w:ascii="Cambria" w:eastAsia="Arial Unicode MS" w:hAnsi="Cambria" w:cs="Arial"/>
          <w:lang w:val="en-US"/>
        </w:rPr>
        <w:t xml:space="preserve">Two separate GLMs were used to compare fluxes of </w:t>
      </w:r>
      <w:r w:rsidRPr="001970D9">
        <w:rPr>
          <w:rFonts w:ascii="Cambria" w:eastAsia="Arial Unicode MS" w:hAnsi="Cambria" w:cs="Sabon Next LT"/>
          <w:lang w:val="en-US"/>
        </w:rPr>
        <w:t>CH</w:t>
      </w:r>
      <w:r w:rsidRPr="001970D9">
        <w:rPr>
          <w:rFonts w:ascii="Cambria" w:eastAsia="Arial Unicode MS" w:hAnsi="Cambria" w:cs="Sabon Next LT"/>
          <w:vertAlign w:val="subscript"/>
          <w:lang w:val="en-US"/>
        </w:rPr>
        <w:t>4</w:t>
      </w:r>
      <w:r w:rsidRPr="001970D9">
        <w:rPr>
          <w:rFonts w:ascii="Cambria" w:eastAsia="Arial Unicode MS" w:hAnsi="Cambria" w:cs="Arial"/>
          <w:lang w:val="en-US"/>
        </w:rPr>
        <w:t xml:space="preserve"> and </w:t>
      </w:r>
      <w:r w:rsidRPr="001970D9">
        <w:rPr>
          <w:rFonts w:ascii="Cambria" w:eastAsia="Arial Unicode MS" w:hAnsi="Cambria" w:cs="Sabon Next LT"/>
          <w:lang w:val="en-US"/>
        </w:rPr>
        <w:t>CO</w:t>
      </w:r>
      <w:r w:rsidRPr="001970D9">
        <w:rPr>
          <w:rFonts w:ascii="Cambria" w:eastAsia="Arial Unicode MS" w:hAnsi="Cambria" w:cs="Sabon Next LT"/>
          <w:vertAlign w:val="subscript"/>
          <w:lang w:val="en-US"/>
        </w:rPr>
        <w:t>2</w:t>
      </w:r>
      <w:r w:rsidRPr="001970D9">
        <w:rPr>
          <w:rFonts w:ascii="Cambria" w:eastAsia="Arial Unicode MS" w:hAnsi="Cambria" w:cs="Arial"/>
          <w:lang w:val="en-US"/>
        </w:rPr>
        <w:t xml:space="preserve"> (ER), with </w:t>
      </w:r>
      <w:r w:rsidRPr="001970D9">
        <w:rPr>
          <w:rFonts w:ascii="Cambria" w:eastAsia="Arial Unicode MS" w:hAnsi="Cambria" w:cs="Arial"/>
          <w:i/>
          <w:iCs/>
          <w:lang w:val="en-US"/>
        </w:rPr>
        <w:t>site</w:t>
      </w:r>
      <w:r w:rsidRPr="001970D9">
        <w:rPr>
          <w:rFonts w:ascii="Cambria" w:hAnsi="Cambria"/>
          <w:i/>
          <w:iCs/>
        </w:rPr>
        <w:t xml:space="preserve"> </w:t>
      </w:r>
      <w:r w:rsidRPr="001970D9">
        <w:rPr>
          <w:rFonts w:ascii="Cambria" w:hAnsi="Cambria"/>
        </w:rPr>
        <w:t xml:space="preserve">as a fixed factor. Prior to analysis, </w:t>
      </w:r>
      <w:r w:rsidRPr="001970D9">
        <w:rPr>
          <w:rFonts w:ascii="Cambria" w:hAnsi="Cambria" w:cs="Sabon Next LT"/>
        </w:rPr>
        <w:t>CH</w:t>
      </w:r>
      <w:r w:rsidRPr="001970D9">
        <w:rPr>
          <w:rFonts w:ascii="Cambria" w:hAnsi="Cambria" w:cs="Sabon Next LT"/>
          <w:vertAlign w:val="subscript"/>
        </w:rPr>
        <w:t>4</w:t>
      </w:r>
      <w:r w:rsidRPr="001970D9">
        <w:rPr>
          <w:rFonts w:ascii="Cambria" w:hAnsi="Cambria"/>
        </w:rPr>
        <w:t xml:space="preserve"> data were transformed as there were many values below zero in the data set. To do so we added, to all data points, a constant of 0.0001 + the minimum </w:t>
      </w:r>
      <w:r w:rsidRPr="001970D9">
        <w:rPr>
          <w:rFonts w:ascii="Cambria" w:hAnsi="Cambria" w:cs="Sabon Next LT"/>
        </w:rPr>
        <w:t>CH</w:t>
      </w:r>
      <w:r w:rsidRPr="001970D9">
        <w:rPr>
          <w:rFonts w:ascii="Cambria" w:hAnsi="Cambria" w:cs="Sabon Next LT"/>
          <w:vertAlign w:val="subscript"/>
        </w:rPr>
        <w:t>4</w:t>
      </w:r>
      <w:r w:rsidRPr="001970D9">
        <w:rPr>
          <w:rFonts w:ascii="Cambria" w:hAnsi="Cambria"/>
        </w:rPr>
        <w:t xml:space="preserve"> value in the data set, so that all values were pushed above zero, while differences between values were unchanged </w:t>
      </w:r>
      <w:sdt>
        <w:sdtPr>
          <w:rPr>
            <w:rFonts w:ascii="Cambria" w:hAnsi="Cambria"/>
          </w:rPr>
          <w:tag w:val="MENDELEY_CITATION_v3_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"/>
          <w:id w:val="-1907678215"/>
          <w:placeholder>
            <w:docPart w:val="1488977A6BC545F89D2B0C2A5E5469F2"/>
          </w:placeholder>
        </w:sdtPr>
        <w:sdtContent>
          <w:r w:rsidR="009674A5" w:rsidRPr="009674A5">
            <w:rPr>
              <w:rFonts w:ascii="Cambria" w:hAnsi="Cambria"/>
            </w:rPr>
            <w:t>(McDonald, 2009)</w:t>
          </w:r>
        </w:sdtContent>
      </w:sdt>
      <w:r w:rsidRPr="001970D9">
        <w:rPr>
          <w:rFonts w:ascii="Cambria" w:hAnsi="Cambria"/>
        </w:rPr>
        <w:t xml:space="preserve">. </w:t>
      </w:r>
      <w:r w:rsidR="009674A5">
        <w:rPr>
          <w:rFonts w:ascii="Cambria" w:hAnsi="Cambria"/>
        </w:rPr>
        <w:t>Hereafter,</w:t>
      </w:r>
      <w:r w:rsidRPr="001970D9">
        <w:rPr>
          <w:rFonts w:ascii="Cambria" w:hAnsi="Cambria"/>
        </w:rPr>
        <w:t xml:space="preserve"> untransformed</w:t>
      </w:r>
      <w:r w:rsidRPr="001970D9">
        <w:rPr>
          <w:rFonts w:ascii="Cambria" w:hAnsi="Cambria" w:cs="Sabon Next LT"/>
        </w:rPr>
        <w:t xml:space="preserve"> CH</w:t>
      </w:r>
      <w:r w:rsidRPr="001970D9">
        <w:rPr>
          <w:rFonts w:ascii="Cambria" w:hAnsi="Cambria" w:cs="Sabon Next LT"/>
          <w:vertAlign w:val="subscript"/>
        </w:rPr>
        <w:t>4</w:t>
      </w:r>
      <w:r w:rsidRPr="001970D9">
        <w:rPr>
          <w:rFonts w:ascii="Cambria" w:hAnsi="Cambria"/>
        </w:rPr>
        <w:t xml:space="preserve"> data are presented.</w:t>
      </w:r>
    </w:p>
    <w:p w14:paraId="5D0EA341" w14:textId="77777777" w:rsidR="00020097" w:rsidRPr="001970D9" w:rsidRDefault="00020097" w:rsidP="005646AD">
      <w:pPr>
        <w:spacing w:line="360" w:lineRule="auto"/>
        <w:jc w:val="both"/>
        <w:rPr>
          <w:rFonts w:ascii="Cambria" w:hAnsi="Cambria"/>
          <w:b/>
          <w:bCs/>
          <w:sz w:val="24"/>
          <w:szCs w:val="24"/>
        </w:rPr>
      </w:pPr>
    </w:p>
    <w:p w14:paraId="03D5A0AF" w14:textId="647E663E" w:rsidR="00020097" w:rsidRPr="00020097" w:rsidRDefault="00020097" w:rsidP="005646AD">
      <w:pPr>
        <w:spacing w:line="360" w:lineRule="auto"/>
        <w:jc w:val="both"/>
        <w:rPr>
          <w:rFonts w:ascii="Cambria" w:hAnsi="Cambria"/>
          <w:b/>
          <w:bCs/>
          <w:sz w:val="24"/>
          <w:szCs w:val="24"/>
        </w:rPr>
      </w:pPr>
      <w:r w:rsidRPr="00020097">
        <w:rPr>
          <w:rFonts w:ascii="Cambria" w:hAnsi="Cambria"/>
          <w:b/>
          <w:bCs/>
          <w:sz w:val="24"/>
          <w:szCs w:val="24"/>
        </w:rPr>
        <w:lastRenderedPageBreak/>
        <w:t>Results</w:t>
      </w:r>
    </w:p>
    <w:p w14:paraId="1880BC9E" w14:textId="77777777" w:rsidR="005646AD" w:rsidRPr="005646AD" w:rsidRDefault="005646AD" w:rsidP="005646AD">
      <w:pPr>
        <w:pStyle w:val="Body"/>
        <w:jc w:val="both"/>
        <w:rPr>
          <w:rFonts w:ascii="Cambria" w:eastAsia="Arial Unicode MS" w:hAnsi="Cambria" w:cs="Arial"/>
          <w:i/>
          <w:iCs/>
          <w:lang w:val="en-US"/>
        </w:rPr>
      </w:pPr>
      <w:r w:rsidRPr="005646AD">
        <w:rPr>
          <w:rFonts w:ascii="Cambria" w:eastAsia="Arial Unicode MS" w:hAnsi="Cambria" w:cs="Arial"/>
          <w:i/>
          <w:iCs/>
          <w:lang w:val="en-US"/>
        </w:rPr>
        <w:t>Carbon fluxes</w:t>
      </w:r>
    </w:p>
    <w:p w14:paraId="1DD0C90D" w14:textId="6E139742" w:rsidR="005646AD" w:rsidRPr="005646AD" w:rsidRDefault="005646AD" w:rsidP="005646AD">
      <w:pPr>
        <w:pStyle w:val="Body"/>
        <w:jc w:val="both"/>
        <w:rPr>
          <w:rFonts w:ascii="Cambria" w:eastAsia="Arial Unicode MS" w:hAnsi="Cambria" w:cs="Arial"/>
          <w:lang w:val="en-US"/>
        </w:rPr>
      </w:pPr>
      <w:r w:rsidRPr="005646AD">
        <w:rPr>
          <w:rFonts w:ascii="Cambria" w:eastAsia="Arial Unicode MS" w:hAnsi="Cambria" w:cs="Arial"/>
          <w:lang w:val="en-US"/>
        </w:rPr>
        <w:t xml:space="preserve">Note that we use the following convention for reporting data from both carbon flux methods: negative values (&lt;0) describe a net uptake of atmospheric carbon into the peatland, and positive values (&gt;0) describe a net loss of carbon from the peatland to the atmosphere. We also note that, given the single sampling period for each </w:t>
      </w:r>
      <w:r w:rsidR="008850D5" w:rsidRPr="005646AD">
        <w:rPr>
          <w:rFonts w:ascii="Cambria" w:eastAsia="Arial Unicode MS" w:hAnsi="Cambria" w:cs="Arial"/>
          <w:lang w:val="en-US"/>
        </w:rPr>
        <w:t>site,</w:t>
      </w:r>
      <w:r w:rsidRPr="005646AD">
        <w:rPr>
          <w:rFonts w:ascii="Cambria" w:eastAsia="Arial Unicode MS" w:hAnsi="Cambria" w:cs="Arial"/>
          <w:lang w:val="en-US"/>
        </w:rPr>
        <w:t xml:space="preserve"> chamber-based carbon fluxes reported here are preliminary in nature.</w:t>
      </w:r>
    </w:p>
    <w:p w14:paraId="6DBDAE6B" w14:textId="77777777" w:rsidR="005646AD" w:rsidRPr="005646AD" w:rsidRDefault="005646AD" w:rsidP="005646AD">
      <w:pPr>
        <w:pStyle w:val="Body"/>
        <w:jc w:val="both"/>
        <w:rPr>
          <w:rFonts w:ascii="Cambria" w:eastAsia="Arial Unicode MS" w:hAnsi="Cambria" w:cs="Arial"/>
          <w:lang w:val="en-US"/>
        </w:rPr>
      </w:pPr>
    </w:p>
    <w:p w14:paraId="20D92FA4" w14:textId="77777777" w:rsidR="005646AD" w:rsidRPr="005646AD" w:rsidRDefault="005646AD" w:rsidP="005646AD">
      <w:pPr>
        <w:pStyle w:val="Body"/>
        <w:jc w:val="both"/>
        <w:rPr>
          <w:rFonts w:ascii="Cambria" w:hAnsi="Cambria"/>
          <w:b/>
          <w:bCs/>
        </w:rPr>
      </w:pPr>
      <w:r w:rsidRPr="005646AD">
        <w:rPr>
          <w:rFonts w:ascii="Cambria" w:eastAsia="Arial Unicode MS" w:hAnsi="Cambria" w:cs="Arial"/>
          <w:i/>
          <w:iCs/>
          <w:lang w:val="en-US"/>
        </w:rPr>
        <w:t>Carbon fluxes – chamber-based method (Sites BHP2–8)</w:t>
      </w:r>
    </w:p>
    <w:p w14:paraId="4705684A" w14:textId="0EB1C5F0" w:rsidR="005646AD" w:rsidRPr="005646AD" w:rsidRDefault="005646AD" w:rsidP="005646AD">
      <w:pPr>
        <w:pStyle w:val="Body"/>
        <w:jc w:val="both"/>
        <w:rPr>
          <w:rFonts w:ascii="Cambria" w:eastAsia="Arial Unicode MS" w:hAnsi="Cambria" w:cs="Arial"/>
          <w:lang w:val="en-US"/>
        </w:rPr>
      </w:pPr>
      <w:r w:rsidRPr="005646AD">
        <w:rPr>
          <w:rFonts w:ascii="Cambria" w:eastAsia="Arial Unicode MS" w:hAnsi="Cambria" w:cs="Arial"/>
          <w:lang w:val="en-US"/>
        </w:rPr>
        <w:t xml:space="preserve">Daytime fluxes of </w:t>
      </w:r>
      <w:r w:rsidRPr="005646AD">
        <w:rPr>
          <w:rFonts w:ascii="Cambria" w:eastAsia="Arial Unicode MS" w:hAnsi="Cambria" w:cs="Sabon Next LT"/>
          <w:lang w:val="en-US"/>
        </w:rPr>
        <w:t>CH</w:t>
      </w:r>
      <w:r w:rsidRPr="005646AD">
        <w:rPr>
          <w:rFonts w:ascii="Cambria" w:eastAsia="Arial Unicode MS" w:hAnsi="Cambria" w:cs="Sabon Next LT"/>
          <w:vertAlign w:val="subscript"/>
          <w:lang w:val="en-US"/>
        </w:rPr>
        <w:t>4</w:t>
      </w:r>
      <w:r w:rsidRPr="005646AD">
        <w:rPr>
          <w:rFonts w:ascii="Cambria" w:eastAsia="Arial Unicode MS" w:hAnsi="Cambria" w:cs="Arial"/>
          <w:lang w:val="en-US"/>
        </w:rPr>
        <w:t xml:space="preserve"> ranged from -0.053 to 0.26 </w:t>
      </w:r>
      <w:proofErr w:type="spellStart"/>
      <w:r w:rsidRPr="005646AD">
        <w:rPr>
          <w:rFonts w:ascii="Cambria" w:eastAsia="Arial Unicode MS" w:hAnsi="Cambria" w:cs="Arial"/>
          <w:lang w:val="en-US"/>
        </w:rPr>
        <w:t>umol</w:t>
      </w:r>
      <w:proofErr w:type="spellEnd"/>
      <w:r w:rsidRPr="005646AD">
        <w:rPr>
          <w:rFonts w:ascii="Cambria" w:eastAsia="Arial Unicode MS" w:hAnsi="Cambria" w:cs="Arial"/>
          <w:lang w:val="en-US"/>
        </w:rPr>
        <w:t xml:space="preserve"> </w:t>
      </w:r>
      <w:r w:rsidRPr="005646AD">
        <w:rPr>
          <w:rFonts w:ascii="Cambria" w:eastAsia="Arial Unicode MS" w:hAnsi="Cambria" w:cs="Sabon Next LT"/>
          <w:lang w:val="en-US"/>
        </w:rPr>
        <w:t>m</w:t>
      </w:r>
      <w:r w:rsidRPr="005646AD">
        <w:rPr>
          <w:rFonts w:ascii="Cambria" w:eastAsia="Arial Unicode MS" w:hAnsi="Cambria" w:cs="Sabon Next LT"/>
          <w:vertAlign w:val="superscript"/>
          <w:lang w:val="en-US"/>
        </w:rPr>
        <w:t xml:space="preserve">2 </w:t>
      </w:r>
      <w:r w:rsidRPr="005646AD">
        <w:rPr>
          <w:rFonts w:ascii="Cambria" w:eastAsia="Arial Unicode MS" w:hAnsi="Cambria" w:cs="Sabon Next LT"/>
          <w:lang w:val="en-US"/>
        </w:rPr>
        <w:t>min</w:t>
      </w:r>
      <w:r w:rsidRPr="005646AD">
        <w:rPr>
          <w:rFonts w:ascii="Cambria" w:eastAsia="Arial Unicode MS" w:hAnsi="Cambria" w:cs="Sabon Next LT"/>
          <w:vertAlign w:val="superscript"/>
          <w:lang w:val="en-US"/>
        </w:rPr>
        <w:t>-1</w:t>
      </w:r>
      <w:r w:rsidRPr="005646AD">
        <w:rPr>
          <w:rFonts w:ascii="Cambria" w:eastAsia="Arial Unicode MS" w:hAnsi="Cambria" w:cs="Sabon Next LT"/>
          <w:lang w:val="en-US"/>
        </w:rPr>
        <w:t xml:space="preserve"> </w:t>
      </w:r>
      <w:r w:rsidRPr="005646AD">
        <w:rPr>
          <w:rFonts w:ascii="Cambria" w:eastAsia="Arial Unicode MS" w:hAnsi="Cambria" w:cs="Arial"/>
          <w:lang w:val="en-US"/>
        </w:rPr>
        <w:t xml:space="preserve">and averaged 0.001 ± 0.06 </w:t>
      </w:r>
      <w:proofErr w:type="spellStart"/>
      <w:r w:rsidRPr="005646AD">
        <w:rPr>
          <w:rFonts w:ascii="Cambria" w:eastAsia="Arial Unicode MS" w:hAnsi="Cambria" w:cs="Arial"/>
          <w:lang w:val="en-US"/>
        </w:rPr>
        <w:t>umol</w:t>
      </w:r>
      <w:proofErr w:type="spellEnd"/>
      <w:r w:rsidRPr="005646AD">
        <w:rPr>
          <w:rFonts w:ascii="Cambria" w:eastAsia="Arial Unicode MS" w:hAnsi="Cambria" w:cs="Arial"/>
          <w:lang w:val="en-US"/>
        </w:rPr>
        <w:t xml:space="preserve"> </w:t>
      </w:r>
      <w:r w:rsidRPr="005646AD">
        <w:rPr>
          <w:rFonts w:ascii="Cambria" w:eastAsia="Arial Unicode MS" w:hAnsi="Cambria" w:cs="Sabon Next LT"/>
          <w:lang w:val="en-US"/>
        </w:rPr>
        <w:t>m</w:t>
      </w:r>
      <w:r w:rsidRPr="005646AD">
        <w:rPr>
          <w:rFonts w:ascii="Cambria" w:eastAsia="Arial Unicode MS" w:hAnsi="Cambria" w:cs="Sabon Next LT"/>
          <w:vertAlign w:val="superscript"/>
          <w:lang w:val="en-US"/>
        </w:rPr>
        <w:t>2</w:t>
      </w:r>
      <w:r w:rsidRPr="005646AD">
        <w:rPr>
          <w:rFonts w:ascii="Cambria" w:eastAsia="Arial Unicode MS" w:hAnsi="Cambria" w:cs="Arial"/>
          <w:lang w:val="en-US"/>
        </w:rPr>
        <w:t xml:space="preserve"> </w:t>
      </w:r>
      <w:r w:rsidRPr="005646AD">
        <w:rPr>
          <w:rFonts w:ascii="Cambria" w:eastAsia="Arial Unicode MS" w:hAnsi="Cambria" w:cs="Sabon Next LT"/>
          <w:lang w:val="en-US"/>
        </w:rPr>
        <w:t>min</w:t>
      </w:r>
      <w:r w:rsidRPr="005646AD">
        <w:rPr>
          <w:rFonts w:ascii="Cambria" w:eastAsia="Arial Unicode MS" w:hAnsi="Cambria" w:cs="Sabon Next LT"/>
          <w:vertAlign w:val="superscript"/>
          <w:lang w:val="en-US"/>
        </w:rPr>
        <w:t>-1</w:t>
      </w:r>
      <w:r w:rsidRPr="005646AD">
        <w:rPr>
          <w:rFonts w:ascii="Cambria" w:eastAsia="Arial Unicode MS" w:hAnsi="Cambria" w:cs="Sabon Next LT"/>
          <w:lang w:val="en-US"/>
        </w:rPr>
        <w:t xml:space="preserve"> across all sites. Daytime fluxes of ER ranged from 9.1 to 227.9 </w:t>
      </w:r>
      <w:proofErr w:type="spellStart"/>
      <w:r w:rsidRPr="005646AD">
        <w:rPr>
          <w:rFonts w:ascii="Cambria" w:eastAsia="Arial Unicode MS" w:hAnsi="Cambria" w:cs="Sabon Next LT"/>
          <w:lang w:val="en-US"/>
        </w:rPr>
        <w:t>umol</w:t>
      </w:r>
      <w:proofErr w:type="spellEnd"/>
      <w:r w:rsidRPr="005646AD">
        <w:rPr>
          <w:rFonts w:ascii="Cambria" w:eastAsia="Arial Unicode MS" w:hAnsi="Cambria" w:cs="Sabon Next LT"/>
          <w:lang w:val="en-US"/>
        </w:rPr>
        <w:t xml:space="preserve"> m</w:t>
      </w:r>
      <w:r w:rsidRPr="005646AD">
        <w:rPr>
          <w:rFonts w:ascii="Cambria" w:eastAsia="Arial Unicode MS" w:hAnsi="Cambria" w:cs="Sabon Next LT"/>
          <w:vertAlign w:val="superscript"/>
          <w:lang w:val="en-US"/>
        </w:rPr>
        <w:t xml:space="preserve">2 </w:t>
      </w:r>
      <w:r w:rsidRPr="005646AD">
        <w:rPr>
          <w:rFonts w:ascii="Cambria" w:eastAsia="Arial Unicode MS" w:hAnsi="Cambria" w:cs="Sabon Next LT"/>
          <w:lang w:val="en-US"/>
        </w:rPr>
        <w:t>min</w:t>
      </w:r>
      <w:r w:rsidRPr="005646AD">
        <w:rPr>
          <w:rFonts w:ascii="Cambria" w:eastAsia="Arial Unicode MS" w:hAnsi="Cambria" w:cs="Sabon Next LT"/>
          <w:vertAlign w:val="superscript"/>
          <w:lang w:val="en-US"/>
        </w:rPr>
        <w:t>-1</w:t>
      </w:r>
      <w:r w:rsidRPr="005646AD">
        <w:rPr>
          <w:rFonts w:ascii="Cambria" w:eastAsia="Arial Unicode MS" w:hAnsi="Cambria" w:cs="Sabon Next LT"/>
          <w:lang w:val="en-US"/>
        </w:rPr>
        <w:t xml:space="preserve"> and averaged 74.6 ± 50.9 </w:t>
      </w:r>
      <w:proofErr w:type="spellStart"/>
      <w:r w:rsidRPr="005646AD">
        <w:rPr>
          <w:rFonts w:ascii="Cambria" w:eastAsia="Arial Unicode MS" w:hAnsi="Cambria" w:cs="Sabon Next LT"/>
          <w:lang w:val="en-US"/>
        </w:rPr>
        <w:t>umol</w:t>
      </w:r>
      <w:proofErr w:type="spellEnd"/>
      <w:r w:rsidRPr="005646AD">
        <w:rPr>
          <w:rFonts w:ascii="Cambria" w:eastAsia="Arial Unicode MS" w:hAnsi="Cambria" w:cs="Sabon Next LT"/>
          <w:lang w:val="en-US"/>
        </w:rPr>
        <w:t xml:space="preserve"> CO</w:t>
      </w:r>
      <w:r w:rsidRPr="005646AD">
        <w:rPr>
          <w:rFonts w:ascii="Cambria" w:eastAsia="Arial Unicode MS" w:hAnsi="Cambria" w:cs="Sabon Next LT"/>
          <w:vertAlign w:val="subscript"/>
          <w:lang w:val="en-US"/>
        </w:rPr>
        <w:t>2</w:t>
      </w:r>
      <w:r w:rsidRPr="005646AD">
        <w:rPr>
          <w:rFonts w:ascii="Cambria" w:eastAsia="Arial Unicode MS" w:hAnsi="Cambria" w:cs="Sabon Next LT"/>
          <w:lang w:val="en-US"/>
        </w:rPr>
        <w:t xml:space="preserve"> m</w:t>
      </w:r>
      <w:r w:rsidRPr="005646AD">
        <w:rPr>
          <w:rFonts w:ascii="Cambria" w:eastAsia="Arial Unicode MS" w:hAnsi="Cambria" w:cs="Sabon Next LT"/>
          <w:vertAlign w:val="superscript"/>
          <w:lang w:val="en-US"/>
        </w:rPr>
        <w:t>2</w:t>
      </w:r>
      <w:r w:rsidRPr="005646AD">
        <w:rPr>
          <w:rFonts w:ascii="Cambria" w:eastAsia="Arial Unicode MS" w:hAnsi="Cambria" w:cs="Sabon Next LT"/>
          <w:lang w:val="en-US"/>
        </w:rPr>
        <w:t xml:space="preserve"> min</w:t>
      </w:r>
      <w:r w:rsidRPr="005646AD">
        <w:rPr>
          <w:rFonts w:ascii="Cambria" w:eastAsia="Arial Unicode MS" w:hAnsi="Cambria" w:cs="Sabon Next LT"/>
          <w:vertAlign w:val="superscript"/>
          <w:lang w:val="en-US"/>
        </w:rPr>
        <w:t>-1</w:t>
      </w:r>
      <w:r w:rsidRPr="005646AD">
        <w:rPr>
          <w:rFonts w:ascii="Cambria" w:eastAsia="Arial Unicode MS" w:hAnsi="Cambria" w:cs="Sabon Next LT"/>
          <w:lang w:val="en-US"/>
        </w:rPr>
        <w:t xml:space="preserve">. </w:t>
      </w:r>
      <w:r w:rsidRPr="005646AD">
        <w:rPr>
          <w:rFonts w:ascii="Cambria" w:eastAsia="Arial Unicode MS" w:hAnsi="Cambria" w:cs="Arial"/>
          <w:lang w:val="en-US"/>
        </w:rPr>
        <w:t xml:space="preserve">There was no significant effect of site on daytime fluxes of either </w:t>
      </w:r>
      <w:r w:rsidRPr="005646AD">
        <w:rPr>
          <w:rFonts w:ascii="Cambria" w:eastAsia="Arial Unicode MS" w:hAnsi="Cambria" w:cs="Sabon Next LT"/>
          <w:lang w:val="en-US"/>
        </w:rPr>
        <w:t>CH</w:t>
      </w:r>
      <w:r w:rsidRPr="005646AD">
        <w:rPr>
          <w:rFonts w:ascii="Cambria" w:eastAsia="Arial Unicode MS" w:hAnsi="Cambria" w:cs="Sabon Next LT"/>
          <w:vertAlign w:val="subscript"/>
          <w:lang w:val="en-US"/>
        </w:rPr>
        <w:t>4</w:t>
      </w:r>
      <w:r w:rsidRPr="005646AD">
        <w:rPr>
          <w:rFonts w:ascii="Cambria" w:eastAsia="Arial Unicode MS" w:hAnsi="Cambria" w:cs="Arial"/>
          <w:lang w:val="en-US"/>
        </w:rPr>
        <w:t xml:space="preserve"> (F = 1.67, </w:t>
      </w:r>
      <w:proofErr w:type="spellStart"/>
      <w:r w:rsidRPr="005646AD">
        <w:rPr>
          <w:rFonts w:ascii="Cambria" w:eastAsia="Arial Unicode MS" w:hAnsi="Cambria" w:cs="Arial"/>
          <w:i/>
          <w:iCs/>
          <w:lang w:val="en-US"/>
        </w:rPr>
        <w:t>df</w:t>
      </w:r>
      <w:proofErr w:type="spellEnd"/>
      <w:r w:rsidRPr="005646AD">
        <w:rPr>
          <w:rFonts w:ascii="Cambria" w:eastAsia="Arial Unicode MS" w:hAnsi="Cambria" w:cs="Arial"/>
          <w:i/>
          <w:iCs/>
          <w:lang w:val="en-US"/>
        </w:rPr>
        <w:t xml:space="preserve"> </w:t>
      </w:r>
      <w:r w:rsidRPr="005646AD">
        <w:rPr>
          <w:rFonts w:ascii="Cambria" w:eastAsia="Arial Unicode MS" w:hAnsi="Cambria" w:cs="Arial"/>
          <w:lang w:val="en-US"/>
        </w:rPr>
        <w:t xml:space="preserve">= 20, p = 0.18) or </w:t>
      </w:r>
      <w:r w:rsidRPr="005646AD">
        <w:rPr>
          <w:rFonts w:ascii="Cambria" w:eastAsia="Arial Unicode MS" w:hAnsi="Cambria" w:cs="Sabon Next LT"/>
          <w:lang w:val="en-US"/>
        </w:rPr>
        <w:t>ER</w:t>
      </w:r>
      <w:r w:rsidRPr="005646AD">
        <w:rPr>
          <w:rFonts w:ascii="Cambria" w:eastAsia="Arial Unicode MS" w:hAnsi="Cambria" w:cs="Arial"/>
          <w:lang w:val="en-US"/>
        </w:rPr>
        <w:t xml:space="preserve"> (F = 2.36, </w:t>
      </w:r>
      <w:proofErr w:type="spellStart"/>
      <w:r w:rsidRPr="005646AD">
        <w:rPr>
          <w:rFonts w:ascii="Cambria" w:eastAsia="Arial Unicode MS" w:hAnsi="Cambria" w:cs="Arial"/>
          <w:i/>
          <w:iCs/>
          <w:lang w:val="en-US"/>
        </w:rPr>
        <w:t>df</w:t>
      </w:r>
      <w:proofErr w:type="spellEnd"/>
      <w:r w:rsidRPr="005646AD">
        <w:rPr>
          <w:rFonts w:ascii="Cambria" w:eastAsia="Arial Unicode MS" w:hAnsi="Cambria" w:cs="Arial"/>
          <w:i/>
          <w:iCs/>
          <w:lang w:val="en-US"/>
        </w:rPr>
        <w:t xml:space="preserve"> </w:t>
      </w:r>
      <w:r w:rsidRPr="005646AD">
        <w:rPr>
          <w:rFonts w:ascii="Cambria" w:eastAsia="Arial Unicode MS" w:hAnsi="Cambria" w:cs="Arial"/>
          <w:lang w:val="en-US"/>
        </w:rPr>
        <w:t xml:space="preserve">= 20, p = 0.07) (Figure </w:t>
      </w:r>
      <w:r w:rsidR="00E15705">
        <w:rPr>
          <w:rFonts w:ascii="Cambria" w:eastAsia="Arial Unicode MS" w:hAnsi="Cambria" w:cs="Arial"/>
          <w:lang w:val="en-US"/>
        </w:rPr>
        <w:t>S1</w:t>
      </w:r>
      <w:r w:rsidRPr="005646AD">
        <w:rPr>
          <w:rFonts w:ascii="Cambria" w:eastAsia="Arial Unicode MS" w:hAnsi="Cambria" w:cs="Arial"/>
          <w:lang w:val="en-US"/>
        </w:rPr>
        <w:t>).</w:t>
      </w:r>
    </w:p>
    <w:p w14:paraId="357EC430" w14:textId="77777777" w:rsidR="005646AD" w:rsidRPr="005646AD" w:rsidRDefault="005646AD" w:rsidP="005646AD">
      <w:pPr>
        <w:pStyle w:val="Body"/>
        <w:jc w:val="both"/>
        <w:rPr>
          <w:rFonts w:ascii="Cambria" w:eastAsia="Arial Unicode MS" w:hAnsi="Cambria" w:cs="Arial"/>
          <w:lang w:val="en-US"/>
        </w:rPr>
      </w:pPr>
    </w:p>
    <w:p w14:paraId="5B392F17" w14:textId="77777777" w:rsidR="005646AD" w:rsidRPr="005646AD" w:rsidRDefault="005646AD" w:rsidP="00E15705">
      <w:pPr>
        <w:pStyle w:val="Body"/>
        <w:jc w:val="center"/>
        <w:rPr>
          <w:rFonts w:ascii="Cambria" w:hAnsi="Cambria"/>
        </w:rPr>
      </w:pPr>
      <w:r w:rsidRPr="005646AD">
        <w:rPr>
          <w:rFonts w:ascii="Cambria" w:hAnsi="Cambria"/>
          <w:noProof/>
        </w:rPr>
        <w:drawing>
          <wp:inline distT="0" distB="0" distL="0" distR="0" wp14:anchorId="05A5A219" wp14:editId="7DDADD27">
            <wp:extent cx="5816543" cy="4025900"/>
            <wp:effectExtent l="0" t="0" r="0" b="0"/>
            <wp:docPr id="1238862252" name="Picture 1238862252" descr="A comparison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862252" name="Picture 1238862252" descr="A comparison of a diagram&#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875835" cy="4066939"/>
                    </a:xfrm>
                    <a:prstGeom prst="rect">
                      <a:avLst/>
                    </a:prstGeom>
                  </pic:spPr>
                </pic:pic>
              </a:graphicData>
            </a:graphic>
          </wp:inline>
        </w:drawing>
      </w:r>
    </w:p>
    <w:p w14:paraId="3BD07466" w14:textId="0A065BD8" w:rsidR="005646AD" w:rsidRPr="005646AD" w:rsidRDefault="005646AD" w:rsidP="005646AD">
      <w:pPr>
        <w:spacing w:line="360" w:lineRule="auto"/>
        <w:jc w:val="both"/>
        <w:rPr>
          <w:rFonts w:ascii="Cambria" w:hAnsi="Cambria"/>
          <w:b/>
          <w:bCs/>
          <w:sz w:val="24"/>
          <w:szCs w:val="24"/>
        </w:rPr>
      </w:pPr>
      <w:r w:rsidRPr="005646AD">
        <w:rPr>
          <w:rFonts w:ascii="Cambria" w:hAnsi="Cambria"/>
          <w:b/>
          <w:bCs/>
          <w:sz w:val="24"/>
          <w:szCs w:val="24"/>
        </w:rPr>
        <w:t>Figure S1.</w:t>
      </w:r>
      <w:r w:rsidRPr="005646AD">
        <w:rPr>
          <w:rFonts w:ascii="Cambria" w:hAnsi="Cambria"/>
          <w:sz w:val="24"/>
          <w:szCs w:val="24"/>
        </w:rPr>
        <w:t xml:space="preserve"> Measured carbon fluxes from peatland sites on the Bogong High Plains, Victoria. (a) Methane (CH</w:t>
      </w:r>
      <w:r w:rsidRPr="005646AD">
        <w:rPr>
          <w:rFonts w:ascii="Cambria" w:hAnsi="Cambria"/>
          <w:sz w:val="24"/>
          <w:szCs w:val="24"/>
          <w:vertAlign w:val="subscript"/>
        </w:rPr>
        <w:t>4</w:t>
      </w:r>
      <w:r w:rsidRPr="005646AD">
        <w:rPr>
          <w:rFonts w:ascii="Cambria" w:hAnsi="Cambria"/>
          <w:sz w:val="24"/>
          <w:szCs w:val="24"/>
        </w:rPr>
        <w:t xml:space="preserve">); and (b) Ecosystem Respiration (ER; </w:t>
      </w:r>
      <w:r w:rsidRPr="005646AD">
        <w:rPr>
          <w:rFonts w:ascii="Cambria" w:hAnsi="Cambria" w:cs="Sabon Next LT"/>
          <w:sz w:val="24"/>
          <w:szCs w:val="24"/>
        </w:rPr>
        <w:t>CO</w:t>
      </w:r>
      <w:r w:rsidRPr="005646AD">
        <w:rPr>
          <w:rFonts w:ascii="Cambria" w:hAnsi="Cambria" w:cs="Sabon Next LT"/>
          <w:sz w:val="24"/>
          <w:szCs w:val="24"/>
          <w:vertAlign w:val="subscript"/>
        </w:rPr>
        <w:t>2</w:t>
      </w:r>
      <w:r w:rsidRPr="005646AD">
        <w:rPr>
          <w:rFonts w:ascii="Cambria" w:hAnsi="Cambria"/>
          <w:sz w:val="24"/>
          <w:szCs w:val="24"/>
        </w:rPr>
        <w:t xml:space="preserve">). Each box shows the </w:t>
      </w:r>
      <w:r w:rsidRPr="005646AD">
        <w:rPr>
          <w:rFonts w:ascii="Cambria" w:hAnsi="Cambria"/>
          <w:sz w:val="24"/>
          <w:szCs w:val="24"/>
        </w:rPr>
        <w:lastRenderedPageBreak/>
        <w:t>interquartile range, whiskers show 95% confidence intervals, and lines within boxes show median values. Green diamonds show mean values. Differences between sites for both gases are non-significant.</w:t>
      </w:r>
    </w:p>
    <w:p w14:paraId="470E4E3D" w14:textId="77777777" w:rsidR="005646AD" w:rsidRPr="005646AD" w:rsidRDefault="005646AD" w:rsidP="005646AD">
      <w:pPr>
        <w:spacing w:line="360" w:lineRule="auto"/>
        <w:jc w:val="both"/>
        <w:rPr>
          <w:rFonts w:ascii="Cambria" w:hAnsi="Cambria"/>
          <w:sz w:val="24"/>
          <w:szCs w:val="24"/>
          <w:bdr w:val="nil"/>
          <w:lang w:val="en-US"/>
        </w:rPr>
      </w:pPr>
    </w:p>
    <w:p w14:paraId="0ADC4431" w14:textId="77777777" w:rsidR="005646AD" w:rsidRPr="005646AD" w:rsidRDefault="005646AD" w:rsidP="005646AD">
      <w:pPr>
        <w:pStyle w:val="Body"/>
        <w:jc w:val="both"/>
        <w:rPr>
          <w:rFonts w:ascii="Cambria" w:eastAsia="Arial Unicode MS" w:hAnsi="Cambria" w:cs="Arial"/>
          <w:i/>
          <w:iCs/>
          <w:lang w:val="en-US"/>
        </w:rPr>
      </w:pPr>
      <w:r w:rsidRPr="005646AD">
        <w:rPr>
          <w:rFonts w:ascii="Cambria" w:eastAsia="Arial Unicode MS" w:hAnsi="Cambria" w:cs="Arial"/>
          <w:i/>
          <w:iCs/>
          <w:lang w:val="en-US"/>
        </w:rPr>
        <w:t xml:space="preserve">Carbon fluxes – eddy covariance method </w:t>
      </w:r>
    </w:p>
    <w:p w14:paraId="3F30D0F6" w14:textId="670A3A8B" w:rsidR="005646AD" w:rsidRDefault="005646AD" w:rsidP="005646AD">
      <w:pPr>
        <w:pStyle w:val="Body"/>
        <w:jc w:val="both"/>
        <w:rPr>
          <w:rFonts w:ascii="Cambria" w:eastAsia="Arial Unicode MS" w:hAnsi="Cambria" w:cs="Arial"/>
          <w:b/>
          <w:bCs/>
          <w:lang w:val="en-US"/>
        </w:rPr>
      </w:pPr>
      <w:r w:rsidRPr="005646AD">
        <w:rPr>
          <w:rFonts w:ascii="Cambria" w:eastAsia="Arial Unicode MS" w:hAnsi="Cambria" w:cs="Arial"/>
          <w:lang w:val="en-US"/>
        </w:rPr>
        <w:t xml:space="preserve">NEE measured at the Alpine Peatland flux tower averaged -43.21 and -50.18 </w:t>
      </w:r>
      <w:proofErr w:type="spellStart"/>
      <w:r w:rsidRPr="005646AD">
        <w:rPr>
          <w:rFonts w:ascii="Cambria" w:eastAsia="Arial Unicode MS" w:hAnsi="Cambria" w:cs="Arial"/>
          <w:lang w:val="en-US"/>
        </w:rPr>
        <w:t>umol</w:t>
      </w:r>
      <w:proofErr w:type="spellEnd"/>
      <w:r w:rsidRPr="005646AD">
        <w:rPr>
          <w:rFonts w:ascii="Cambria" w:eastAsia="Arial Unicode MS" w:hAnsi="Cambria" w:cs="Arial"/>
          <w:lang w:val="en-US"/>
        </w:rPr>
        <w:t xml:space="preserve"> </w:t>
      </w:r>
      <w:r w:rsidRPr="005646AD">
        <w:rPr>
          <w:rFonts w:ascii="Cambria" w:eastAsia="Arial Unicode MS" w:hAnsi="Cambria" w:cs="Sabon Next LT"/>
          <w:lang w:val="en-US"/>
        </w:rPr>
        <w:t>m</w:t>
      </w:r>
      <w:r w:rsidRPr="005646AD">
        <w:rPr>
          <w:rFonts w:ascii="Cambria" w:eastAsia="Arial Unicode MS" w:hAnsi="Cambria" w:cs="Sabon Next LT"/>
          <w:vertAlign w:val="superscript"/>
          <w:lang w:val="en-US"/>
        </w:rPr>
        <w:t>2</w:t>
      </w:r>
      <w:r w:rsidRPr="005646AD">
        <w:rPr>
          <w:rFonts w:ascii="Cambria" w:eastAsia="Arial Unicode MS" w:hAnsi="Cambria" w:cs="Arial"/>
          <w:lang w:val="en-US"/>
        </w:rPr>
        <w:t xml:space="preserve"> min</w:t>
      </w:r>
      <w:r w:rsidRPr="005646AD">
        <w:rPr>
          <w:rFonts w:ascii="Cambria" w:eastAsia="Arial Unicode MS" w:hAnsi="Cambria" w:cs="Arial"/>
          <w:vertAlign w:val="superscript"/>
          <w:lang w:val="en-US"/>
        </w:rPr>
        <w:t>-1</w:t>
      </w:r>
      <w:r w:rsidRPr="005646AD">
        <w:rPr>
          <w:rFonts w:ascii="Cambria" w:eastAsia="Arial Unicode MS" w:hAnsi="Cambria" w:cs="Arial"/>
          <w:lang w:val="en-US"/>
        </w:rPr>
        <w:t xml:space="preserve"> on May 23</w:t>
      </w:r>
      <w:r w:rsidRPr="005646AD">
        <w:rPr>
          <w:rFonts w:ascii="Cambria" w:eastAsia="Arial Unicode MS" w:hAnsi="Cambria" w:cs="Arial"/>
          <w:vertAlign w:val="superscript"/>
          <w:lang w:val="en-US"/>
        </w:rPr>
        <w:t>rd</w:t>
      </w:r>
      <w:r w:rsidRPr="005646AD">
        <w:rPr>
          <w:rFonts w:ascii="Cambria" w:eastAsia="Arial Unicode MS" w:hAnsi="Cambria" w:cs="Arial"/>
          <w:lang w:val="en-US"/>
        </w:rPr>
        <w:t xml:space="preserve"> and May 24</w:t>
      </w:r>
      <w:r w:rsidRPr="005646AD">
        <w:rPr>
          <w:rFonts w:ascii="Cambria" w:eastAsia="Arial Unicode MS" w:hAnsi="Cambria" w:cs="Arial"/>
          <w:vertAlign w:val="superscript"/>
          <w:lang w:val="en-US"/>
        </w:rPr>
        <w:t>th</w:t>
      </w:r>
      <w:r w:rsidRPr="005646AD">
        <w:rPr>
          <w:rFonts w:ascii="Cambria" w:eastAsia="Arial Unicode MS" w:hAnsi="Cambria" w:cs="Arial"/>
          <w:lang w:val="en-US"/>
        </w:rPr>
        <w:t xml:space="preserve">, 2018, respectively (Table </w:t>
      </w:r>
      <w:r w:rsidR="00363151">
        <w:rPr>
          <w:rFonts w:ascii="Cambria" w:eastAsia="Arial Unicode MS" w:hAnsi="Cambria" w:cs="Arial"/>
          <w:lang w:val="en-US"/>
        </w:rPr>
        <w:t>S1</w:t>
      </w:r>
      <w:r w:rsidRPr="005646AD">
        <w:rPr>
          <w:rFonts w:ascii="Cambria" w:eastAsia="Arial Unicode MS" w:hAnsi="Cambria" w:cs="Arial"/>
          <w:lang w:val="en-US"/>
        </w:rPr>
        <w:t xml:space="preserve">). For the same two days, partitioned ER was estimated at 106.99 and 98.47 </w:t>
      </w:r>
      <w:proofErr w:type="spellStart"/>
      <w:r w:rsidRPr="005646AD">
        <w:rPr>
          <w:rFonts w:ascii="Cambria" w:eastAsia="Arial Unicode MS" w:hAnsi="Cambria" w:cs="Arial"/>
          <w:lang w:val="en-US"/>
        </w:rPr>
        <w:t>umol</w:t>
      </w:r>
      <w:proofErr w:type="spellEnd"/>
      <w:r w:rsidRPr="005646AD">
        <w:rPr>
          <w:rFonts w:ascii="Cambria" w:eastAsia="Arial Unicode MS" w:hAnsi="Cambria" w:cs="Arial"/>
          <w:lang w:val="en-US"/>
        </w:rPr>
        <w:t xml:space="preserve"> </w:t>
      </w:r>
      <w:r w:rsidRPr="005646AD">
        <w:rPr>
          <w:rFonts w:ascii="Cambria" w:eastAsia="Arial Unicode MS" w:hAnsi="Cambria" w:cs="Sabon Next LT"/>
          <w:lang w:val="en-US"/>
        </w:rPr>
        <w:t>m</w:t>
      </w:r>
      <w:r w:rsidRPr="005646AD">
        <w:rPr>
          <w:rFonts w:ascii="Cambria" w:eastAsia="Arial Unicode MS" w:hAnsi="Cambria" w:cs="Sabon Next LT"/>
          <w:vertAlign w:val="superscript"/>
          <w:lang w:val="en-US"/>
        </w:rPr>
        <w:t>2</w:t>
      </w:r>
      <w:r w:rsidRPr="005646AD">
        <w:rPr>
          <w:rFonts w:ascii="Cambria" w:eastAsia="Arial Unicode MS" w:hAnsi="Cambria" w:cs="Arial"/>
          <w:lang w:val="en-US"/>
        </w:rPr>
        <w:t xml:space="preserve"> min</w:t>
      </w:r>
      <w:r w:rsidRPr="005646AD">
        <w:rPr>
          <w:rFonts w:ascii="Cambria" w:eastAsia="Arial Unicode MS" w:hAnsi="Cambria" w:cs="Arial"/>
          <w:vertAlign w:val="superscript"/>
          <w:lang w:val="en-US"/>
        </w:rPr>
        <w:t>-1</w:t>
      </w:r>
      <w:r w:rsidRPr="005646AD">
        <w:rPr>
          <w:rFonts w:ascii="Cambria" w:eastAsia="Arial Unicode MS" w:hAnsi="Cambria" w:cs="Arial"/>
          <w:lang w:val="en-US"/>
        </w:rPr>
        <w:t xml:space="preserve"> and GPP was estimated at 150.2 and 148.65 </w:t>
      </w:r>
      <w:proofErr w:type="spellStart"/>
      <w:r w:rsidRPr="005646AD">
        <w:rPr>
          <w:rFonts w:ascii="Cambria" w:eastAsia="Arial Unicode MS" w:hAnsi="Cambria" w:cs="Arial"/>
          <w:lang w:val="en-US"/>
        </w:rPr>
        <w:t>umol</w:t>
      </w:r>
      <w:proofErr w:type="spellEnd"/>
      <w:r w:rsidRPr="005646AD">
        <w:rPr>
          <w:rFonts w:ascii="Cambria" w:eastAsia="Arial Unicode MS" w:hAnsi="Cambria" w:cs="Arial"/>
          <w:lang w:val="en-US"/>
        </w:rPr>
        <w:t xml:space="preserve"> </w:t>
      </w:r>
      <w:r w:rsidRPr="005646AD">
        <w:rPr>
          <w:rFonts w:ascii="Cambria" w:eastAsia="Arial Unicode MS" w:hAnsi="Cambria" w:cs="Sabon Next LT"/>
          <w:lang w:val="en-US"/>
        </w:rPr>
        <w:t>m</w:t>
      </w:r>
      <w:r w:rsidRPr="005646AD">
        <w:rPr>
          <w:rFonts w:ascii="Cambria" w:eastAsia="Arial Unicode MS" w:hAnsi="Cambria" w:cs="Sabon Next LT"/>
          <w:vertAlign w:val="superscript"/>
          <w:lang w:val="en-US"/>
        </w:rPr>
        <w:t>2</w:t>
      </w:r>
      <w:r w:rsidRPr="005646AD">
        <w:rPr>
          <w:rFonts w:ascii="Cambria" w:eastAsia="Arial Unicode MS" w:hAnsi="Cambria" w:cs="Arial"/>
          <w:lang w:val="en-US"/>
        </w:rPr>
        <w:t xml:space="preserve"> min</w:t>
      </w:r>
      <w:r w:rsidRPr="005646AD">
        <w:rPr>
          <w:rFonts w:ascii="Cambria" w:eastAsia="Arial Unicode MS" w:hAnsi="Cambria" w:cs="Arial"/>
          <w:vertAlign w:val="superscript"/>
          <w:lang w:val="en-US"/>
        </w:rPr>
        <w:t>-1</w:t>
      </w:r>
      <w:r w:rsidRPr="005646AD">
        <w:rPr>
          <w:rFonts w:ascii="Cambria" w:eastAsia="Arial Unicode MS" w:hAnsi="Cambria" w:cs="Arial"/>
          <w:lang w:val="en-US"/>
        </w:rPr>
        <w:t xml:space="preserve">, respectively (Figure </w:t>
      </w:r>
      <w:r w:rsidR="00363151">
        <w:rPr>
          <w:rFonts w:ascii="Cambria" w:eastAsia="Arial Unicode MS" w:hAnsi="Cambria" w:cs="Arial"/>
          <w:lang w:val="en-US"/>
        </w:rPr>
        <w:t>S2; Table S1</w:t>
      </w:r>
      <w:r w:rsidRPr="005646AD">
        <w:rPr>
          <w:rFonts w:ascii="Cambria" w:eastAsia="Arial Unicode MS" w:hAnsi="Cambria" w:cs="Arial"/>
          <w:lang w:val="en-US"/>
        </w:rPr>
        <w:t xml:space="preserve">). A diel pattern in the </w:t>
      </w:r>
      <w:r w:rsidRPr="005646AD">
        <w:rPr>
          <w:rFonts w:ascii="Cambria" w:eastAsia="Arial Unicode MS" w:hAnsi="Cambria" w:cs="Sabon Next LT"/>
          <w:lang w:val="en-US"/>
        </w:rPr>
        <w:t>CO</w:t>
      </w:r>
      <w:r w:rsidRPr="005646AD">
        <w:rPr>
          <w:rFonts w:ascii="Cambria" w:eastAsia="Arial Unicode MS" w:hAnsi="Cambria" w:cs="Sabon Next LT"/>
          <w:vertAlign w:val="subscript"/>
          <w:lang w:val="en-US"/>
        </w:rPr>
        <w:t>2</w:t>
      </w:r>
      <w:r w:rsidRPr="005646AD">
        <w:rPr>
          <w:rFonts w:ascii="Cambria" w:eastAsia="Arial Unicode MS" w:hAnsi="Cambria" w:cs="Arial"/>
          <w:lang w:val="en-US"/>
        </w:rPr>
        <w:t xml:space="preserve"> fluxes measured by EC was evident, whereby rates of ER, GPP, and NEE were higher during the daylight hours, corresponding to light availability and photosynthetic activity at this time (Figure </w:t>
      </w:r>
      <w:r w:rsidR="00363151">
        <w:rPr>
          <w:rFonts w:ascii="Cambria" w:eastAsia="Arial Unicode MS" w:hAnsi="Cambria" w:cs="Arial"/>
          <w:lang w:val="en-US"/>
        </w:rPr>
        <w:t>S2</w:t>
      </w:r>
      <w:r w:rsidRPr="005646AD">
        <w:rPr>
          <w:rFonts w:ascii="Cambria" w:eastAsia="Arial Unicode MS" w:hAnsi="Cambria" w:cs="Arial"/>
          <w:lang w:val="en-US"/>
        </w:rPr>
        <w:t xml:space="preserve">). In the periods during which chamber measurements of </w:t>
      </w:r>
      <w:r w:rsidRPr="005646AD">
        <w:rPr>
          <w:rFonts w:ascii="Cambria" w:eastAsia="Arial Unicode MS" w:hAnsi="Cambria" w:cs="Sabon Next LT"/>
          <w:lang w:val="en-US"/>
        </w:rPr>
        <w:t>CH</w:t>
      </w:r>
      <w:r w:rsidRPr="005646AD">
        <w:rPr>
          <w:rFonts w:ascii="Cambria" w:eastAsia="Arial Unicode MS" w:hAnsi="Cambria" w:cs="Sabon Next LT"/>
          <w:vertAlign w:val="subscript"/>
          <w:lang w:val="en-US"/>
        </w:rPr>
        <w:t>4</w:t>
      </w:r>
      <w:r w:rsidRPr="005646AD">
        <w:rPr>
          <w:rFonts w:ascii="Cambria" w:eastAsia="Arial Unicode MS" w:hAnsi="Cambria" w:cs="Arial"/>
          <w:lang w:val="en-US"/>
        </w:rPr>
        <w:t xml:space="preserve"> and ER were made at sites BHP2–8 (between 10:30 and 16:30 on May 23, </w:t>
      </w:r>
      <w:proofErr w:type="gramStart"/>
      <w:r w:rsidRPr="005646AD">
        <w:rPr>
          <w:rFonts w:ascii="Cambria" w:eastAsia="Arial Unicode MS" w:hAnsi="Cambria" w:cs="Arial"/>
          <w:lang w:val="en-US"/>
        </w:rPr>
        <w:t>2018</w:t>
      </w:r>
      <w:proofErr w:type="gramEnd"/>
      <w:r w:rsidRPr="005646AD">
        <w:rPr>
          <w:rFonts w:ascii="Cambria" w:eastAsia="Arial Unicode MS" w:hAnsi="Cambria" w:cs="Arial"/>
          <w:lang w:val="en-US"/>
        </w:rPr>
        <w:t xml:space="preserve"> and between 08:30 and 15:30 on May 24, 2018), ER at the Alpine Peatland flux tower averaged 44.5% of GPP (Figure </w:t>
      </w:r>
      <w:r w:rsidR="00363151">
        <w:rPr>
          <w:rFonts w:ascii="Cambria" w:eastAsia="Arial Unicode MS" w:hAnsi="Cambria" w:cs="Arial"/>
          <w:lang w:val="en-US"/>
        </w:rPr>
        <w:t>S2</w:t>
      </w:r>
      <w:r w:rsidRPr="005646AD">
        <w:rPr>
          <w:rFonts w:ascii="Cambria" w:eastAsia="Arial Unicode MS" w:hAnsi="Cambria" w:cs="Arial"/>
          <w:lang w:val="en-US"/>
        </w:rPr>
        <w:t>).</w:t>
      </w:r>
      <w:r w:rsidRPr="005646AD">
        <w:rPr>
          <w:rFonts w:ascii="Cambria" w:eastAsia="Arial Unicode MS" w:hAnsi="Cambria" w:cs="Arial"/>
          <w:b/>
          <w:bCs/>
          <w:lang w:val="en-US"/>
        </w:rPr>
        <w:t xml:space="preserve"> </w:t>
      </w:r>
    </w:p>
    <w:p w14:paraId="3AE85392" w14:textId="77777777" w:rsidR="003A7459" w:rsidRPr="005646AD" w:rsidRDefault="003A7459" w:rsidP="005646AD">
      <w:pPr>
        <w:pStyle w:val="Body"/>
        <w:jc w:val="both"/>
        <w:rPr>
          <w:rFonts w:ascii="Cambria" w:eastAsia="Arial Unicode MS" w:hAnsi="Cambria" w:cs="Arial"/>
          <w:b/>
          <w:bCs/>
          <w:lang w:val="en-US"/>
        </w:rPr>
      </w:pPr>
    </w:p>
    <w:p w14:paraId="3234C4D1" w14:textId="77777777" w:rsidR="005646AD" w:rsidRPr="005646AD" w:rsidRDefault="005646AD" w:rsidP="005646AD">
      <w:pPr>
        <w:pStyle w:val="Body"/>
        <w:jc w:val="both"/>
        <w:rPr>
          <w:rFonts w:ascii="Cambria" w:hAnsi="Cambria"/>
        </w:rPr>
      </w:pPr>
      <w:r w:rsidRPr="005646AD">
        <w:rPr>
          <w:rFonts w:ascii="Cambria" w:hAnsi="Cambria"/>
          <w:noProof/>
        </w:rPr>
        <w:drawing>
          <wp:inline distT="0" distB="0" distL="0" distR="0" wp14:anchorId="7737D569" wp14:editId="60CF7DFA">
            <wp:extent cx="5670020" cy="3402012"/>
            <wp:effectExtent l="0" t="0" r="0" b="0"/>
            <wp:docPr id="823216737" name="Picture 823216737"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216737" name="Picture 823216737" descr="A diagram of a graph&#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670020" cy="3402012"/>
                    </a:xfrm>
                    <a:prstGeom prst="rect">
                      <a:avLst/>
                    </a:prstGeom>
                  </pic:spPr>
                </pic:pic>
              </a:graphicData>
            </a:graphic>
          </wp:inline>
        </w:drawing>
      </w:r>
    </w:p>
    <w:p w14:paraId="2D6F5FD7" w14:textId="72F9651F" w:rsidR="005646AD" w:rsidRPr="005646AD" w:rsidRDefault="005646AD" w:rsidP="005646AD">
      <w:pPr>
        <w:pStyle w:val="Body"/>
        <w:jc w:val="both"/>
        <w:rPr>
          <w:rFonts w:ascii="Cambria" w:eastAsia="Arial Unicode MS" w:hAnsi="Cambria" w:cs="Arial"/>
          <w:b/>
          <w:bCs/>
          <w:lang w:val="en-US"/>
        </w:rPr>
      </w:pPr>
      <w:r w:rsidRPr="005646AD">
        <w:rPr>
          <w:rFonts w:ascii="Cambria" w:eastAsia="Arial Unicode MS" w:hAnsi="Cambria" w:cs="Arial"/>
          <w:b/>
          <w:bCs/>
          <w:lang w:val="en-US"/>
        </w:rPr>
        <w:t xml:space="preserve">Figure S2. </w:t>
      </w:r>
      <w:r w:rsidRPr="005646AD">
        <w:rPr>
          <w:rFonts w:ascii="Cambria" w:eastAsia="Arial Unicode MS" w:hAnsi="Cambria" w:cs="Arial"/>
          <w:lang w:val="en-US"/>
        </w:rPr>
        <w:t xml:space="preserve">Sampling times of </w:t>
      </w:r>
      <w:r w:rsidRPr="005646AD">
        <w:rPr>
          <w:rFonts w:ascii="Cambria" w:eastAsia="Arial Unicode MS" w:hAnsi="Cambria" w:cs="Sabon Next LT"/>
          <w:lang w:val="en-US"/>
        </w:rPr>
        <w:t xml:space="preserve">chamber-based flux measurements, and mean site ER values </w:t>
      </w:r>
      <w:r w:rsidRPr="005646AD">
        <w:rPr>
          <w:rFonts w:ascii="Cambria" w:eastAsia="Arial Unicode MS" w:hAnsi="Cambria" w:cs="Arial"/>
          <w:lang w:val="en-US"/>
        </w:rPr>
        <w:t xml:space="preserve">for sites BHP-2 – BHP-8 (open circles) transposed over data </w:t>
      </w:r>
      <w:r w:rsidRPr="005646AD">
        <w:rPr>
          <w:rFonts w:ascii="Cambria" w:eastAsia="Arial Unicode MS" w:hAnsi="Cambria" w:cs="Sabon Next LT"/>
          <w:lang w:val="en-US"/>
        </w:rPr>
        <w:t>from the Alpine Peatland Flux Tower data from May 2018, as follows:</w:t>
      </w:r>
      <w:r w:rsidRPr="005646AD">
        <w:rPr>
          <w:rFonts w:ascii="Cambria" w:eastAsia="Arial Unicode MS" w:hAnsi="Cambria" w:cs="Arial"/>
          <w:lang w:val="en-US"/>
        </w:rPr>
        <w:t xml:space="preserve"> (a) measured 30-min net ecosystem </w:t>
      </w:r>
      <w:r w:rsidRPr="005646AD">
        <w:rPr>
          <w:rFonts w:ascii="Cambria" w:eastAsia="Arial Unicode MS" w:hAnsi="Cambria" w:cs="Arial"/>
          <w:lang w:val="en-US"/>
        </w:rPr>
        <w:lastRenderedPageBreak/>
        <w:t xml:space="preserve">exchange (NEE) and partitioned (estimated) fluxes of ecosystem respiration (ER) and gross primary productivity (GPP); and (b) calculated 30-min ER/GPP. </w:t>
      </w:r>
    </w:p>
    <w:p w14:paraId="24BC93BF" w14:textId="77777777" w:rsidR="005646AD" w:rsidRPr="005646AD" w:rsidRDefault="005646AD" w:rsidP="005646AD">
      <w:pPr>
        <w:pStyle w:val="Body"/>
        <w:jc w:val="both"/>
        <w:rPr>
          <w:rFonts w:ascii="Cambria" w:eastAsia="Arial Unicode MS" w:hAnsi="Cambria" w:cs="Arial"/>
          <w:lang w:val="en-US"/>
        </w:rPr>
      </w:pPr>
    </w:p>
    <w:p w14:paraId="717CDBA7" w14:textId="5BC0BBEC" w:rsidR="005646AD" w:rsidRPr="005646AD" w:rsidRDefault="005646AD" w:rsidP="005646AD">
      <w:pPr>
        <w:pStyle w:val="Body"/>
        <w:jc w:val="both"/>
        <w:rPr>
          <w:rFonts w:ascii="Cambria" w:eastAsia="Arial Unicode MS" w:hAnsi="Cambria" w:cs="Sabon Next LT"/>
          <w:lang w:val="en-US"/>
        </w:rPr>
      </w:pPr>
      <w:r w:rsidRPr="005646AD">
        <w:rPr>
          <w:rFonts w:ascii="Cambria" w:eastAsia="Arial Unicode MS" w:hAnsi="Cambria" w:cs="Sabon Next LT"/>
          <w:b/>
          <w:bCs/>
          <w:lang w:val="en-US"/>
        </w:rPr>
        <w:t xml:space="preserve">Table </w:t>
      </w:r>
      <w:r w:rsidR="008850D5">
        <w:rPr>
          <w:rFonts w:ascii="Cambria" w:eastAsia="Arial Unicode MS" w:hAnsi="Cambria" w:cs="Sabon Next LT"/>
          <w:b/>
          <w:bCs/>
          <w:lang w:val="en-US"/>
        </w:rPr>
        <w:t>S1</w:t>
      </w:r>
      <w:r w:rsidRPr="005646AD">
        <w:rPr>
          <w:rFonts w:ascii="Cambria" w:eastAsia="Arial Unicode MS" w:hAnsi="Cambria" w:cs="Sabon Next LT"/>
          <w:b/>
          <w:bCs/>
          <w:lang w:val="en-US"/>
        </w:rPr>
        <w:t xml:space="preserve">. </w:t>
      </w:r>
      <w:r w:rsidRPr="005646AD">
        <w:rPr>
          <w:rFonts w:ascii="Cambria" w:eastAsia="Arial Unicode MS" w:hAnsi="Cambria" w:cs="Sabon Next LT"/>
          <w:lang w:val="en-US"/>
        </w:rPr>
        <w:t>Fluxes of CO</w:t>
      </w:r>
      <w:r w:rsidRPr="005646AD">
        <w:rPr>
          <w:rFonts w:ascii="Cambria" w:eastAsia="Arial Unicode MS" w:hAnsi="Cambria" w:cs="Sabon Next LT"/>
          <w:vertAlign w:val="subscript"/>
          <w:lang w:val="en-US"/>
        </w:rPr>
        <w:t>2</w:t>
      </w:r>
      <w:r w:rsidRPr="005646AD">
        <w:rPr>
          <w:rFonts w:ascii="Cambria" w:eastAsia="Arial Unicode MS" w:hAnsi="Cambria" w:cs="Sabon Next LT"/>
          <w:lang w:val="en-US"/>
        </w:rPr>
        <w:t xml:space="preserve"> from the Alpine Peatland eddy covariance tower: measured NEE (net ecosystem exchange) and partitioned ER (ecosystem respiration) and GPP (gross primary productivity). </w:t>
      </w:r>
    </w:p>
    <w:tbl>
      <w:tblPr>
        <w:tblStyle w:val="PlainTable2"/>
        <w:tblW w:w="0" w:type="auto"/>
        <w:jc w:val="center"/>
        <w:tblLook w:val="04A0" w:firstRow="1" w:lastRow="0" w:firstColumn="1" w:lastColumn="0" w:noHBand="0" w:noVBand="1"/>
      </w:tblPr>
      <w:tblGrid>
        <w:gridCol w:w="1129"/>
        <w:gridCol w:w="2145"/>
        <w:gridCol w:w="1541"/>
        <w:gridCol w:w="1330"/>
        <w:gridCol w:w="1506"/>
        <w:gridCol w:w="1359"/>
      </w:tblGrid>
      <w:tr w:rsidR="005646AD" w:rsidRPr="008850D5" w14:paraId="58878FA8" w14:textId="77777777" w:rsidTr="008850D5">
        <w:trPr>
          <w:cnfStyle w:val="100000000000" w:firstRow="1" w:lastRow="0" w:firstColumn="0" w:lastColumn="0" w:oddVBand="0" w:evenVBand="0" w:oddHBand="0" w:evenHBand="0" w:firstRowFirstColumn="0" w:firstRowLastColumn="0" w:lastRowFirstColumn="0" w:lastRowLastColumn="0"/>
          <w:trHeight w:val="510"/>
          <w:jc w:val="center"/>
        </w:trPr>
        <w:tc>
          <w:tcPr>
            <w:cnfStyle w:val="001000000000" w:firstRow="0" w:lastRow="0" w:firstColumn="1" w:lastColumn="0" w:oddVBand="0" w:evenVBand="0" w:oddHBand="0" w:evenHBand="0" w:firstRowFirstColumn="0" w:firstRowLastColumn="0" w:lastRowFirstColumn="0" w:lastRowLastColumn="0"/>
            <w:tcW w:w="1129" w:type="dxa"/>
            <w:vMerge w:val="restart"/>
            <w:vAlign w:val="center"/>
          </w:tcPr>
          <w:p w14:paraId="5E038AA1"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rPr>
                <w:rFonts w:ascii="Arial" w:eastAsia="Arial Unicode MS" w:hAnsi="Arial" w:cs="Arial"/>
                <w:b w:val="0"/>
                <w:bCs w:val="0"/>
                <w:sz w:val="18"/>
                <w:szCs w:val="18"/>
                <w:lang w:val="en-US"/>
              </w:rPr>
            </w:pPr>
            <w:r w:rsidRPr="008850D5">
              <w:rPr>
                <w:rFonts w:ascii="Arial" w:eastAsia="Arial Unicode MS" w:hAnsi="Arial" w:cs="Arial"/>
                <w:sz w:val="18"/>
                <w:szCs w:val="18"/>
                <w:lang w:val="en-US"/>
              </w:rPr>
              <w:t>Date</w:t>
            </w:r>
          </w:p>
        </w:tc>
        <w:tc>
          <w:tcPr>
            <w:tcW w:w="2145" w:type="dxa"/>
            <w:vMerge w:val="restart"/>
            <w:vAlign w:val="center"/>
          </w:tcPr>
          <w:p w14:paraId="48EA3128"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100000000000" w:firstRow="1" w:lastRow="0" w:firstColumn="0" w:lastColumn="0" w:oddVBand="0" w:evenVBand="0" w:oddHBand="0" w:evenHBand="0" w:firstRowFirstColumn="0" w:firstRowLastColumn="0" w:lastRowFirstColumn="0" w:lastRowLastColumn="0"/>
              <w:rPr>
                <w:rFonts w:ascii="Arial" w:eastAsia="Arial Unicode MS" w:hAnsi="Arial" w:cs="Arial"/>
                <w:b w:val="0"/>
                <w:bCs w:val="0"/>
                <w:sz w:val="18"/>
                <w:szCs w:val="18"/>
                <w:lang w:val="en-US"/>
              </w:rPr>
            </w:pPr>
            <w:r w:rsidRPr="008850D5">
              <w:rPr>
                <w:rFonts w:ascii="Arial" w:eastAsia="Arial Unicode MS" w:hAnsi="Arial" w:cs="Arial"/>
                <w:sz w:val="18"/>
                <w:szCs w:val="18"/>
                <w:lang w:val="en-US"/>
              </w:rPr>
              <w:t>Diel Period</w:t>
            </w:r>
          </w:p>
        </w:tc>
        <w:tc>
          <w:tcPr>
            <w:tcW w:w="1541" w:type="dxa"/>
            <w:tcBorders>
              <w:bottom w:val="nil"/>
            </w:tcBorders>
            <w:vAlign w:val="center"/>
          </w:tcPr>
          <w:p w14:paraId="5B6CB03C"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100000000000" w:firstRow="1" w:lastRow="0" w:firstColumn="0" w:lastColumn="0" w:oddVBand="0" w:evenVBand="0" w:oddHBand="0" w:evenHBand="0" w:firstRowFirstColumn="0" w:firstRowLastColumn="0" w:lastRowFirstColumn="0" w:lastRowLastColumn="0"/>
              <w:rPr>
                <w:rFonts w:ascii="Arial" w:eastAsia="Arial Unicode MS" w:hAnsi="Arial" w:cs="Arial"/>
                <w:b w:val="0"/>
                <w:bCs w:val="0"/>
                <w:sz w:val="18"/>
                <w:szCs w:val="18"/>
                <w:lang w:val="en-US"/>
              </w:rPr>
            </w:pPr>
          </w:p>
          <w:p w14:paraId="73B1CC6E"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100000000000" w:firstRow="1" w:lastRow="0" w:firstColumn="0" w:lastColumn="0" w:oddVBand="0" w:evenVBand="0" w:oddHBand="0" w:evenHBand="0" w:firstRowFirstColumn="0" w:firstRowLastColumn="0" w:lastRowFirstColumn="0" w:lastRowLastColumn="0"/>
              <w:rPr>
                <w:rFonts w:ascii="Arial" w:eastAsia="Arial Unicode MS" w:hAnsi="Arial" w:cs="Arial"/>
                <w:b w:val="0"/>
                <w:bCs w:val="0"/>
                <w:sz w:val="18"/>
                <w:szCs w:val="18"/>
                <w:lang w:val="en-US"/>
              </w:rPr>
            </w:pPr>
            <w:r w:rsidRPr="008850D5">
              <w:rPr>
                <w:rFonts w:ascii="Arial" w:eastAsia="Arial Unicode MS" w:hAnsi="Arial" w:cs="Arial"/>
                <w:sz w:val="18"/>
                <w:szCs w:val="18"/>
                <w:lang w:val="en-US"/>
              </w:rPr>
              <w:t>NEE</w:t>
            </w:r>
          </w:p>
        </w:tc>
        <w:tc>
          <w:tcPr>
            <w:tcW w:w="1330" w:type="dxa"/>
            <w:tcBorders>
              <w:bottom w:val="nil"/>
            </w:tcBorders>
            <w:vAlign w:val="center"/>
          </w:tcPr>
          <w:p w14:paraId="06FC819D"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100000000000" w:firstRow="1" w:lastRow="0" w:firstColumn="0" w:lastColumn="0" w:oddVBand="0" w:evenVBand="0" w:oddHBand="0" w:evenHBand="0" w:firstRowFirstColumn="0" w:firstRowLastColumn="0" w:lastRowFirstColumn="0" w:lastRowLastColumn="0"/>
              <w:rPr>
                <w:rFonts w:ascii="Arial" w:eastAsia="Arial Unicode MS" w:hAnsi="Arial" w:cs="Arial"/>
                <w:b w:val="0"/>
                <w:bCs w:val="0"/>
                <w:sz w:val="18"/>
                <w:szCs w:val="18"/>
                <w:lang w:val="en-US"/>
              </w:rPr>
            </w:pPr>
          </w:p>
          <w:p w14:paraId="20051C02"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100000000000" w:firstRow="1" w:lastRow="0" w:firstColumn="0" w:lastColumn="0" w:oddVBand="0" w:evenVBand="0" w:oddHBand="0" w:evenHBand="0" w:firstRowFirstColumn="0" w:firstRowLastColumn="0" w:lastRowFirstColumn="0" w:lastRowLastColumn="0"/>
              <w:rPr>
                <w:rFonts w:ascii="Arial" w:eastAsia="Arial Unicode MS" w:hAnsi="Arial" w:cs="Arial"/>
                <w:b w:val="0"/>
                <w:bCs w:val="0"/>
                <w:sz w:val="18"/>
                <w:szCs w:val="18"/>
                <w:lang w:val="en-US"/>
              </w:rPr>
            </w:pPr>
            <w:r w:rsidRPr="008850D5">
              <w:rPr>
                <w:rFonts w:ascii="Arial" w:eastAsia="Arial Unicode MS" w:hAnsi="Arial" w:cs="Arial"/>
                <w:sz w:val="18"/>
                <w:szCs w:val="18"/>
                <w:lang w:val="en-US"/>
              </w:rPr>
              <w:t>ER</w:t>
            </w:r>
          </w:p>
        </w:tc>
        <w:tc>
          <w:tcPr>
            <w:tcW w:w="1506" w:type="dxa"/>
            <w:tcBorders>
              <w:bottom w:val="nil"/>
            </w:tcBorders>
            <w:vAlign w:val="center"/>
          </w:tcPr>
          <w:p w14:paraId="7F104680"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100000000000" w:firstRow="1" w:lastRow="0" w:firstColumn="0" w:lastColumn="0" w:oddVBand="0" w:evenVBand="0" w:oddHBand="0" w:evenHBand="0" w:firstRowFirstColumn="0" w:firstRowLastColumn="0" w:lastRowFirstColumn="0" w:lastRowLastColumn="0"/>
              <w:rPr>
                <w:rFonts w:ascii="Arial" w:eastAsia="Arial Unicode MS" w:hAnsi="Arial" w:cs="Arial"/>
                <w:b w:val="0"/>
                <w:bCs w:val="0"/>
                <w:sz w:val="18"/>
                <w:szCs w:val="18"/>
                <w:lang w:val="en-US"/>
              </w:rPr>
            </w:pPr>
          </w:p>
          <w:p w14:paraId="2E6D8B2C"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100000000000" w:firstRow="1" w:lastRow="0" w:firstColumn="0" w:lastColumn="0" w:oddVBand="0" w:evenVBand="0" w:oddHBand="0" w:evenHBand="0" w:firstRowFirstColumn="0" w:firstRowLastColumn="0" w:lastRowFirstColumn="0" w:lastRowLastColumn="0"/>
              <w:rPr>
                <w:rFonts w:ascii="Arial" w:eastAsia="Arial Unicode MS" w:hAnsi="Arial" w:cs="Arial"/>
                <w:b w:val="0"/>
                <w:bCs w:val="0"/>
                <w:sz w:val="18"/>
                <w:szCs w:val="18"/>
                <w:lang w:val="en-US"/>
              </w:rPr>
            </w:pPr>
            <w:r w:rsidRPr="008850D5">
              <w:rPr>
                <w:rFonts w:ascii="Arial" w:eastAsia="Arial Unicode MS" w:hAnsi="Arial" w:cs="Arial"/>
                <w:sz w:val="18"/>
                <w:szCs w:val="18"/>
                <w:lang w:val="en-US"/>
              </w:rPr>
              <w:t>GPP</w:t>
            </w:r>
          </w:p>
        </w:tc>
        <w:tc>
          <w:tcPr>
            <w:tcW w:w="1359" w:type="dxa"/>
            <w:vMerge w:val="restart"/>
            <w:vAlign w:val="center"/>
          </w:tcPr>
          <w:p w14:paraId="3B80D566"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100000000000" w:firstRow="1" w:lastRow="0" w:firstColumn="0" w:lastColumn="0" w:oddVBand="0" w:evenVBand="0" w:oddHBand="0" w:evenHBand="0" w:firstRowFirstColumn="0" w:firstRowLastColumn="0" w:lastRowFirstColumn="0" w:lastRowLastColumn="0"/>
              <w:rPr>
                <w:rFonts w:ascii="Arial" w:eastAsia="Arial Unicode MS" w:hAnsi="Arial" w:cs="Arial"/>
                <w:b w:val="0"/>
                <w:bCs w:val="0"/>
                <w:sz w:val="18"/>
                <w:szCs w:val="18"/>
                <w:lang w:val="en-US"/>
              </w:rPr>
            </w:pPr>
            <w:r w:rsidRPr="008850D5">
              <w:rPr>
                <w:rFonts w:ascii="Arial" w:eastAsia="Arial Unicode MS" w:hAnsi="Arial" w:cs="Arial"/>
                <w:sz w:val="18"/>
                <w:szCs w:val="18"/>
                <w:lang w:val="en-US"/>
              </w:rPr>
              <w:t>ER/GPP (%)</w:t>
            </w:r>
          </w:p>
        </w:tc>
      </w:tr>
      <w:tr w:rsidR="005646AD" w:rsidRPr="008850D5" w14:paraId="090A4453" w14:textId="77777777" w:rsidTr="008850D5">
        <w:trPr>
          <w:cnfStyle w:val="000000100000" w:firstRow="0" w:lastRow="0" w:firstColumn="0" w:lastColumn="0" w:oddVBand="0" w:evenVBand="0" w:oddHBand="1" w:evenHBand="0" w:firstRowFirstColumn="0" w:firstRowLastColumn="0" w:lastRowFirstColumn="0" w:lastRowLastColumn="0"/>
          <w:trHeight w:val="510"/>
          <w:jc w:val="center"/>
        </w:trPr>
        <w:tc>
          <w:tcPr>
            <w:cnfStyle w:val="001000000000" w:firstRow="0" w:lastRow="0" w:firstColumn="1" w:lastColumn="0" w:oddVBand="0" w:evenVBand="0" w:oddHBand="0" w:evenHBand="0" w:firstRowFirstColumn="0" w:firstRowLastColumn="0" w:lastRowFirstColumn="0" w:lastRowLastColumn="0"/>
            <w:tcW w:w="1129" w:type="dxa"/>
            <w:vMerge/>
            <w:vAlign w:val="center"/>
          </w:tcPr>
          <w:p w14:paraId="639F058F"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rPr>
                <w:rFonts w:ascii="Arial" w:eastAsia="Arial Unicode MS" w:hAnsi="Arial" w:cs="Arial"/>
                <w:b w:val="0"/>
                <w:bCs w:val="0"/>
                <w:sz w:val="18"/>
                <w:szCs w:val="18"/>
                <w:lang w:val="en-US"/>
              </w:rPr>
            </w:pPr>
          </w:p>
        </w:tc>
        <w:tc>
          <w:tcPr>
            <w:tcW w:w="2145" w:type="dxa"/>
            <w:vMerge/>
            <w:vAlign w:val="center"/>
          </w:tcPr>
          <w:p w14:paraId="66A51D82"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b/>
                <w:bCs/>
                <w:sz w:val="18"/>
                <w:szCs w:val="18"/>
                <w:lang w:val="en-US"/>
              </w:rPr>
            </w:pPr>
          </w:p>
        </w:tc>
        <w:tc>
          <w:tcPr>
            <w:tcW w:w="4377" w:type="dxa"/>
            <w:gridSpan w:val="3"/>
            <w:tcBorders>
              <w:top w:val="nil"/>
            </w:tcBorders>
            <w:vAlign w:val="center"/>
          </w:tcPr>
          <w:p w14:paraId="6769E6E8"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b/>
                <w:bCs/>
                <w:sz w:val="18"/>
                <w:szCs w:val="18"/>
                <w:lang w:val="en-US"/>
              </w:rPr>
            </w:pPr>
            <w:r w:rsidRPr="008850D5">
              <w:rPr>
                <w:rFonts w:ascii="Arial" w:eastAsia="Arial Unicode MS" w:hAnsi="Arial" w:cs="Arial"/>
                <w:b/>
                <w:bCs/>
                <w:sz w:val="18"/>
                <w:szCs w:val="18"/>
                <w:lang w:val="en-US"/>
              </w:rPr>
              <w:t>(</w:t>
            </w:r>
            <w:proofErr w:type="spellStart"/>
            <w:r w:rsidRPr="008850D5">
              <w:rPr>
                <w:rFonts w:ascii="Arial" w:eastAsia="Arial Unicode MS" w:hAnsi="Arial" w:cs="Arial"/>
                <w:b/>
                <w:bCs/>
                <w:sz w:val="18"/>
                <w:szCs w:val="18"/>
                <w:lang w:val="en-US"/>
              </w:rPr>
              <w:t>umol</w:t>
            </w:r>
            <w:proofErr w:type="spellEnd"/>
            <w:r w:rsidRPr="008850D5">
              <w:rPr>
                <w:rFonts w:ascii="Arial" w:eastAsia="Arial Unicode MS" w:hAnsi="Arial" w:cs="Arial"/>
                <w:b/>
                <w:bCs/>
                <w:sz w:val="18"/>
                <w:szCs w:val="18"/>
                <w:lang w:val="en-US"/>
              </w:rPr>
              <w:t xml:space="preserve"> m</w:t>
            </w:r>
            <w:r w:rsidRPr="008850D5">
              <w:rPr>
                <w:rFonts w:ascii="Arial" w:eastAsia="Arial Unicode MS" w:hAnsi="Arial" w:cs="Arial"/>
                <w:b/>
                <w:bCs/>
                <w:sz w:val="18"/>
                <w:szCs w:val="18"/>
                <w:vertAlign w:val="superscript"/>
                <w:lang w:val="en-US"/>
              </w:rPr>
              <w:t>2</w:t>
            </w:r>
            <w:r w:rsidRPr="008850D5">
              <w:rPr>
                <w:rFonts w:ascii="Arial" w:eastAsia="Arial Unicode MS" w:hAnsi="Arial" w:cs="Arial"/>
                <w:b/>
                <w:bCs/>
                <w:sz w:val="18"/>
                <w:szCs w:val="18"/>
                <w:lang w:val="en-US"/>
              </w:rPr>
              <w:t xml:space="preserve"> </w:t>
            </w:r>
            <w:proofErr w:type="gramStart"/>
            <w:r w:rsidRPr="008850D5">
              <w:rPr>
                <w:rFonts w:ascii="Arial" w:eastAsia="Arial Unicode MS" w:hAnsi="Arial" w:cs="Arial"/>
                <w:b/>
                <w:bCs/>
                <w:sz w:val="18"/>
                <w:szCs w:val="18"/>
                <w:lang w:val="en-US"/>
              </w:rPr>
              <w:t>min</w:t>
            </w:r>
            <w:r w:rsidRPr="008850D5">
              <w:rPr>
                <w:rFonts w:ascii="Arial" w:eastAsia="Arial Unicode MS" w:hAnsi="Arial" w:cs="Arial"/>
                <w:b/>
                <w:bCs/>
                <w:sz w:val="18"/>
                <w:szCs w:val="18"/>
                <w:vertAlign w:val="superscript"/>
                <w:lang w:val="en-US"/>
              </w:rPr>
              <w:t>-1</w:t>
            </w:r>
            <w:proofErr w:type="gramEnd"/>
            <w:r w:rsidRPr="008850D5">
              <w:rPr>
                <w:rFonts w:ascii="Arial" w:eastAsia="Arial Unicode MS" w:hAnsi="Arial" w:cs="Arial"/>
                <w:b/>
                <w:bCs/>
                <w:sz w:val="18"/>
                <w:szCs w:val="18"/>
                <w:lang w:val="en-US"/>
              </w:rPr>
              <w:t>)</w:t>
            </w:r>
          </w:p>
        </w:tc>
        <w:tc>
          <w:tcPr>
            <w:tcW w:w="1359" w:type="dxa"/>
            <w:vMerge/>
            <w:tcBorders>
              <w:top w:val="nil"/>
            </w:tcBorders>
            <w:vAlign w:val="center"/>
          </w:tcPr>
          <w:p w14:paraId="64CC3496"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b/>
                <w:bCs/>
                <w:sz w:val="18"/>
                <w:szCs w:val="18"/>
                <w:lang w:val="en-US"/>
              </w:rPr>
            </w:pPr>
          </w:p>
        </w:tc>
      </w:tr>
      <w:tr w:rsidR="005646AD" w:rsidRPr="008850D5" w14:paraId="5EBE64D6" w14:textId="77777777" w:rsidTr="008850D5">
        <w:trPr>
          <w:trHeight w:val="510"/>
          <w:jc w:val="center"/>
        </w:trPr>
        <w:tc>
          <w:tcPr>
            <w:cnfStyle w:val="001000000000" w:firstRow="0" w:lastRow="0" w:firstColumn="1" w:lastColumn="0" w:oddVBand="0" w:evenVBand="0" w:oddHBand="0" w:evenHBand="0" w:firstRowFirstColumn="0" w:firstRowLastColumn="0" w:lastRowFirstColumn="0" w:lastRowLastColumn="0"/>
            <w:tcW w:w="1129" w:type="dxa"/>
            <w:vMerge w:val="restart"/>
            <w:vAlign w:val="center"/>
          </w:tcPr>
          <w:p w14:paraId="69EBD1DB"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rPr>
                <w:rFonts w:ascii="Arial" w:eastAsia="Arial Unicode MS" w:hAnsi="Arial" w:cs="Arial"/>
                <w:b w:val="0"/>
                <w:bCs w:val="0"/>
                <w:sz w:val="18"/>
                <w:szCs w:val="18"/>
                <w:lang w:val="en-US"/>
              </w:rPr>
            </w:pPr>
            <w:r w:rsidRPr="008850D5">
              <w:rPr>
                <w:rFonts w:ascii="Arial" w:eastAsia="Arial Unicode MS" w:hAnsi="Arial" w:cs="Arial"/>
                <w:sz w:val="18"/>
                <w:szCs w:val="18"/>
                <w:lang w:val="en-US"/>
              </w:rPr>
              <w:t>May 23 2018</w:t>
            </w:r>
          </w:p>
        </w:tc>
        <w:tc>
          <w:tcPr>
            <w:tcW w:w="2145" w:type="dxa"/>
            <w:vAlign w:val="center"/>
          </w:tcPr>
          <w:p w14:paraId="16DEB71F"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000000" w:firstRow="0" w:lastRow="0" w:firstColumn="0" w:lastColumn="0" w:oddVBand="0" w:evenVBand="0" w:oddHBand="0"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Whole day (0000-2330)</w:t>
            </w:r>
          </w:p>
        </w:tc>
        <w:tc>
          <w:tcPr>
            <w:tcW w:w="1541" w:type="dxa"/>
            <w:vAlign w:val="center"/>
          </w:tcPr>
          <w:p w14:paraId="7923DDB3"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000000" w:firstRow="0" w:lastRow="0" w:firstColumn="0" w:lastColumn="0" w:oddVBand="0" w:evenVBand="0" w:oddHBand="0"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-43.21</w:t>
            </w:r>
          </w:p>
        </w:tc>
        <w:tc>
          <w:tcPr>
            <w:tcW w:w="1330" w:type="dxa"/>
            <w:vAlign w:val="center"/>
          </w:tcPr>
          <w:p w14:paraId="6FFD1A21"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000000" w:firstRow="0" w:lastRow="0" w:firstColumn="0" w:lastColumn="0" w:oddVBand="0" w:evenVBand="0" w:oddHBand="0"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106.99</w:t>
            </w:r>
          </w:p>
        </w:tc>
        <w:tc>
          <w:tcPr>
            <w:tcW w:w="1506" w:type="dxa"/>
            <w:vAlign w:val="center"/>
          </w:tcPr>
          <w:p w14:paraId="5BE058CD"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000000" w:firstRow="0" w:lastRow="0" w:firstColumn="0" w:lastColumn="0" w:oddVBand="0" w:evenVBand="0" w:oddHBand="0"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150.20</w:t>
            </w:r>
          </w:p>
        </w:tc>
        <w:tc>
          <w:tcPr>
            <w:tcW w:w="1359" w:type="dxa"/>
            <w:vAlign w:val="center"/>
          </w:tcPr>
          <w:p w14:paraId="48BB9134"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000000" w:firstRow="0" w:lastRow="0" w:firstColumn="0" w:lastColumn="0" w:oddVBand="0" w:evenVBand="0" w:oddHBand="0"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-266.27</w:t>
            </w:r>
          </w:p>
        </w:tc>
      </w:tr>
      <w:tr w:rsidR="005646AD" w:rsidRPr="008850D5" w14:paraId="6FE2D622" w14:textId="77777777" w:rsidTr="008850D5">
        <w:trPr>
          <w:cnfStyle w:val="000000100000" w:firstRow="0" w:lastRow="0" w:firstColumn="0" w:lastColumn="0" w:oddVBand="0" w:evenVBand="0" w:oddHBand="1" w:evenHBand="0" w:firstRowFirstColumn="0" w:firstRowLastColumn="0" w:lastRowFirstColumn="0" w:lastRowLastColumn="0"/>
          <w:trHeight w:val="510"/>
          <w:jc w:val="center"/>
        </w:trPr>
        <w:tc>
          <w:tcPr>
            <w:cnfStyle w:val="001000000000" w:firstRow="0" w:lastRow="0" w:firstColumn="1" w:lastColumn="0" w:oddVBand="0" w:evenVBand="0" w:oddHBand="0" w:evenHBand="0" w:firstRowFirstColumn="0" w:firstRowLastColumn="0" w:lastRowFirstColumn="0" w:lastRowLastColumn="0"/>
            <w:tcW w:w="1129" w:type="dxa"/>
            <w:vMerge/>
            <w:vAlign w:val="center"/>
          </w:tcPr>
          <w:p w14:paraId="492F43A1" w14:textId="77777777" w:rsidR="005646AD" w:rsidRPr="008850D5" w:rsidRDefault="005646AD" w:rsidP="008850D5">
            <w:pPr>
              <w:jc w:val="center"/>
              <w:rPr>
                <w:rFonts w:ascii="Arial" w:hAnsi="Arial" w:cs="Arial"/>
                <w:sz w:val="18"/>
                <w:szCs w:val="18"/>
              </w:rPr>
            </w:pPr>
          </w:p>
        </w:tc>
        <w:tc>
          <w:tcPr>
            <w:tcW w:w="2145" w:type="dxa"/>
            <w:vAlign w:val="center"/>
          </w:tcPr>
          <w:p w14:paraId="354241D1"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Day time (0700–1900)</w:t>
            </w:r>
          </w:p>
        </w:tc>
        <w:tc>
          <w:tcPr>
            <w:tcW w:w="1541" w:type="dxa"/>
            <w:vAlign w:val="center"/>
          </w:tcPr>
          <w:p w14:paraId="49E3CFF5"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-171.52</w:t>
            </w:r>
          </w:p>
        </w:tc>
        <w:tc>
          <w:tcPr>
            <w:tcW w:w="1330" w:type="dxa"/>
            <w:vAlign w:val="center"/>
          </w:tcPr>
          <w:p w14:paraId="43ADCC76"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125.53</w:t>
            </w:r>
          </w:p>
        </w:tc>
        <w:tc>
          <w:tcPr>
            <w:tcW w:w="1506" w:type="dxa"/>
            <w:vAlign w:val="center"/>
          </w:tcPr>
          <w:p w14:paraId="7D899844"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297.05</w:t>
            </w:r>
          </w:p>
        </w:tc>
        <w:tc>
          <w:tcPr>
            <w:tcW w:w="1359" w:type="dxa"/>
            <w:vAlign w:val="center"/>
          </w:tcPr>
          <w:p w14:paraId="22A35AE5"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-31.66</w:t>
            </w:r>
          </w:p>
        </w:tc>
      </w:tr>
      <w:tr w:rsidR="005646AD" w:rsidRPr="008850D5" w14:paraId="738CFF51" w14:textId="77777777" w:rsidTr="008850D5">
        <w:trPr>
          <w:trHeight w:val="510"/>
          <w:jc w:val="center"/>
        </w:trPr>
        <w:tc>
          <w:tcPr>
            <w:cnfStyle w:val="001000000000" w:firstRow="0" w:lastRow="0" w:firstColumn="1" w:lastColumn="0" w:oddVBand="0" w:evenVBand="0" w:oddHBand="0" w:evenHBand="0" w:firstRowFirstColumn="0" w:firstRowLastColumn="0" w:lastRowFirstColumn="0" w:lastRowLastColumn="0"/>
            <w:tcW w:w="1129" w:type="dxa"/>
            <w:vMerge w:val="restart"/>
            <w:vAlign w:val="center"/>
          </w:tcPr>
          <w:p w14:paraId="6C3DD979"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rPr>
                <w:rFonts w:ascii="Arial" w:eastAsia="Arial Unicode MS" w:hAnsi="Arial" w:cs="Arial"/>
                <w:b w:val="0"/>
                <w:bCs w:val="0"/>
                <w:sz w:val="18"/>
                <w:szCs w:val="18"/>
                <w:lang w:val="en-US"/>
              </w:rPr>
            </w:pPr>
            <w:r w:rsidRPr="008850D5">
              <w:rPr>
                <w:rFonts w:ascii="Arial" w:eastAsia="Arial Unicode MS" w:hAnsi="Arial" w:cs="Arial"/>
                <w:sz w:val="18"/>
                <w:szCs w:val="18"/>
                <w:lang w:val="en-US"/>
              </w:rPr>
              <w:t>May 24 2018</w:t>
            </w:r>
          </w:p>
        </w:tc>
        <w:tc>
          <w:tcPr>
            <w:tcW w:w="2145" w:type="dxa"/>
            <w:vAlign w:val="center"/>
          </w:tcPr>
          <w:p w14:paraId="1BCCF25E"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000000" w:firstRow="0" w:lastRow="0" w:firstColumn="0" w:lastColumn="0" w:oddVBand="0" w:evenVBand="0" w:oddHBand="0"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Whole day (0000-2330)</w:t>
            </w:r>
          </w:p>
        </w:tc>
        <w:tc>
          <w:tcPr>
            <w:tcW w:w="1541" w:type="dxa"/>
            <w:vAlign w:val="center"/>
          </w:tcPr>
          <w:p w14:paraId="207AB9EC"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000000" w:firstRow="0" w:lastRow="0" w:firstColumn="0" w:lastColumn="0" w:oddVBand="0" w:evenVBand="0" w:oddHBand="0"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-50.18</w:t>
            </w:r>
          </w:p>
        </w:tc>
        <w:tc>
          <w:tcPr>
            <w:tcW w:w="1330" w:type="dxa"/>
            <w:vAlign w:val="center"/>
          </w:tcPr>
          <w:p w14:paraId="1F3B47F0"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000000" w:firstRow="0" w:lastRow="0" w:firstColumn="0" w:lastColumn="0" w:oddVBand="0" w:evenVBand="0" w:oddHBand="0"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98.47</w:t>
            </w:r>
          </w:p>
        </w:tc>
        <w:tc>
          <w:tcPr>
            <w:tcW w:w="1506" w:type="dxa"/>
            <w:vAlign w:val="center"/>
          </w:tcPr>
          <w:p w14:paraId="40437451"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000000" w:firstRow="0" w:lastRow="0" w:firstColumn="0" w:lastColumn="0" w:oddVBand="0" w:evenVBand="0" w:oddHBand="0"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148.65</w:t>
            </w:r>
          </w:p>
        </w:tc>
        <w:tc>
          <w:tcPr>
            <w:tcW w:w="1359" w:type="dxa"/>
            <w:vAlign w:val="center"/>
          </w:tcPr>
          <w:p w14:paraId="76D20EC1"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000000" w:firstRow="0" w:lastRow="0" w:firstColumn="0" w:lastColumn="0" w:oddVBand="0" w:evenVBand="0" w:oddHBand="0"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-53.37</w:t>
            </w:r>
          </w:p>
        </w:tc>
      </w:tr>
      <w:tr w:rsidR="005646AD" w:rsidRPr="008850D5" w14:paraId="7744896F" w14:textId="77777777" w:rsidTr="008850D5">
        <w:trPr>
          <w:cnfStyle w:val="000000100000" w:firstRow="0" w:lastRow="0" w:firstColumn="0" w:lastColumn="0" w:oddVBand="0" w:evenVBand="0" w:oddHBand="1" w:evenHBand="0" w:firstRowFirstColumn="0" w:firstRowLastColumn="0" w:lastRowFirstColumn="0" w:lastRowLastColumn="0"/>
          <w:trHeight w:val="510"/>
          <w:jc w:val="center"/>
        </w:trPr>
        <w:tc>
          <w:tcPr>
            <w:cnfStyle w:val="001000000000" w:firstRow="0" w:lastRow="0" w:firstColumn="1" w:lastColumn="0" w:oddVBand="0" w:evenVBand="0" w:oddHBand="0" w:evenHBand="0" w:firstRowFirstColumn="0" w:firstRowLastColumn="0" w:lastRowFirstColumn="0" w:lastRowLastColumn="0"/>
            <w:tcW w:w="1129" w:type="dxa"/>
            <w:vMerge/>
            <w:vAlign w:val="center"/>
          </w:tcPr>
          <w:p w14:paraId="032BB45A" w14:textId="77777777" w:rsidR="005646AD" w:rsidRPr="008850D5" w:rsidRDefault="005646AD" w:rsidP="008850D5">
            <w:pPr>
              <w:jc w:val="center"/>
              <w:rPr>
                <w:rFonts w:ascii="Arial" w:hAnsi="Arial" w:cs="Arial"/>
                <w:sz w:val="18"/>
                <w:szCs w:val="18"/>
              </w:rPr>
            </w:pPr>
          </w:p>
        </w:tc>
        <w:tc>
          <w:tcPr>
            <w:tcW w:w="2145" w:type="dxa"/>
            <w:vAlign w:val="center"/>
          </w:tcPr>
          <w:p w14:paraId="3EB27FCA"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Day time (0700–1900)</w:t>
            </w:r>
          </w:p>
        </w:tc>
        <w:tc>
          <w:tcPr>
            <w:tcW w:w="1541" w:type="dxa"/>
            <w:vAlign w:val="center"/>
          </w:tcPr>
          <w:p w14:paraId="60DD50D5"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-177.37</w:t>
            </w:r>
          </w:p>
        </w:tc>
        <w:tc>
          <w:tcPr>
            <w:tcW w:w="1330" w:type="dxa"/>
            <w:vAlign w:val="center"/>
          </w:tcPr>
          <w:p w14:paraId="2572F42A"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116.56</w:t>
            </w:r>
          </w:p>
        </w:tc>
        <w:tc>
          <w:tcPr>
            <w:tcW w:w="1506" w:type="dxa"/>
            <w:vAlign w:val="center"/>
          </w:tcPr>
          <w:p w14:paraId="460DC19B"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293.93</w:t>
            </w:r>
          </w:p>
        </w:tc>
        <w:tc>
          <w:tcPr>
            <w:tcW w:w="1359" w:type="dxa"/>
            <w:vAlign w:val="center"/>
          </w:tcPr>
          <w:p w14:paraId="18C922B0"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114.75</w:t>
            </w:r>
          </w:p>
        </w:tc>
      </w:tr>
      <w:tr w:rsidR="005646AD" w:rsidRPr="008850D5" w14:paraId="23F6BC7A" w14:textId="77777777" w:rsidTr="008850D5">
        <w:trPr>
          <w:trHeight w:val="510"/>
          <w:jc w:val="center"/>
        </w:trPr>
        <w:tc>
          <w:tcPr>
            <w:cnfStyle w:val="001000000000" w:firstRow="0" w:lastRow="0" w:firstColumn="1" w:lastColumn="0" w:oddVBand="0" w:evenVBand="0" w:oddHBand="0" w:evenHBand="0" w:firstRowFirstColumn="0" w:firstRowLastColumn="0" w:lastRowFirstColumn="0" w:lastRowLastColumn="0"/>
            <w:tcW w:w="1129" w:type="dxa"/>
            <w:vMerge w:val="restart"/>
            <w:vAlign w:val="center"/>
          </w:tcPr>
          <w:p w14:paraId="1B595CD0"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rPr>
                <w:rFonts w:ascii="Arial" w:eastAsia="Arial Unicode MS" w:hAnsi="Arial" w:cs="Arial"/>
                <w:b w:val="0"/>
                <w:bCs w:val="0"/>
                <w:sz w:val="18"/>
                <w:szCs w:val="18"/>
                <w:lang w:val="en-US"/>
              </w:rPr>
            </w:pPr>
            <w:r w:rsidRPr="008850D5">
              <w:rPr>
                <w:rFonts w:ascii="Arial" w:eastAsia="Arial Unicode MS" w:hAnsi="Arial" w:cs="Arial"/>
                <w:sz w:val="18"/>
                <w:szCs w:val="18"/>
                <w:lang w:val="en-US"/>
              </w:rPr>
              <w:t>Average</w:t>
            </w:r>
          </w:p>
          <w:p w14:paraId="4E4A6A35"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rPr>
                <w:rFonts w:ascii="Arial" w:eastAsia="Arial Unicode MS" w:hAnsi="Arial" w:cs="Arial"/>
                <w:b w:val="0"/>
                <w:bCs w:val="0"/>
                <w:sz w:val="18"/>
                <w:szCs w:val="18"/>
                <w:lang w:val="en-US"/>
              </w:rPr>
            </w:pPr>
            <w:r w:rsidRPr="008850D5">
              <w:rPr>
                <w:rFonts w:ascii="Arial" w:eastAsia="Arial Unicode MS" w:hAnsi="Arial" w:cs="Arial"/>
                <w:sz w:val="18"/>
                <w:szCs w:val="18"/>
                <w:lang w:val="en-US"/>
              </w:rPr>
              <w:t>(23–24 May 2018)</w:t>
            </w:r>
          </w:p>
        </w:tc>
        <w:tc>
          <w:tcPr>
            <w:tcW w:w="2145" w:type="dxa"/>
            <w:vAlign w:val="center"/>
          </w:tcPr>
          <w:p w14:paraId="17D95A82"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000000" w:firstRow="0" w:lastRow="0" w:firstColumn="0" w:lastColumn="0" w:oddVBand="0" w:evenVBand="0" w:oddHBand="0"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Whole day (0000-2330)</w:t>
            </w:r>
          </w:p>
        </w:tc>
        <w:tc>
          <w:tcPr>
            <w:tcW w:w="1541" w:type="dxa"/>
            <w:vAlign w:val="center"/>
          </w:tcPr>
          <w:p w14:paraId="0871EC3F"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000000" w:firstRow="0" w:lastRow="0" w:firstColumn="0" w:lastColumn="0" w:oddVBand="0" w:evenVBand="0" w:oddHBand="0"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-46.69</w:t>
            </w:r>
          </w:p>
        </w:tc>
        <w:tc>
          <w:tcPr>
            <w:tcW w:w="1330" w:type="dxa"/>
            <w:vAlign w:val="center"/>
          </w:tcPr>
          <w:p w14:paraId="1580D726"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000000" w:firstRow="0" w:lastRow="0" w:firstColumn="0" w:lastColumn="0" w:oddVBand="0" w:evenVBand="0" w:oddHBand="0"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102.73</w:t>
            </w:r>
          </w:p>
        </w:tc>
        <w:tc>
          <w:tcPr>
            <w:tcW w:w="1506" w:type="dxa"/>
            <w:vAlign w:val="center"/>
          </w:tcPr>
          <w:p w14:paraId="0ACA915E"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000000" w:firstRow="0" w:lastRow="0" w:firstColumn="0" w:lastColumn="0" w:oddVBand="0" w:evenVBand="0" w:oddHBand="0"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149.43</w:t>
            </w:r>
          </w:p>
        </w:tc>
        <w:tc>
          <w:tcPr>
            <w:tcW w:w="1359" w:type="dxa"/>
            <w:vAlign w:val="center"/>
          </w:tcPr>
          <w:p w14:paraId="18377E58"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000000" w:firstRow="0" w:lastRow="0" w:firstColumn="0" w:lastColumn="0" w:oddVBand="0" w:evenVBand="0" w:oddHBand="0"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-159.82</w:t>
            </w:r>
          </w:p>
        </w:tc>
      </w:tr>
      <w:tr w:rsidR="005646AD" w:rsidRPr="008850D5" w14:paraId="6003D439" w14:textId="77777777" w:rsidTr="008850D5">
        <w:trPr>
          <w:cnfStyle w:val="000000100000" w:firstRow="0" w:lastRow="0" w:firstColumn="0" w:lastColumn="0" w:oddVBand="0" w:evenVBand="0" w:oddHBand="1" w:evenHBand="0" w:firstRowFirstColumn="0" w:firstRowLastColumn="0" w:lastRowFirstColumn="0" w:lastRowLastColumn="0"/>
          <w:trHeight w:val="510"/>
          <w:jc w:val="center"/>
        </w:trPr>
        <w:tc>
          <w:tcPr>
            <w:cnfStyle w:val="001000000000" w:firstRow="0" w:lastRow="0" w:firstColumn="1" w:lastColumn="0" w:oddVBand="0" w:evenVBand="0" w:oddHBand="0" w:evenHBand="0" w:firstRowFirstColumn="0" w:firstRowLastColumn="0" w:lastRowFirstColumn="0" w:lastRowLastColumn="0"/>
            <w:tcW w:w="1129" w:type="dxa"/>
            <w:vMerge/>
            <w:vAlign w:val="center"/>
          </w:tcPr>
          <w:p w14:paraId="4BA96B3D" w14:textId="77777777" w:rsidR="005646AD" w:rsidRPr="008850D5" w:rsidRDefault="005646AD" w:rsidP="008850D5">
            <w:pPr>
              <w:jc w:val="center"/>
              <w:rPr>
                <w:rFonts w:ascii="Arial" w:hAnsi="Arial" w:cs="Arial"/>
                <w:sz w:val="18"/>
                <w:szCs w:val="18"/>
              </w:rPr>
            </w:pPr>
          </w:p>
        </w:tc>
        <w:tc>
          <w:tcPr>
            <w:tcW w:w="2145" w:type="dxa"/>
            <w:vAlign w:val="center"/>
          </w:tcPr>
          <w:p w14:paraId="3D83D19C"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Day time (0700–1900)</w:t>
            </w:r>
          </w:p>
        </w:tc>
        <w:tc>
          <w:tcPr>
            <w:tcW w:w="1541" w:type="dxa"/>
            <w:vAlign w:val="center"/>
          </w:tcPr>
          <w:p w14:paraId="050D2E55"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-174.44</w:t>
            </w:r>
          </w:p>
        </w:tc>
        <w:tc>
          <w:tcPr>
            <w:tcW w:w="1330" w:type="dxa"/>
            <w:vAlign w:val="center"/>
          </w:tcPr>
          <w:p w14:paraId="65B7327E"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121.05</w:t>
            </w:r>
          </w:p>
        </w:tc>
        <w:tc>
          <w:tcPr>
            <w:tcW w:w="1506" w:type="dxa"/>
            <w:vAlign w:val="center"/>
          </w:tcPr>
          <w:p w14:paraId="4018EDC8"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295.49</w:t>
            </w:r>
          </w:p>
        </w:tc>
        <w:tc>
          <w:tcPr>
            <w:tcW w:w="1359" w:type="dxa"/>
            <w:vAlign w:val="center"/>
          </w:tcPr>
          <w:p w14:paraId="1766DB9D" w14:textId="77777777" w:rsidR="005646AD" w:rsidRPr="008850D5" w:rsidRDefault="005646AD" w:rsidP="008850D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40" w:lineRule="auto"/>
              <w:jc w:val="center"/>
              <w:cnfStyle w:val="000000100000" w:firstRow="0" w:lastRow="0" w:firstColumn="0" w:lastColumn="0" w:oddVBand="0" w:evenVBand="0" w:oddHBand="1" w:evenHBand="0" w:firstRowFirstColumn="0" w:firstRowLastColumn="0" w:lastRowFirstColumn="0" w:lastRowLastColumn="0"/>
              <w:rPr>
                <w:rFonts w:ascii="Arial" w:eastAsia="Arial Unicode MS" w:hAnsi="Arial" w:cs="Arial"/>
                <w:sz w:val="18"/>
                <w:szCs w:val="18"/>
                <w:lang w:val="en-US"/>
              </w:rPr>
            </w:pPr>
            <w:r w:rsidRPr="008850D5">
              <w:rPr>
                <w:rFonts w:ascii="Arial" w:eastAsia="Arial Unicode MS" w:hAnsi="Arial" w:cs="Arial"/>
                <w:sz w:val="18"/>
                <w:szCs w:val="18"/>
                <w:lang w:val="en-US"/>
              </w:rPr>
              <w:t>41.55</w:t>
            </w:r>
          </w:p>
        </w:tc>
      </w:tr>
    </w:tbl>
    <w:p w14:paraId="3B286A3F" w14:textId="77777777" w:rsidR="005646AD" w:rsidRDefault="005646AD" w:rsidP="005646AD">
      <w:pPr>
        <w:spacing w:line="360" w:lineRule="auto"/>
        <w:jc w:val="both"/>
        <w:rPr>
          <w:rFonts w:ascii="Cambria" w:hAnsi="Cambria"/>
          <w:b/>
          <w:bCs/>
          <w:sz w:val="24"/>
          <w:szCs w:val="24"/>
        </w:rPr>
      </w:pPr>
    </w:p>
    <w:p w14:paraId="1634021F" w14:textId="77777777" w:rsidR="00121F12" w:rsidRDefault="00121F12" w:rsidP="005646AD">
      <w:pPr>
        <w:spacing w:line="360" w:lineRule="auto"/>
        <w:jc w:val="both"/>
        <w:rPr>
          <w:rFonts w:ascii="Cambria" w:hAnsi="Cambria"/>
          <w:b/>
          <w:bCs/>
          <w:sz w:val="24"/>
          <w:szCs w:val="24"/>
        </w:rPr>
      </w:pPr>
    </w:p>
    <w:p w14:paraId="61D70AE3" w14:textId="4C849AD0" w:rsidR="009674A5" w:rsidRDefault="009674A5" w:rsidP="005646AD">
      <w:pPr>
        <w:spacing w:line="360" w:lineRule="auto"/>
        <w:jc w:val="both"/>
        <w:rPr>
          <w:rFonts w:ascii="Cambria" w:hAnsi="Cambria"/>
          <w:b/>
          <w:bCs/>
          <w:sz w:val="24"/>
          <w:szCs w:val="24"/>
        </w:rPr>
      </w:pPr>
      <w:r w:rsidRPr="009674A5">
        <w:rPr>
          <w:rFonts w:ascii="Cambria" w:hAnsi="Cambria"/>
          <w:b/>
          <w:bCs/>
          <w:sz w:val="24"/>
          <w:szCs w:val="24"/>
        </w:rPr>
        <w:t>References</w:t>
      </w:r>
    </w:p>
    <w:sdt>
      <w:sdtPr>
        <w:rPr>
          <w:rFonts w:ascii="Cambria" w:hAnsi="Cambria"/>
          <w:b/>
          <w:bCs/>
          <w:sz w:val="24"/>
          <w:szCs w:val="24"/>
        </w:rPr>
        <w:tag w:val="MENDELEY_BIBLIOGRAPHY"/>
        <w:id w:val="-168793169"/>
        <w:placeholder>
          <w:docPart w:val="DefaultPlaceholder_-1854013440"/>
        </w:placeholder>
      </w:sdtPr>
      <w:sdtContent>
        <w:p w14:paraId="530C0F60" w14:textId="77777777" w:rsidR="00121F12" w:rsidRPr="00121F12" w:rsidRDefault="00121F12" w:rsidP="00121F12">
          <w:pPr>
            <w:autoSpaceDE w:val="0"/>
            <w:autoSpaceDN w:val="0"/>
            <w:spacing w:line="276" w:lineRule="auto"/>
            <w:ind w:hanging="480"/>
            <w:divId w:val="650527516"/>
            <w:rPr>
              <w:rFonts w:ascii="Cambria" w:eastAsia="Times New Roman" w:hAnsi="Cambria"/>
              <w:kern w:val="0"/>
              <w:sz w:val="24"/>
              <w:szCs w:val="24"/>
              <w14:ligatures w14:val="none"/>
            </w:rPr>
          </w:pPr>
          <w:r w:rsidRPr="00121F12">
            <w:rPr>
              <w:rFonts w:ascii="Cambria" w:eastAsia="Times New Roman" w:hAnsi="Cambria"/>
              <w:sz w:val="24"/>
              <w:szCs w:val="24"/>
            </w:rPr>
            <w:t xml:space="preserve">Lambert, M., &amp; Fréchette, J.-L. (2005). </w:t>
          </w:r>
          <w:r w:rsidRPr="00121F12">
            <w:rPr>
              <w:rFonts w:ascii="Cambria" w:eastAsia="Times New Roman" w:hAnsi="Cambria"/>
              <w:i/>
              <w:iCs/>
              <w:sz w:val="24"/>
              <w:szCs w:val="24"/>
            </w:rPr>
            <w:t>Analytical Techniques for Measuring Fluxes of CO2 and CH4 from Hydroelectric Reservoirs and Natural Water Bodies</w:t>
          </w:r>
          <w:r w:rsidRPr="00121F12">
            <w:rPr>
              <w:rFonts w:ascii="Cambria" w:eastAsia="Times New Roman" w:hAnsi="Cambria"/>
              <w:sz w:val="24"/>
              <w:szCs w:val="24"/>
            </w:rPr>
            <w:t>. 37–60. https://doi.org/10.1007/978-3-540-26643-3_3</w:t>
          </w:r>
        </w:p>
        <w:p w14:paraId="10B6BD34" w14:textId="77777777" w:rsidR="00121F12" w:rsidRPr="00121F12" w:rsidRDefault="00121F12" w:rsidP="00121F12">
          <w:pPr>
            <w:autoSpaceDE w:val="0"/>
            <w:autoSpaceDN w:val="0"/>
            <w:spacing w:line="276" w:lineRule="auto"/>
            <w:ind w:hanging="480"/>
            <w:divId w:val="994071953"/>
            <w:rPr>
              <w:rFonts w:ascii="Cambria" w:eastAsia="Times New Roman" w:hAnsi="Cambria"/>
              <w:sz w:val="24"/>
              <w:szCs w:val="24"/>
            </w:rPr>
          </w:pPr>
          <w:r w:rsidRPr="00121F12">
            <w:rPr>
              <w:rFonts w:ascii="Cambria" w:eastAsia="Times New Roman" w:hAnsi="Cambria"/>
              <w:sz w:val="24"/>
              <w:szCs w:val="24"/>
            </w:rPr>
            <w:t xml:space="preserve">Lloyd, J., &amp; Taylor, J. A. (1994). On the Temperature Dependence of Soil Respiration. </w:t>
          </w:r>
          <w:r w:rsidRPr="00121F12">
            <w:rPr>
              <w:rFonts w:ascii="Cambria" w:eastAsia="Times New Roman" w:hAnsi="Cambria"/>
              <w:i/>
              <w:iCs/>
              <w:sz w:val="24"/>
              <w:szCs w:val="24"/>
            </w:rPr>
            <w:t>Functional Ecology</w:t>
          </w:r>
          <w:r w:rsidRPr="00121F12">
            <w:rPr>
              <w:rFonts w:ascii="Cambria" w:eastAsia="Times New Roman" w:hAnsi="Cambria"/>
              <w:sz w:val="24"/>
              <w:szCs w:val="24"/>
            </w:rPr>
            <w:t xml:space="preserve">, </w:t>
          </w:r>
          <w:r w:rsidRPr="00121F12">
            <w:rPr>
              <w:rFonts w:ascii="Cambria" w:eastAsia="Times New Roman" w:hAnsi="Cambria"/>
              <w:i/>
              <w:iCs/>
              <w:sz w:val="24"/>
              <w:szCs w:val="24"/>
            </w:rPr>
            <w:t>8</w:t>
          </w:r>
          <w:r w:rsidRPr="00121F12">
            <w:rPr>
              <w:rFonts w:ascii="Cambria" w:eastAsia="Times New Roman" w:hAnsi="Cambria"/>
              <w:sz w:val="24"/>
              <w:szCs w:val="24"/>
            </w:rPr>
            <w:t>(3), 315. https://doi.org/10.2307/2389824</w:t>
          </w:r>
        </w:p>
        <w:p w14:paraId="4D8539E0" w14:textId="77777777" w:rsidR="00121F12" w:rsidRPr="00121F12" w:rsidRDefault="00121F12" w:rsidP="00121F12">
          <w:pPr>
            <w:autoSpaceDE w:val="0"/>
            <w:autoSpaceDN w:val="0"/>
            <w:spacing w:line="276" w:lineRule="auto"/>
            <w:ind w:hanging="480"/>
            <w:divId w:val="516038792"/>
            <w:rPr>
              <w:rFonts w:ascii="Cambria" w:eastAsia="Times New Roman" w:hAnsi="Cambria"/>
              <w:sz w:val="24"/>
              <w:szCs w:val="24"/>
            </w:rPr>
          </w:pPr>
          <w:r w:rsidRPr="00121F12">
            <w:rPr>
              <w:rFonts w:ascii="Cambria" w:eastAsia="Times New Roman" w:hAnsi="Cambria"/>
              <w:sz w:val="24"/>
              <w:szCs w:val="24"/>
            </w:rPr>
            <w:t xml:space="preserve">McDonald, J. H. (2009). </w:t>
          </w:r>
          <w:r w:rsidRPr="00121F12">
            <w:rPr>
              <w:rFonts w:ascii="Cambria" w:eastAsia="Times New Roman" w:hAnsi="Cambria"/>
              <w:i/>
              <w:iCs/>
              <w:sz w:val="24"/>
              <w:szCs w:val="24"/>
            </w:rPr>
            <w:t>Handbook of Biological Statistics</w:t>
          </w:r>
          <w:r w:rsidRPr="00121F12">
            <w:rPr>
              <w:rFonts w:ascii="Cambria" w:eastAsia="Times New Roman" w:hAnsi="Cambria"/>
              <w:sz w:val="24"/>
              <w:szCs w:val="24"/>
            </w:rPr>
            <w:t>. Sparky House Publishing.</w:t>
          </w:r>
        </w:p>
        <w:p w14:paraId="0B0A12E1" w14:textId="77777777" w:rsidR="00121F12" w:rsidRPr="00121F12" w:rsidRDefault="00121F12" w:rsidP="00121F12">
          <w:pPr>
            <w:autoSpaceDE w:val="0"/>
            <w:autoSpaceDN w:val="0"/>
            <w:spacing w:line="276" w:lineRule="auto"/>
            <w:ind w:hanging="480"/>
            <w:divId w:val="1698891958"/>
            <w:rPr>
              <w:rFonts w:ascii="Cambria" w:eastAsia="Times New Roman" w:hAnsi="Cambria"/>
              <w:sz w:val="24"/>
              <w:szCs w:val="24"/>
            </w:rPr>
          </w:pPr>
          <w:r w:rsidRPr="00121F12">
            <w:rPr>
              <w:rFonts w:ascii="Cambria" w:eastAsia="Times New Roman" w:hAnsi="Cambria"/>
              <w:sz w:val="24"/>
              <w:szCs w:val="24"/>
            </w:rPr>
            <w:t xml:space="preserve">Reichstein, M., Falge, E., Baldocchi, D., Papale, D., Aubinet, M., </w:t>
          </w:r>
          <w:proofErr w:type="spellStart"/>
          <w:r w:rsidRPr="00121F12">
            <w:rPr>
              <w:rFonts w:ascii="Cambria" w:eastAsia="Times New Roman" w:hAnsi="Cambria"/>
              <w:sz w:val="24"/>
              <w:szCs w:val="24"/>
            </w:rPr>
            <w:t>Berbigier</w:t>
          </w:r>
          <w:proofErr w:type="spellEnd"/>
          <w:r w:rsidRPr="00121F12">
            <w:rPr>
              <w:rFonts w:ascii="Cambria" w:eastAsia="Times New Roman" w:hAnsi="Cambria"/>
              <w:sz w:val="24"/>
              <w:szCs w:val="24"/>
            </w:rPr>
            <w:t xml:space="preserve">, P., </w:t>
          </w:r>
          <w:proofErr w:type="spellStart"/>
          <w:r w:rsidRPr="00121F12">
            <w:rPr>
              <w:rFonts w:ascii="Cambria" w:eastAsia="Times New Roman" w:hAnsi="Cambria"/>
              <w:sz w:val="24"/>
              <w:szCs w:val="24"/>
            </w:rPr>
            <w:t>Bernhofer</w:t>
          </w:r>
          <w:proofErr w:type="spellEnd"/>
          <w:r w:rsidRPr="00121F12">
            <w:rPr>
              <w:rFonts w:ascii="Cambria" w:eastAsia="Times New Roman" w:hAnsi="Cambria"/>
              <w:sz w:val="24"/>
              <w:szCs w:val="24"/>
            </w:rPr>
            <w:t xml:space="preserve">, C., Buchmann, N., </w:t>
          </w:r>
          <w:proofErr w:type="spellStart"/>
          <w:r w:rsidRPr="00121F12">
            <w:rPr>
              <w:rFonts w:ascii="Cambria" w:eastAsia="Times New Roman" w:hAnsi="Cambria"/>
              <w:sz w:val="24"/>
              <w:szCs w:val="24"/>
            </w:rPr>
            <w:t>Gilmanov</w:t>
          </w:r>
          <w:proofErr w:type="spellEnd"/>
          <w:r w:rsidRPr="00121F12">
            <w:rPr>
              <w:rFonts w:ascii="Cambria" w:eastAsia="Times New Roman" w:hAnsi="Cambria"/>
              <w:sz w:val="24"/>
              <w:szCs w:val="24"/>
            </w:rPr>
            <w:t xml:space="preserve">, T., Granier, A., Grünwald, T., Havránková, K., </w:t>
          </w:r>
          <w:proofErr w:type="spellStart"/>
          <w:r w:rsidRPr="00121F12">
            <w:rPr>
              <w:rFonts w:ascii="Cambria" w:eastAsia="Times New Roman" w:hAnsi="Cambria"/>
              <w:sz w:val="24"/>
              <w:szCs w:val="24"/>
            </w:rPr>
            <w:t>Ilvesniemi</w:t>
          </w:r>
          <w:proofErr w:type="spellEnd"/>
          <w:r w:rsidRPr="00121F12">
            <w:rPr>
              <w:rFonts w:ascii="Cambria" w:eastAsia="Times New Roman" w:hAnsi="Cambria"/>
              <w:sz w:val="24"/>
              <w:szCs w:val="24"/>
            </w:rPr>
            <w:t xml:space="preserve">, H., </w:t>
          </w:r>
          <w:proofErr w:type="spellStart"/>
          <w:r w:rsidRPr="00121F12">
            <w:rPr>
              <w:rFonts w:ascii="Cambria" w:eastAsia="Times New Roman" w:hAnsi="Cambria"/>
              <w:sz w:val="24"/>
              <w:szCs w:val="24"/>
            </w:rPr>
            <w:t>Janous</w:t>
          </w:r>
          <w:proofErr w:type="spellEnd"/>
          <w:r w:rsidRPr="00121F12">
            <w:rPr>
              <w:rFonts w:ascii="Cambria" w:eastAsia="Times New Roman" w:hAnsi="Cambria"/>
              <w:sz w:val="24"/>
              <w:szCs w:val="24"/>
            </w:rPr>
            <w:t xml:space="preserve">, D., </w:t>
          </w:r>
          <w:proofErr w:type="spellStart"/>
          <w:r w:rsidRPr="00121F12">
            <w:rPr>
              <w:rFonts w:ascii="Cambria" w:eastAsia="Times New Roman" w:hAnsi="Cambria"/>
              <w:sz w:val="24"/>
              <w:szCs w:val="24"/>
            </w:rPr>
            <w:t>Knohl</w:t>
          </w:r>
          <w:proofErr w:type="spellEnd"/>
          <w:r w:rsidRPr="00121F12">
            <w:rPr>
              <w:rFonts w:ascii="Cambria" w:eastAsia="Times New Roman" w:hAnsi="Cambria"/>
              <w:sz w:val="24"/>
              <w:szCs w:val="24"/>
            </w:rPr>
            <w:t xml:space="preserve">, A., Laurila, T., Lohila, A., </w:t>
          </w:r>
          <w:proofErr w:type="spellStart"/>
          <w:r w:rsidRPr="00121F12">
            <w:rPr>
              <w:rFonts w:ascii="Cambria" w:eastAsia="Times New Roman" w:hAnsi="Cambria"/>
              <w:sz w:val="24"/>
              <w:szCs w:val="24"/>
            </w:rPr>
            <w:t>Loustau</w:t>
          </w:r>
          <w:proofErr w:type="spellEnd"/>
          <w:r w:rsidRPr="00121F12">
            <w:rPr>
              <w:rFonts w:ascii="Cambria" w:eastAsia="Times New Roman" w:hAnsi="Cambria"/>
              <w:sz w:val="24"/>
              <w:szCs w:val="24"/>
            </w:rPr>
            <w:t xml:space="preserve">, D., Matteucci, G., … Valentini, R. (2005). On the separation of net ecosystem exchange into assimilation and ecosystem respiration: review and improved algorithm. </w:t>
          </w:r>
          <w:r w:rsidRPr="00121F12">
            <w:rPr>
              <w:rFonts w:ascii="Cambria" w:eastAsia="Times New Roman" w:hAnsi="Cambria"/>
              <w:i/>
              <w:iCs/>
              <w:sz w:val="24"/>
              <w:szCs w:val="24"/>
            </w:rPr>
            <w:t>Global Change Biology</w:t>
          </w:r>
          <w:r w:rsidRPr="00121F12">
            <w:rPr>
              <w:rFonts w:ascii="Cambria" w:eastAsia="Times New Roman" w:hAnsi="Cambria"/>
              <w:sz w:val="24"/>
              <w:szCs w:val="24"/>
            </w:rPr>
            <w:t xml:space="preserve">, </w:t>
          </w:r>
          <w:r w:rsidRPr="00121F12">
            <w:rPr>
              <w:rFonts w:ascii="Cambria" w:eastAsia="Times New Roman" w:hAnsi="Cambria"/>
              <w:i/>
              <w:iCs/>
              <w:sz w:val="24"/>
              <w:szCs w:val="24"/>
            </w:rPr>
            <w:t>11</w:t>
          </w:r>
          <w:r w:rsidRPr="00121F12">
            <w:rPr>
              <w:rFonts w:ascii="Cambria" w:eastAsia="Times New Roman" w:hAnsi="Cambria"/>
              <w:sz w:val="24"/>
              <w:szCs w:val="24"/>
            </w:rPr>
            <w:t>(9), 1424–1439. https://doi.org/10.1111/J.1365-2486.2005.001002.X</w:t>
          </w:r>
        </w:p>
        <w:p w14:paraId="7E2D7CAF" w14:textId="1C8306AD" w:rsidR="009674A5" w:rsidRPr="009674A5" w:rsidRDefault="00121F12" w:rsidP="00121F12">
          <w:pPr>
            <w:spacing w:line="276" w:lineRule="auto"/>
            <w:rPr>
              <w:rFonts w:ascii="Cambria" w:hAnsi="Cambria"/>
              <w:b/>
              <w:bCs/>
              <w:sz w:val="24"/>
              <w:szCs w:val="24"/>
            </w:rPr>
          </w:pPr>
          <w:r w:rsidRPr="00121F12">
            <w:rPr>
              <w:rFonts w:ascii="Cambria" w:eastAsia="Times New Roman" w:hAnsi="Cambria"/>
              <w:sz w:val="24"/>
              <w:szCs w:val="24"/>
            </w:rPr>
            <w:t> </w:t>
          </w:r>
        </w:p>
      </w:sdtContent>
    </w:sdt>
    <w:sectPr w:rsidR="009674A5" w:rsidRPr="009674A5">
      <w:headerReference w:type="even" r:id="rId9"/>
      <w:footerReference w:type="default" r:id="rId10"/>
      <w:head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C559F7" w14:textId="77777777" w:rsidR="001E31BB" w:rsidRDefault="001E31BB" w:rsidP="001E31BB">
      <w:pPr>
        <w:spacing w:after="0" w:line="240" w:lineRule="auto"/>
      </w:pPr>
      <w:r>
        <w:separator/>
      </w:r>
    </w:p>
  </w:endnote>
  <w:endnote w:type="continuationSeparator" w:id="0">
    <w:p w14:paraId="45A90E0E" w14:textId="77777777" w:rsidR="001E31BB" w:rsidRDefault="001E31BB" w:rsidP="001E31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Neue">
    <w:altName w:val="Sylfaen"/>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 w:name="Sabon Next LT">
    <w:altName w:val="Sabon Next LT"/>
    <w:charset w:val="00"/>
    <w:family w:val="auto"/>
    <w:pitch w:val="variable"/>
    <w:sig w:usb0="A11526FF" w:usb1="D000000B" w:usb2="0001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48206132"/>
      <w:docPartObj>
        <w:docPartGallery w:val="Page Numbers (Bottom of Page)"/>
        <w:docPartUnique/>
      </w:docPartObj>
    </w:sdtPr>
    <w:sdtEndPr>
      <w:rPr>
        <w:noProof/>
      </w:rPr>
    </w:sdtEndPr>
    <w:sdtContent>
      <w:p w14:paraId="29619D02" w14:textId="10C4E5C3" w:rsidR="0066710C" w:rsidRDefault="0066710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CFC217C" w14:textId="77777777" w:rsidR="0066710C" w:rsidRDefault="006671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07B444" w14:textId="77777777" w:rsidR="001E31BB" w:rsidRDefault="001E31BB" w:rsidP="001E31BB">
      <w:pPr>
        <w:spacing w:after="0" w:line="240" w:lineRule="auto"/>
      </w:pPr>
      <w:r>
        <w:separator/>
      </w:r>
    </w:p>
  </w:footnote>
  <w:footnote w:type="continuationSeparator" w:id="0">
    <w:p w14:paraId="614B812E" w14:textId="77777777" w:rsidR="001E31BB" w:rsidRDefault="001E31BB" w:rsidP="001E31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F9E307" w14:textId="4536F9BE" w:rsidR="001E31BB" w:rsidRDefault="001E31BB">
    <w:pPr>
      <w:pStyle w:val="Header"/>
    </w:pPr>
    <w:r>
      <w:rPr>
        <w:noProof/>
      </w:rPr>
      <mc:AlternateContent>
        <mc:Choice Requires="wps">
          <w:drawing>
            <wp:anchor distT="0" distB="0" distL="0" distR="0" simplePos="0" relativeHeight="251659264" behindDoc="0" locked="0" layoutInCell="1" allowOverlap="1" wp14:anchorId="6917DAAB" wp14:editId="1AC0102E">
              <wp:simplePos x="635" y="635"/>
              <wp:positionH relativeFrom="page">
                <wp:align>center</wp:align>
              </wp:positionH>
              <wp:positionV relativeFrom="page">
                <wp:align>top</wp:align>
              </wp:positionV>
              <wp:extent cx="1701165" cy="391160"/>
              <wp:effectExtent l="0" t="0" r="13335" b="8890"/>
              <wp:wrapNone/>
              <wp:docPr id="202229087" name="Text Box 2" descr="RMIT Classification: Trusted">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701165" cy="391160"/>
                      </a:xfrm>
                      <a:prstGeom prst="rect">
                        <a:avLst/>
                      </a:prstGeom>
                      <a:noFill/>
                      <a:ln>
                        <a:noFill/>
                      </a:ln>
                    </wps:spPr>
                    <wps:txbx>
                      <w:txbxContent>
                        <w:p w14:paraId="4AC26DD0" w14:textId="1FFB8ED2" w:rsidR="001E31BB" w:rsidRPr="001E31BB" w:rsidRDefault="001E31BB" w:rsidP="001E31BB">
                          <w:pPr>
                            <w:spacing w:after="0"/>
                            <w:rPr>
                              <w:rFonts w:ascii="Calibri" w:eastAsia="Calibri" w:hAnsi="Calibri" w:cs="Calibri"/>
                              <w:noProof/>
                              <w:color w:val="EEDC00"/>
                              <w:sz w:val="24"/>
                              <w:szCs w:val="24"/>
                            </w:rPr>
                          </w:pPr>
                          <w:r w:rsidRPr="001E31BB">
                            <w:rPr>
                              <w:rFonts w:ascii="Calibri" w:eastAsia="Calibri" w:hAnsi="Calibri" w:cs="Calibri"/>
                              <w:noProof/>
                              <w:color w:val="EEDC00"/>
                              <w:sz w:val="24"/>
                              <w:szCs w:val="24"/>
                            </w:rPr>
                            <w:t>RMIT Classification: Trusted</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917DAAB" id="_x0000_t202" coordsize="21600,21600" o:spt="202" path="m,l,21600r21600,l21600,xe">
              <v:stroke joinstyle="miter"/>
              <v:path gradientshapeok="t" o:connecttype="rect"/>
            </v:shapetype>
            <v:shape id="Text Box 2" o:spid="_x0000_s1026" type="#_x0000_t202" alt="RMIT Classification: Trusted" style="position:absolute;margin-left:0;margin-top:0;width:133.95pt;height:30.8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" filled="f" stroked="f">
              <v:textbox style="mso-fit-shape-to-text:t" inset="0,15pt,0,0">
                <w:txbxContent>
                  <w:p w14:paraId="4AC26DD0" w14:textId="1FFB8ED2" w:rsidR="001E31BB" w:rsidRPr="001E31BB" w:rsidRDefault="001E31BB" w:rsidP="001E31BB">
                    <w:pPr>
                      <w:spacing w:after="0"/>
                      <w:rPr>
                        <w:rFonts w:ascii="Calibri" w:eastAsia="Calibri" w:hAnsi="Calibri" w:cs="Calibri"/>
                        <w:noProof/>
                        <w:color w:val="EEDC00"/>
                        <w:sz w:val="24"/>
                        <w:szCs w:val="24"/>
                      </w:rPr>
                    </w:pPr>
                    <w:r w:rsidRPr="001E31BB">
                      <w:rPr>
                        <w:rFonts w:ascii="Calibri" w:eastAsia="Calibri" w:hAnsi="Calibri" w:cs="Calibri"/>
                        <w:noProof/>
                        <w:color w:val="EEDC00"/>
                        <w:sz w:val="24"/>
                        <w:szCs w:val="24"/>
                      </w:rPr>
                      <w:t>RMIT Classification: Trusted</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03B91E" w14:textId="11AE43F8" w:rsidR="001E31BB" w:rsidRDefault="001E31BB">
    <w:pPr>
      <w:pStyle w:val="Header"/>
    </w:pPr>
    <w:r>
      <w:rPr>
        <w:noProof/>
      </w:rPr>
      <mc:AlternateContent>
        <mc:Choice Requires="wps">
          <w:drawing>
            <wp:anchor distT="0" distB="0" distL="0" distR="0" simplePos="0" relativeHeight="251658240" behindDoc="0" locked="0" layoutInCell="1" allowOverlap="1" wp14:anchorId="65722DD3" wp14:editId="30507672">
              <wp:simplePos x="635" y="635"/>
              <wp:positionH relativeFrom="page">
                <wp:align>center</wp:align>
              </wp:positionH>
              <wp:positionV relativeFrom="page">
                <wp:align>top</wp:align>
              </wp:positionV>
              <wp:extent cx="1701165" cy="391160"/>
              <wp:effectExtent l="0" t="0" r="13335" b="8890"/>
              <wp:wrapNone/>
              <wp:docPr id="1883676780" name="Text Box 1" descr="RMIT Classification: Trusted">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701165" cy="391160"/>
                      </a:xfrm>
                      <a:prstGeom prst="rect">
                        <a:avLst/>
                      </a:prstGeom>
                      <a:noFill/>
                      <a:ln>
                        <a:noFill/>
                      </a:ln>
                    </wps:spPr>
                    <wps:txbx>
                      <w:txbxContent>
                        <w:p w14:paraId="0DFC2035" w14:textId="1C6C40B0" w:rsidR="001E31BB" w:rsidRPr="001E31BB" w:rsidRDefault="001E31BB" w:rsidP="001E31BB">
                          <w:pPr>
                            <w:spacing w:after="0"/>
                            <w:rPr>
                              <w:rFonts w:ascii="Calibri" w:eastAsia="Calibri" w:hAnsi="Calibri" w:cs="Calibri"/>
                              <w:noProof/>
                              <w:color w:val="EEDC00"/>
                              <w:sz w:val="24"/>
                              <w:szCs w:val="24"/>
                            </w:rPr>
                          </w:pPr>
                          <w:r w:rsidRPr="001E31BB">
                            <w:rPr>
                              <w:rFonts w:ascii="Calibri" w:eastAsia="Calibri" w:hAnsi="Calibri" w:cs="Calibri"/>
                              <w:noProof/>
                              <w:color w:val="EEDC00"/>
                              <w:sz w:val="24"/>
                              <w:szCs w:val="24"/>
                            </w:rPr>
                            <w:t>RMIT Classification: Trusted</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5722DD3" id="_x0000_t202" coordsize="21600,21600" o:spt="202" path="m,l,21600r21600,l21600,xe">
              <v:stroke joinstyle="miter"/>
              <v:path gradientshapeok="t" o:connecttype="rect"/>
            </v:shapetype>
            <v:shape id="Text Box 1" o:spid="_x0000_s1027" type="#_x0000_t202" alt="RMIT Classification: Trusted" style="position:absolute;margin-left:0;margin-top:0;width:133.95pt;height:30.8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" filled="f" stroked="f">
              <v:textbox style="mso-fit-shape-to-text:t" inset="0,15pt,0,0">
                <w:txbxContent>
                  <w:p w14:paraId="0DFC2035" w14:textId="1C6C40B0" w:rsidR="001E31BB" w:rsidRPr="001E31BB" w:rsidRDefault="001E31BB" w:rsidP="001E31BB">
                    <w:pPr>
                      <w:spacing w:after="0"/>
                      <w:rPr>
                        <w:rFonts w:ascii="Calibri" w:eastAsia="Calibri" w:hAnsi="Calibri" w:cs="Calibri"/>
                        <w:noProof/>
                        <w:color w:val="EEDC00"/>
                        <w:sz w:val="24"/>
                        <w:szCs w:val="24"/>
                      </w:rPr>
                    </w:pPr>
                    <w:r w:rsidRPr="001E31BB">
                      <w:rPr>
                        <w:rFonts w:ascii="Calibri" w:eastAsia="Calibri" w:hAnsi="Calibri" w:cs="Calibri"/>
                        <w:noProof/>
                        <w:color w:val="EEDC00"/>
                        <w:sz w:val="24"/>
                        <w:szCs w:val="24"/>
                      </w:rPr>
                      <w:t>RMIT Classification: Trusted</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1BB"/>
    <w:rsid w:val="00020097"/>
    <w:rsid w:val="00097198"/>
    <w:rsid w:val="00121F12"/>
    <w:rsid w:val="00186906"/>
    <w:rsid w:val="001970D9"/>
    <w:rsid w:val="001E31BB"/>
    <w:rsid w:val="002E55DE"/>
    <w:rsid w:val="00363151"/>
    <w:rsid w:val="003A3976"/>
    <w:rsid w:val="003A7459"/>
    <w:rsid w:val="003C074D"/>
    <w:rsid w:val="003E3AD9"/>
    <w:rsid w:val="004D5DD6"/>
    <w:rsid w:val="005646AD"/>
    <w:rsid w:val="00586519"/>
    <w:rsid w:val="00626FB2"/>
    <w:rsid w:val="0066710C"/>
    <w:rsid w:val="006D1C2D"/>
    <w:rsid w:val="0073678A"/>
    <w:rsid w:val="008531DB"/>
    <w:rsid w:val="008850D5"/>
    <w:rsid w:val="008C5554"/>
    <w:rsid w:val="008E124D"/>
    <w:rsid w:val="00904432"/>
    <w:rsid w:val="009674A5"/>
    <w:rsid w:val="009A73CF"/>
    <w:rsid w:val="009C6D37"/>
    <w:rsid w:val="00B55856"/>
    <w:rsid w:val="00B64167"/>
    <w:rsid w:val="00B67568"/>
    <w:rsid w:val="00C132B8"/>
    <w:rsid w:val="00E06E86"/>
    <w:rsid w:val="00E15705"/>
    <w:rsid w:val="00E63CF6"/>
    <w:rsid w:val="00E902EC"/>
    <w:rsid w:val="00F17E2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90CB4F0"/>
  <w15:chartTrackingRefBased/>
  <w15:docId w15:val="{A344FC50-6A07-46A8-B19A-CFFE53002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31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E31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31B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31B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31B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31B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31B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31B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31B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31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31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31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31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31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31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31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31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31BB"/>
    <w:rPr>
      <w:rFonts w:eastAsiaTheme="majorEastAsia" w:cstheme="majorBidi"/>
      <w:color w:val="272727" w:themeColor="text1" w:themeTint="D8"/>
    </w:rPr>
  </w:style>
  <w:style w:type="paragraph" w:styleId="Title">
    <w:name w:val="Title"/>
    <w:basedOn w:val="Normal"/>
    <w:next w:val="Normal"/>
    <w:link w:val="TitleChar"/>
    <w:uiPriority w:val="10"/>
    <w:qFormat/>
    <w:rsid w:val="001E31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31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31B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31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31BB"/>
    <w:pPr>
      <w:spacing w:before="160"/>
      <w:jc w:val="center"/>
    </w:pPr>
    <w:rPr>
      <w:i/>
      <w:iCs/>
      <w:color w:val="404040" w:themeColor="text1" w:themeTint="BF"/>
    </w:rPr>
  </w:style>
  <w:style w:type="character" w:customStyle="1" w:styleId="QuoteChar">
    <w:name w:val="Quote Char"/>
    <w:basedOn w:val="DefaultParagraphFont"/>
    <w:link w:val="Quote"/>
    <w:uiPriority w:val="29"/>
    <w:rsid w:val="001E31BB"/>
    <w:rPr>
      <w:i/>
      <w:iCs/>
      <w:color w:val="404040" w:themeColor="text1" w:themeTint="BF"/>
    </w:rPr>
  </w:style>
  <w:style w:type="paragraph" w:styleId="ListParagraph">
    <w:name w:val="List Paragraph"/>
    <w:basedOn w:val="Normal"/>
    <w:uiPriority w:val="34"/>
    <w:qFormat/>
    <w:rsid w:val="001E31BB"/>
    <w:pPr>
      <w:ind w:left="720"/>
      <w:contextualSpacing/>
    </w:pPr>
  </w:style>
  <w:style w:type="character" w:styleId="IntenseEmphasis">
    <w:name w:val="Intense Emphasis"/>
    <w:basedOn w:val="DefaultParagraphFont"/>
    <w:uiPriority w:val="21"/>
    <w:qFormat/>
    <w:rsid w:val="001E31BB"/>
    <w:rPr>
      <w:i/>
      <w:iCs/>
      <w:color w:val="0F4761" w:themeColor="accent1" w:themeShade="BF"/>
    </w:rPr>
  </w:style>
  <w:style w:type="paragraph" w:styleId="IntenseQuote">
    <w:name w:val="Intense Quote"/>
    <w:basedOn w:val="Normal"/>
    <w:next w:val="Normal"/>
    <w:link w:val="IntenseQuoteChar"/>
    <w:uiPriority w:val="30"/>
    <w:qFormat/>
    <w:rsid w:val="001E31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31BB"/>
    <w:rPr>
      <w:i/>
      <w:iCs/>
      <w:color w:val="0F4761" w:themeColor="accent1" w:themeShade="BF"/>
    </w:rPr>
  </w:style>
  <w:style w:type="character" w:styleId="IntenseReference">
    <w:name w:val="Intense Reference"/>
    <w:basedOn w:val="DefaultParagraphFont"/>
    <w:uiPriority w:val="32"/>
    <w:qFormat/>
    <w:rsid w:val="001E31BB"/>
    <w:rPr>
      <w:b/>
      <w:bCs/>
      <w:smallCaps/>
      <w:color w:val="0F4761" w:themeColor="accent1" w:themeShade="BF"/>
      <w:spacing w:val="5"/>
    </w:rPr>
  </w:style>
  <w:style w:type="paragraph" w:styleId="Header">
    <w:name w:val="header"/>
    <w:basedOn w:val="Normal"/>
    <w:link w:val="HeaderChar"/>
    <w:uiPriority w:val="99"/>
    <w:unhideWhenUsed/>
    <w:rsid w:val="001E31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31BB"/>
  </w:style>
  <w:style w:type="paragraph" w:customStyle="1" w:styleId="Body">
    <w:name w:val="Body"/>
    <w:rsid w:val="005646AD"/>
    <w:pPr>
      <w:pBdr>
        <w:top w:val="nil"/>
        <w:left w:val="nil"/>
        <w:bottom w:val="nil"/>
        <w:right w:val="nil"/>
        <w:between w:val="nil"/>
        <w:bar w:val="nil"/>
      </w:pBdr>
      <w:spacing w:after="0" w:line="360" w:lineRule="auto"/>
    </w:pPr>
    <w:rPr>
      <w:rFonts w:ascii="Helvetica Neue" w:eastAsia="Helvetica Neue" w:hAnsi="Helvetica Neue" w:cs="Helvetica Neue"/>
      <w:color w:val="000000"/>
      <w:kern w:val="0"/>
      <w:sz w:val="24"/>
      <w:szCs w:val="24"/>
      <w:bdr w:val="nil"/>
      <w14:ligatures w14:val="none"/>
    </w:rPr>
  </w:style>
  <w:style w:type="table" w:styleId="PlainTable2">
    <w:name w:val="Plain Table 2"/>
    <w:basedOn w:val="TableNormal"/>
    <w:uiPriority w:val="42"/>
    <w:rsid w:val="005646AD"/>
    <w:pPr>
      <w:spacing w:after="0" w:line="240" w:lineRule="auto"/>
    </w:pPr>
    <w:rPr>
      <w:kern w:val="0"/>
      <w:sz w:val="24"/>
      <w:szCs w:val="24"/>
      <w:lang w:val="en-GB"/>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Footer">
    <w:name w:val="footer"/>
    <w:basedOn w:val="Normal"/>
    <w:link w:val="FooterChar"/>
    <w:uiPriority w:val="99"/>
    <w:unhideWhenUsed/>
    <w:rsid w:val="008850D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50D5"/>
  </w:style>
  <w:style w:type="character" w:styleId="PlaceholderText">
    <w:name w:val="Placeholder Text"/>
    <w:basedOn w:val="DefaultParagraphFont"/>
    <w:uiPriority w:val="99"/>
    <w:semiHidden/>
    <w:rsid w:val="00121F1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115507">
      <w:bodyDiv w:val="1"/>
      <w:marLeft w:val="0"/>
      <w:marRight w:val="0"/>
      <w:marTop w:val="0"/>
      <w:marBottom w:val="0"/>
      <w:divBdr>
        <w:top w:val="none" w:sz="0" w:space="0" w:color="auto"/>
        <w:left w:val="none" w:sz="0" w:space="0" w:color="auto"/>
        <w:bottom w:val="none" w:sz="0" w:space="0" w:color="auto"/>
        <w:right w:val="none" w:sz="0" w:space="0" w:color="auto"/>
      </w:divBdr>
      <w:divsChild>
        <w:div w:id="650527516">
          <w:marLeft w:val="480"/>
          <w:marRight w:val="0"/>
          <w:marTop w:val="0"/>
          <w:marBottom w:val="0"/>
          <w:divBdr>
            <w:top w:val="none" w:sz="0" w:space="0" w:color="auto"/>
            <w:left w:val="none" w:sz="0" w:space="0" w:color="auto"/>
            <w:bottom w:val="none" w:sz="0" w:space="0" w:color="auto"/>
            <w:right w:val="none" w:sz="0" w:space="0" w:color="auto"/>
          </w:divBdr>
        </w:div>
        <w:div w:id="994071953">
          <w:marLeft w:val="480"/>
          <w:marRight w:val="0"/>
          <w:marTop w:val="0"/>
          <w:marBottom w:val="0"/>
          <w:divBdr>
            <w:top w:val="none" w:sz="0" w:space="0" w:color="auto"/>
            <w:left w:val="none" w:sz="0" w:space="0" w:color="auto"/>
            <w:bottom w:val="none" w:sz="0" w:space="0" w:color="auto"/>
            <w:right w:val="none" w:sz="0" w:space="0" w:color="auto"/>
          </w:divBdr>
        </w:div>
        <w:div w:id="516038792">
          <w:marLeft w:val="480"/>
          <w:marRight w:val="0"/>
          <w:marTop w:val="0"/>
          <w:marBottom w:val="0"/>
          <w:divBdr>
            <w:top w:val="none" w:sz="0" w:space="0" w:color="auto"/>
            <w:left w:val="none" w:sz="0" w:space="0" w:color="auto"/>
            <w:bottom w:val="none" w:sz="0" w:space="0" w:color="auto"/>
            <w:right w:val="none" w:sz="0" w:space="0" w:color="auto"/>
          </w:divBdr>
        </w:div>
        <w:div w:id="1698891958">
          <w:marLeft w:val="480"/>
          <w:marRight w:val="0"/>
          <w:marTop w:val="0"/>
          <w:marBottom w:val="0"/>
          <w:divBdr>
            <w:top w:val="none" w:sz="0" w:space="0" w:color="auto"/>
            <w:left w:val="none" w:sz="0" w:space="0" w:color="auto"/>
            <w:bottom w:val="none" w:sz="0" w:space="0" w:color="auto"/>
            <w:right w:val="none" w:sz="0" w:space="0" w:color="auto"/>
          </w:divBdr>
        </w:div>
      </w:divsChild>
    </w:div>
    <w:div w:id="820731922">
      <w:bodyDiv w:val="1"/>
      <w:marLeft w:val="0"/>
      <w:marRight w:val="0"/>
      <w:marTop w:val="0"/>
      <w:marBottom w:val="0"/>
      <w:divBdr>
        <w:top w:val="none" w:sz="0" w:space="0" w:color="auto"/>
        <w:left w:val="none" w:sz="0" w:space="0" w:color="auto"/>
        <w:bottom w:val="none" w:sz="0" w:space="0" w:color="auto"/>
        <w:right w:val="none" w:sz="0" w:space="0" w:color="auto"/>
      </w:divBdr>
    </w:div>
    <w:div w:id="1444305355">
      <w:bodyDiv w:val="1"/>
      <w:marLeft w:val="0"/>
      <w:marRight w:val="0"/>
      <w:marTop w:val="0"/>
      <w:marBottom w:val="0"/>
      <w:divBdr>
        <w:top w:val="none" w:sz="0" w:space="0" w:color="auto"/>
        <w:left w:val="none" w:sz="0" w:space="0" w:color="auto"/>
        <w:bottom w:val="none" w:sz="0" w:space="0" w:color="auto"/>
        <w:right w:val="none" w:sz="0" w:space="0" w:color="auto"/>
      </w:divBdr>
    </w:div>
    <w:div w:id="1518273099">
      <w:bodyDiv w:val="1"/>
      <w:marLeft w:val="0"/>
      <w:marRight w:val="0"/>
      <w:marTop w:val="0"/>
      <w:marBottom w:val="0"/>
      <w:divBdr>
        <w:top w:val="none" w:sz="0" w:space="0" w:color="auto"/>
        <w:left w:val="none" w:sz="0" w:space="0" w:color="auto"/>
        <w:bottom w:val="none" w:sz="0" w:space="0" w:color="auto"/>
        <w:right w:val="none" w:sz="0" w:space="0" w:color="auto"/>
      </w:divBdr>
    </w:div>
    <w:div w:id="2078283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1488977A6BC545F89D2B0C2A5E5469F2"/>
        <w:category>
          <w:name w:val="General"/>
          <w:gallery w:val="placeholder"/>
        </w:category>
        <w:types>
          <w:type w:val="bbPlcHdr"/>
        </w:types>
        <w:behaviors>
          <w:behavior w:val="content"/>
        </w:behaviors>
        <w:guid w:val="{17F8092A-CE24-4F2F-9EA2-A33BD8DE9E67}"/>
      </w:docPartPr>
      <w:docPartBody>
        <w:p w:rsidR="001A5CD2" w:rsidRDefault="001A5CD2" w:rsidP="001A5CD2">
          <w:pPr>
            <w:pStyle w:val="1488977A6BC545F89D2B0C2A5E5469F2"/>
          </w:pPr>
          <w:r w:rsidRPr="00184D42">
            <w:rPr>
              <w:rStyle w:val="PlaceholderText"/>
            </w:rPr>
            <w:t>Click or tap here to enter text.</w:t>
          </w:r>
        </w:p>
      </w:docPartBody>
    </w:docPart>
    <w:docPart>
      <w:docPartPr>
        <w:name w:val="EFA9FC438E6647A3A5712404ED2B46C3"/>
        <w:category>
          <w:name w:val="General"/>
          <w:gallery w:val="placeholder"/>
        </w:category>
        <w:types>
          <w:type w:val="bbPlcHdr"/>
        </w:types>
        <w:behaviors>
          <w:behavior w:val="content"/>
        </w:behaviors>
        <w:guid w:val="{605B3FC9-F7F1-46B9-9C4E-732DC76D5945}"/>
      </w:docPartPr>
      <w:docPartBody>
        <w:p w:rsidR="001A5CD2" w:rsidRDefault="001A5CD2" w:rsidP="001A5CD2">
          <w:pPr>
            <w:pStyle w:val="EFA9FC438E6647A3A5712404ED2B46C3"/>
          </w:pPr>
          <w:r w:rsidRPr="00184D42">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57BC5DFB-215C-4EF1-9326-F546AED79BCD}"/>
      </w:docPartPr>
      <w:docPartBody>
        <w:p w:rsidR="001A5CD2" w:rsidRDefault="001A5CD2">
          <w:r w:rsidRPr="00CB523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Neue">
    <w:altName w:val="Sylfaen"/>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 w:name="Sabon Next LT">
    <w:altName w:val="Sabon Next LT"/>
    <w:charset w:val="00"/>
    <w:family w:val="auto"/>
    <w:pitch w:val="variable"/>
    <w:sig w:usb0="A11526FF" w:usb1="D000000B" w:usb2="0001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CD2"/>
    <w:rsid w:val="001A5CD2"/>
    <w:rsid w:val="0073678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A5CD2"/>
    <w:rPr>
      <w:color w:val="666666"/>
    </w:rPr>
  </w:style>
  <w:style w:type="paragraph" w:customStyle="1" w:styleId="1488977A6BC545F89D2B0C2A5E5469F2">
    <w:name w:val="1488977A6BC545F89D2B0C2A5E5469F2"/>
    <w:rsid w:val="001A5CD2"/>
  </w:style>
  <w:style w:type="paragraph" w:customStyle="1" w:styleId="EFA9FC438E6647A3A5712404ED2B46C3">
    <w:name w:val="EFA9FC438E6647A3A5712404ED2B46C3"/>
    <w:rsid w:val="001A5C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D39BB99-CB38-46EB-9E8A-5647DC3FED7C}">
  <we:reference id="f78a3046-9e99-4300-aa2b-5814002b01a2" version="1.55.1.0" store="EXCatalog" storeType="EXCatalog"/>
  <we:alternateReferences>
    <we:reference id="WA104382081" version="1.55.1.0" store="en-AU" storeType="OMEX"/>
  </we:alternateReferences>
  <we:properties>
    <we:property name="MENDELEY_CITATIONS" value="[{&quot;citationID&quot;:&quot;MENDELEY_CITATION_6ae15752-dd8b-40ff-a0ae-905a6d7525db&quot;,&quot;properties&quot;:{&quot;noteIndex&quot;:0},&quot;isEdited&quot;:false,&quot;manualOverride&quot;:{&quot;isManuallyOverridden&quot;:true,&quot;citeprocText&quot;:&quot;(Lambert &amp;#38; Fréchette, 2005)&quot;,&quot;manualOverrideText&quot;:&quot;(see Lambert &amp; Fréchette, 2005)&quot;},&quot;citationTag&quot;:&quot;MENDELEY_CITATION_v3_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&quot;,&quot;citationItems&quot;:[{&quot;id&quot;:&quot;c61e083b-a4dc-35cc-b1e0-e7241c9e0b8d&quot;,&quot;itemData&quot;:{&quot;type&quot;:&quot;article-journal&quot;,&quot;id&quot;:&quot;c61e083b-a4dc-35cc-b1e0-e7241c9e0b8d&quot;,&quot;title&quot;:&quot;Analytical Techniques for Measuring Fluxes of CO2 and CH4 from Hydroelectric Reservoirs and Natural Water Bodies&quot;,&quot;author&quot;:[{&quot;family&quot;:&quot;Lambert&quot;,&quot;given&quot;:&quot;Maryse&quot;,&quot;parse-names&quot;:false,&quot;dropping-particle&quot;:&quot;&quot;,&quot;non-dropping-particle&quot;:&quot;&quot;},{&quot;family&quot;:&quot;Fréchette&quot;,&quot;given&quot;:&quot;Jean-Louis&quot;,&quot;parse-names&quot;:false,&quot;dropping-particle&quot;:&quot;&quot;,&quot;non-dropping-particle&quot;:&quot;&quot;}],&quot;accessed&quot;:{&quot;date-parts&quot;:[[2023,3,22]]},&quot;DOI&quot;:&quot;10.1007/978-3-540-26643-3_3&quot;,&quot;URL&quot;:&quot;https://link.springer.com/chapter/10.1007/978-3-540-26643-3_3&quot;,&quot;issued&quot;:{&quot;date-parts&quot;:[[2005]]},&quot;page&quot;:&quot;37-60&quot;,&quot;abstract&quot;:&quot;Hydro-Québec and its partners have been measuring greenhouse gases (GHG) gross fluxes from hydroelectric reservoirs and natural water bodies since 1993. Over the years the methods have changed with a constant aim for improvement. The methods used are: the thin...&quot;,&quot;publisher&quot;:&quot;Springer, Berlin, Heidelberg&quot;,&quot;container-title-short&quot;:&quot;&quot;},&quot;isTemporary&quot;:false}]},{&quot;citationID&quot;:&quot;MENDELEY_CITATION_d71c2aee-690b-423b-a875-9252893b03c6&quot;,&quot;properties&quot;:{&quot;noteIndex&quot;:0},&quot;isEdited&quot;:false,&quot;manualOverride&quot;:{&quot;isManuallyOverridden&quot;:false,&quot;citeprocText&quot;:&quot;(Reichstein et al., 2005)&quot;,&quot;manualOverrideText&quot;:&quot;&quot;},&quot;citationTag&quot;:&quot;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&quot;,&quot;citationItems&quot;:[{&quot;id&quot;:&quot;1f2d70a1-1726-32f9-8ace-b45fce157ddf&quot;,&quot;itemData&quot;:{&quot;type&quot;:&quot;article-journal&quot;,&quot;id&quot;:&quot;1f2d70a1-1726-32f9-8ace-b45fce157ddf&quot;,&quot;title&quot;:&quot;On the separation of net ecosystem exchange into assimilation and ecosystem respiration: review and improved algorithm&quot;,&quot;author&quot;:[{&quot;family&quot;:&quot;Reichstein&quot;,&quot;given&quot;:&quot;Markus&quot;,&quot;parse-names&quot;:false,&quot;dropping-particle&quot;:&quot;&quot;,&quot;non-dropping-particle&quot;:&quot;&quot;},{&quot;family&quot;:&quot;Falge&quot;,&quot;given&quot;:&quot;Eva&quot;,&quot;parse-names&quot;:false,&quot;dropping-particle&quot;:&quot;&quot;,&quot;non-dropping-particle&quot;:&quot;&quot;},{&quot;family&quot;:&quot;Baldocchi&quot;,&quot;given&quot;:&quot;Dennis&quot;,&quot;parse-names&quot;:false,&quot;dropping-particle&quot;:&quot;&quot;,&quot;non-dropping-particle&quot;:&quot;&quot;},{&quot;family&quot;:&quot;Papale&quot;,&quot;given&quot;:&quot;Dario&quot;,&quot;parse-names&quot;:false,&quot;dropping-particle&quot;:&quot;&quot;,&quot;non-dropping-particle&quot;:&quot;&quot;},{&quot;family&quot;:&quot;Aubinet&quot;,&quot;given&quot;:&quot;Marc&quot;,&quot;parse-names&quot;:false,&quot;dropping-particle&quot;:&quot;&quot;,&quot;non-dropping-particle&quot;:&quot;&quot;},{&quot;family&quot;:&quot;Berbigier&quot;,&quot;given&quot;:&quot;Paul&quot;,&quot;parse-names&quot;:false,&quot;dropping-particle&quot;:&quot;&quot;,&quot;non-dropping-particle&quot;:&quot;&quot;},{&quot;family&quot;:&quot;Bernhofer&quot;,&quot;given&quot;:&quot;Christian&quot;,&quot;parse-names&quot;:false,&quot;dropping-particle&quot;:&quot;&quot;,&quot;non-dropping-particle&quot;:&quot;&quot;},{&quot;family&quot;:&quot;Buchmann&quot;,&quot;given&quot;:&quot;Nina&quot;,&quot;parse-names&quot;:false,&quot;dropping-particle&quot;:&quot;&quot;,&quot;non-dropping-particle&quot;:&quot;&quot;},{&quot;family&quot;:&quot;Gilmanov&quot;,&quot;given&quot;:&quot;Tagir&quot;,&quot;parse-names&quot;:false,&quot;dropping-particle&quot;:&quot;&quot;,&quot;non-dropping-particle&quot;:&quot;&quot;},{&quot;family&quot;:&quot;Granier&quot;,&quot;given&quot;:&quot;André&quot;,&quot;parse-names&quot;:false,&quot;dropping-particle&quot;:&quot;&quot;,&quot;non-dropping-particle&quot;:&quot;&quot;},{&quot;family&quot;:&quot;Grünwald&quot;,&quot;given&quot;:&quot;Thomas&quot;,&quot;parse-names&quot;:false,&quot;dropping-particle&quot;:&quot;&quot;,&quot;non-dropping-particle&quot;:&quot;&quot;},{&quot;family&quot;:&quot;Havránková&quot;,&quot;given&quot;:&quot;Katka&quot;,&quot;parse-names&quot;:false,&quot;dropping-particle&quot;:&quot;&quot;,&quot;non-dropping-particle&quot;:&quot;&quot;},{&quot;family&quot;:&quot;Ilvesniemi&quot;,&quot;given&quot;:&quot;Hannu&quot;,&quot;parse-names&quot;:false,&quot;dropping-particle&quot;:&quot;&quot;,&quot;non-dropping-particle&quot;:&quot;&quot;},{&quot;family&quot;:&quot;Janous&quot;,&quot;given&quot;:&quot;Dalibor&quot;,&quot;parse-names&quot;:false,&quot;dropping-particle&quot;:&quot;&quot;,&quot;non-dropping-particle&quot;:&quot;&quot;},{&quot;family&quot;:&quot;Knohl&quot;,&quot;given&quot;:&quot;Alexander&quot;,&quot;parse-names&quot;:false,&quot;dropping-particle&quot;:&quot;&quot;,&quot;non-dropping-particle&quot;:&quot;&quot;},{&quot;family&quot;:&quot;Laurila&quot;,&quot;given&quot;:&quot;Tuomas&quot;,&quot;parse-names&quot;:false,&quot;dropping-particle&quot;:&quot;&quot;,&quot;non-dropping-particle&quot;:&quot;&quot;},{&quot;family&quot;:&quot;Lohila&quot;,&quot;given&quot;:&quot;Annalea&quot;,&quot;parse-names&quot;:false,&quot;dropping-particle&quot;:&quot;&quot;,&quot;non-dropping-particle&quot;:&quot;&quot;},{&quot;family&quot;:&quot;Loustau&quot;,&quot;given&quot;:&quot;Denis&quot;,&quot;parse-names&quot;:false,&quot;dropping-particle&quot;:&quot;&quot;,&quot;non-dropping-particle&quot;:&quot;&quot;},{&quot;family&quot;:&quot;Matteucci&quot;,&quot;given&quot;:&quot;Giorgio&quot;,&quot;parse-names&quot;:false,&quot;dropping-particle&quot;:&quot;&quot;,&quot;non-dropping-particle&quot;:&quot;&quot;},{&quot;family&quot;:&quot;Meyers&quot;,&quot;given&quot;:&quot;Tilden&quot;,&quot;parse-names&quot;:false,&quot;dropping-particle&quot;:&quot;&quot;,&quot;non-dropping-particle&quot;:&quot;&quot;},{&quot;family&quot;:&quot;Miglietta&quot;,&quot;given&quot;:&quot;Franco&quot;,&quot;parse-names&quot;:false,&quot;dropping-particle&quot;:&quot;&quot;,&quot;non-dropping-particle&quot;:&quot;&quot;},{&quot;family&quot;:&quot;Ourcival&quot;,&quot;given&quot;:&quot;Jean Marc&quot;,&quot;parse-names&quot;:false,&quot;dropping-particle&quot;:&quot;&quot;,&quot;non-dropping-particle&quot;:&quot;&quot;},{&quot;family&quot;:&quot;Pumpanen&quot;,&quot;given&quot;:&quot;Jukka&quot;,&quot;parse-names&quot;:false,&quot;dropping-particle&quot;:&quot;&quot;,&quot;non-dropping-particle&quot;:&quot;&quot;},{&quot;family&quot;:&quot;Rambal&quot;,&quot;given&quot;:&quot;Serge&quot;,&quot;parse-names&quot;:false,&quot;dropping-particle&quot;:&quot;&quot;,&quot;non-dropping-particle&quot;:&quot;&quot;},{&quot;family&quot;:&quot;Rotenberg&quot;,&quot;given&quot;:&quot;Eyal&quot;,&quot;parse-names&quot;:false,&quot;dropping-particle&quot;:&quot;&quot;,&quot;non-dropping-particle&quot;:&quot;&quot;},{&quot;family&quot;:&quot;Sanz&quot;,&quot;given&quot;:&quot;Maria&quot;,&quot;parse-names&quot;:false,&quot;dropping-particle&quot;:&quot;&quot;,&quot;non-dropping-particle&quot;:&quot;&quot;},{&quot;family&quot;:&quot;Tenhunen&quot;,&quot;given&quot;:&quot;John&quot;,&quot;parse-names&quot;:false,&quot;dropping-particle&quot;:&quot;&quot;,&quot;non-dropping-particle&quot;:&quot;&quot;},{&quot;family&quot;:&quot;Seufert&quot;,&quot;given&quot;:&quot;Günther&quot;,&quot;parse-names&quot;:false,&quot;dropping-particle&quot;:&quot;&quot;,&quot;non-dropping-particle&quot;:&quot;&quot;},{&quot;family&quot;:&quot;Vaccari&quot;,&quot;given&quot;:&quot;Francesco&quot;,&quot;parse-names&quot;:false,&quot;dropping-particle&quot;:&quot;&quot;,&quot;non-dropping-particle&quot;:&quot;&quot;},{&quot;family&quot;:&quot;Vesala&quot;,&quot;given&quot;:&quot;Timo&quot;,&quot;parse-names&quot;:false,&quot;dropping-particle&quot;:&quot;&quot;,&quot;non-dropping-particle&quot;:&quot;&quot;},{&quot;family&quot;:&quot;Yakir&quot;,&quot;given&quot;:&quot;Dan&quot;,&quot;parse-names&quot;:false,&quot;dropping-particle&quot;:&quot;&quot;,&quot;non-dropping-particle&quot;:&quot;&quot;},{&quot;family&quot;:&quot;Valentini&quot;,&quot;given&quot;:&quot;Riccardo&quot;,&quot;parse-names&quot;:false,&quot;dropping-particle&quot;:&quot;&quot;,&quot;non-dropping-particle&quot;:&quot;&quot;}],&quot;container-title&quot;:&quot;Global Change Biology&quot;,&quot;container-title-short&quot;:&quot;Glob Chang Biol&quot;,&quot;accessed&quot;:{&quot;date-parts&quot;:[[2023,11,24]]},&quot;DOI&quot;:&quot;10.1111/J.1365-2486.2005.001002.X&quot;,&quot;ISSN&quot;:&quot;1365-2486&quot;,&quot;URL&quot;:&quot;https://onlinelibrary.wiley.com/doi/full/10.1111/j.1365-2486.2005.001002.x&quot;,&quot;issued&quot;:{&quot;date-parts&quot;:[[2005,9,1]]},&quot;page&quot;:&quot;1424-1439&quot;,&quot;abstract&quot;:&quot;This paper discusses the advantages and disadvantages of the different methods that separate net ecosystem exchange (NEE) into its major components, gross ecosystem carbon uptake (GEP) and ecosystem respiration (Reco). In particular, we analyse the effect of the extrapolation of night-time values of ecosystem respiration into the daytime; this is usually done with a temperature response function that is derived from long-term data sets. For this analysis, we used 16 one-year-long data sets of carbon dioxide exchange measurements from European and US-American eddy covariance networks. These sites span from the boreal to Mediterranean climates, and include deciduous and evergreen forest, scrubland and crop ecosystems. We show that the temperature sensitivity of Reco, derived from long-term (annual) data sets, does not reflect the short-term temperature sensitivity that is effective when extrapolating from night- to daytime. Specifically, in summer active ecosystems the long-term temperature sensitivity exceeds the short-term sensitivity. Thus, in those ecosystems, the application of a long-term temperature sensitivity to the extrapolation of respiration from night to day leads to a systematic overestimation of ecosystem respiration from half-hourly to annual time-scales, which can reach &gt;25% for an annual budget and which consequently affects estimates of GEP. Conversely, in summer passive (Mediterranean) ecosystems, the long-term temperature sensitivity is lower than the short-term temperature sensitivity resulting in underestimation of annual sums of respiration. We introduce a new generic algorithm that derives a short-term temperature sensitivity of Reco from eddy covariance data that applies this to the extrapolation from night- to daytime, and that further performs a filling of data gaps that exploits both, the covariance between fluxes and meteorological drivers and the temporal structure of the fluxes. While this algorithm should give less biased estimates of GEP and Reco, we discuss the remaining biases and recommend that eddy covariance measurements are still backed by ancillary flux measurements that can reduce the uncertainties inherent in the eddy covariance data. © 2005 Blackwell Publishing Ltd.&quot;,&quot;publisher&quot;:&quot;John Wiley &amp; Sons, Ltd&quot;,&quot;issue&quot;:&quot;9&quot;,&quot;volume&quot;:&quot;11&quot;},&quot;isTemporary&quot;:false}]},{&quot;citationID&quot;:&quot;MENDELEY_CITATION_cf3d2284-2bd3-4a69-9913-4f9d856d2296&quot;,&quot;properties&quot;:{&quot;noteIndex&quot;:0},&quot;isEdited&quot;:false,&quot;manualOverride&quot;:{&quot;isManuallyOverridden&quot;:true,&quot;citeprocText&quot;:&quot;(Lloyd &amp;#38; Taylor, 1994)&quot;,&quot;manualOverrideText&quot;:&quot;Lloyd &amp; Taylor, (1994)&quot;},&quot;citationTag&quot;:&quot;MENDELEY_CITATION_v3_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&quot;,&quot;citationItems&quot;:[{&quot;id&quot;:&quot;f81ae3d5-eee1-3433-86c3-b20c06dfa53e&quot;,&quot;itemData&quot;:{&quot;type&quot;:&quot;article-journal&quot;,&quot;id&quot;:&quot;f81ae3d5-eee1-3433-86c3-b20c06dfa53e&quot;,&quot;title&quot;:&quot;On the Temperature Dependence of Soil Respiration&quot;,&quot;author&quot;:[{&quot;family&quot;:&quot;Lloyd&quot;,&quot;given&quot;:&quot;J.&quot;,&quot;parse-names&quot;:false,&quot;dropping-particle&quot;:&quot;&quot;,&quot;non-dropping-particle&quot;:&quot;&quot;},{&quot;family&quot;:&quot;Taylor&quot;,&quot;given&quot;:&quot;J. A.&quot;,&quot;parse-names&quot;:false,&quot;dropping-particle&quot;:&quot;&quot;,&quot;non-dropping-particle&quot;:&quot;&quot;}],&quot;container-title&quot;:&quot;Functional Ecology&quot;,&quot;container-title-short&quot;:&quot;Funct Ecol&quot;,&quot;accessed&quot;:{&quot;date-parts&quot;:[[2023,11,28]]},&quot;DOI&quot;:&quot;10.2307/2389824&quot;,&quot;ISSN&quot;:&quot;02698463&quot;,&quot;issued&quot;:{&quot;date-parts&quot;:[[1994,6]]},&quot;page&quot;:&quot;315&quot;,&quot;abstract&quot;:&quot;Summary 1. From previously published measurements of soil respiration rate (R) and tempera-ture (T) the goodness of fit of various R vs T relationships was evaluated. 2. Exponential (Q10) and conventional Arrhenius relationships between T and R can-not provide an unbiased estimate of respiration rate. Nor is a simple linear relationship appropriate. 3. The relationship between R and T can, however, be accurately represented by an Arrhenius type equation where the effective activation energy for respiration varies inversely with temperature. An empirical equation is presented which yields an unbi-ased estimator of respiration rates over a wide range of temperatures. 4. When combined with seasonal estimates of Gross Primary Productivity (GPP) the empirical relationship derived provides representative estimates of the seasonal cycle of net ecosystem productivity and its effects on atmospheric CO2. The predicted sea-sonal cycle of net ecosystem productivity is very sensitive to the assumed respiration vs temperature relationship. 5. For biomes in areas where soil temperatures are low, soil respiration rate is rela-tively more sensitive to fluctuations in temperature. Nevertheless, more information is required before any predictions can be made about changes in soil carbon pools in response to future temperature changes.&quot;,&quot;publisher&quot;:&quot;JSTOR&quot;,&quot;issue&quot;:&quot;3&quot;,&quot;volume&quot;:&quot;8&quot;},&quot;isTemporary&quot;:false}]},{&quot;citationID&quot;:&quot;MENDELEY_CITATION_23bc5bdd-4c31-4b58-ac7d-e69e4952eb8a&quot;,&quot;properties&quot;:{&quot;noteIndex&quot;:0},&quot;isEdited&quot;:false,&quot;manualOverride&quot;:{&quot;isManuallyOverridden&quot;:false,&quot;citeprocText&quot;:&quot;(McDonald, 2009)&quot;,&quot;manualOverrideText&quot;:&quot;&quot;},&quot;citationTag&quot;:&quot;MENDELEY_CITATION_v3_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&quot;,&quot;citationItems&quot;:[{&quot;id&quot;:&quot;513e2a9e-5244-3722-baef-54694a062cd9&quot;,&quot;itemData&quot;:{&quot;type&quot;:&quot;book&quot;,&quot;id&quot;:&quot;513e2a9e-5244-3722-baef-54694a062cd9&quot;,&quot;title&quot;:&quot;Handbook of Biological Statistics&quot;,&quot;author&quot;:[{&quot;family&quot;:&quot;McDonald&quot;,&quot;given&quot;:&quot;J H&quot;,&quot;parse-names&quot;:false,&quot;dropping-particle&quot;:&quot;&quot;,&quot;non-dropping-particle&quot;:&quot;&quot;}],&quot;issued&quot;:{&quot;date-parts&quot;:[[2009]]},&quot;publisher-place&quot;:&quot;Baltimore&quot;,&quot;publisher&quot;:&quot;Sparky House Publishing&quot;,&quot;container-title-short&quot;:&quot;&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Version="6"/>
</file>

<file path=customXml/itemProps1.xml><?xml version="1.0" encoding="utf-8"?>
<ds:datastoreItem xmlns:ds="http://schemas.openxmlformats.org/officeDocument/2006/customXml" ds:itemID="{BE0E98E4-A9EA-4F34-921B-2C288843B8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Pages>
  <Words>1260</Words>
  <Characters>7183</Characters>
  <Application>Microsoft Office Word</Application>
  <DocSecurity>0</DocSecurity>
  <Lines>59</Lines>
  <Paragraphs>16</Paragraphs>
  <ScaleCrop>false</ScaleCrop>
  <Company/>
  <LinksUpToDate>false</LinksUpToDate>
  <CharactersWithSpaces>8427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Treby</dc:creator>
  <cp:keywords/>
  <dc:description/>
  <cp:lastModifiedBy>Sarah Treby</cp:lastModifiedBy>
  <cp:revision>16</cp:revision>
  <dcterms:created xsi:type="dcterms:W3CDTF">2024-06-20T02:01:00Z</dcterms:created>
  <dcterms:modified xsi:type="dcterms:W3CDTF">2024-06-20T03:51:00Z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7046a06c,c0dc55f,1bb969ce</vt:lpwstr>
  </property>
  <property fmtid="{D5CDD505-2E9C-101B-9397-08002B2CF9AE}" pid="3" name="ClassificationContentMarkingHeaderFontProps">
    <vt:lpwstr>#eedc00,12,Calibri</vt:lpwstr>
  </property>
  <property fmtid="{D5CDD505-2E9C-101B-9397-08002B2CF9AE}" pid="4" name="ClassificationContentMarkingHeaderText">
    <vt:lpwstr>RMIT Classification: Trusted</vt:lpwstr>
  </property>
  <property fmtid="{D5CDD505-2E9C-101B-9397-08002B2CF9AE}" pid="5" name="MSIP_Label_8c3d088b-6243-4963-a2e2-8b321ab7f8fc_Enabled">
    <vt:lpwstr>true</vt:lpwstr>
  </property>
  <property fmtid="{D5CDD505-2E9C-101B-9397-08002B2CF9AE}" pid="6" name="MSIP_Label_8c3d088b-6243-4963-a2e2-8b321ab7f8fc_SetDate">
    <vt:lpwstr>2024-06-20T02:02:16Z</vt:lpwstr>
  </property>
  <property fmtid="{D5CDD505-2E9C-101B-9397-08002B2CF9AE}" pid="7" name="MSIP_Label_8c3d088b-6243-4963-a2e2-8b321ab7f8fc_Method">
    <vt:lpwstr>Standard</vt:lpwstr>
  </property>
  <property fmtid="{D5CDD505-2E9C-101B-9397-08002B2CF9AE}" pid="8" name="MSIP_Label_8c3d088b-6243-4963-a2e2-8b321ab7f8fc_Name">
    <vt:lpwstr>Trusted</vt:lpwstr>
  </property>
  <property fmtid="{D5CDD505-2E9C-101B-9397-08002B2CF9AE}" pid="9" name="MSIP_Label_8c3d088b-6243-4963-a2e2-8b321ab7f8fc_SiteId">
    <vt:lpwstr>d1323671-cdbe-4417-b4d4-bdb24b51316b</vt:lpwstr>
  </property>
  <property fmtid="{D5CDD505-2E9C-101B-9397-08002B2CF9AE}" pid="10" name="MSIP_Label_8c3d088b-6243-4963-a2e2-8b321ab7f8fc_ActionId">
    <vt:lpwstr>fb0b9f07-84d2-4eb6-9927-dbe65e78abb8</vt:lpwstr>
  </property>
  <property fmtid="{D5CDD505-2E9C-101B-9397-08002B2CF9AE}" pid="11" name="MSIP_Label_8c3d088b-6243-4963-a2e2-8b321ab7f8fc_ContentBits">
    <vt:lpwstr>1</vt:lpwstr>
  </property>
</Properties>
</file>