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15A" w:rsidRPr="005D6DF4" w:rsidRDefault="009E291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D6DF4">
        <w:rPr>
          <w:rFonts w:ascii="Times New Roman" w:hAnsi="Times New Roman" w:cs="Times New Roman"/>
          <w:b/>
          <w:bCs/>
          <w:sz w:val="24"/>
          <w:szCs w:val="24"/>
          <w:u w:val="single"/>
        </w:rPr>
        <w:t>Highlights</w:t>
      </w:r>
    </w:p>
    <w:p w:rsidR="005D6DF4" w:rsidRP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Various 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immunostimulants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 have been used as additives in fish feed because they enhance growth and immunity. The current work examined the impact of dietary L-threonine and an encapsulated form of butyric acid (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ButiPEARL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) on various aspects of Nile tilapia, </w:t>
      </w:r>
      <w:proofErr w:type="spellStart"/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>Oreochromis</w:t>
      </w:r>
      <w:proofErr w:type="spellEnd"/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 xml:space="preserve"> </w:t>
      </w:r>
      <w:proofErr w:type="spellStart"/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>niloticus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 (</w:t>
      </w:r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 xml:space="preserve">O. </w:t>
      </w:r>
      <w:proofErr w:type="spellStart"/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>niloticus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), including growth performance and immune response.</w:t>
      </w:r>
    </w:p>
    <w:p w:rsid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The supplementation of these feed additives, particularly the group of fish fed a diet containing 0.3g/kg of encapsulated butyric acid (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ButiPEARL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) mixed with 0.48g/kg of L-</w:t>
      </w:r>
      <w:bookmarkStart w:id="0" w:name="_GoBack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threonine</w:t>
      </w:r>
      <w:bookmarkEnd w:id="0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, exhibited the highest values throughout the experiment. </w:t>
      </w:r>
    </w:p>
    <w:p w:rsid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This supplementation significantly enhanced growth performance indicators such as length gain, weight gain, weight gain rate (WGR), specific growth rate (SGR), and feed conversion ratio (FCR). </w:t>
      </w:r>
    </w:p>
    <w:p w:rsid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Furthermore, it positively influenced immunological parameters (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IgM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, albumin, total protein in serum, and nitrous oxide in liver tissue), liver enzymes (ALT, AST in serum), antioxidants (superoxide dismutase and catalase, SDA) and 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malondialdehyde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, MDA in the liver), biochemical assays (plasma glucose concentrations), and digestive enzymes (lipase and amylase) in plasma. Regarding fish farm profitability, a higher net profit can be achieved by maximizing returns while minimizing costs. </w:t>
      </w:r>
    </w:p>
    <w:p w:rsidR="005D6DF4" w:rsidRP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The histology and scanning electron microscopy (SEM) analysis of the </w:t>
      </w:r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 xml:space="preserve">O. </w:t>
      </w:r>
      <w:proofErr w:type="spellStart"/>
      <w:r w:rsidRPr="005D6DF4">
        <w:rPr>
          <w:rFonts w:ascii="Times New Roman" w:eastAsia="Times New Roman" w:hAnsi="Times New Roman" w:cs="Times New Roman"/>
          <w:i/>
          <w:iCs/>
          <w:color w:val="131413"/>
          <w:sz w:val="24"/>
          <w:szCs w:val="24"/>
        </w:rPr>
        <w:t>niloticus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 intestines revealed significant improvements in the length and width of the intestinal villi.</w:t>
      </w:r>
    </w:p>
    <w:p w:rsidR="005D6DF4" w:rsidRPr="005D6DF4" w:rsidRDefault="005D6DF4" w:rsidP="005D6DF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 xml:space="preserve"> The inclusion of L-threonine (0.48g/kg) and encapsulated butyric acid (</w:t>
      </w:r>
      <w:proofErr w:type="spellStart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ButiPEARL</w:t>
      </w:r>
      <w:proofErr w:type="spellEnd"/>
      <w:r w:rsidRPr="005D6DF4">
        <w:rPr>
          <w:rFonts w:ascii="Times New Roman" w:eastAsia="Times New Roman" w:hAnsi="Times New Roman" w:cs="Times New Roman"/>
          <w:color w:val="131413"/>
          <w:sz w:val="24"/>
          <w:szCs w:val="24"/>
        </w:rPr>
        <w:t>) (0.3g/kg) in fish diets can serve as safe, natural, and cost-effective feed additives. A combined inclusion level of these additives is recommended to enhance growth, boost immunity, support liver function, and promote intestinal development.</w:t>
      </w:r>
    </w:p>
    <w:p w:rsidR="00A31036" w:rsidRPr="00A31036" w:rsidRDefault="00A31036">
      <w:pPr>
        <w:rPr>
          <w:rFonts w:ascii="Times New Roman" w:hAnsi="Times New Roman" w:cs="Times New Roman"/>
          <w:sz w:val="28"/>
          <w:szCs w:val="28"/>
        </w:rPr>
      </w:pPr>
    </w:p>
    <w:p w:rsidR="00A31036" w:rsidRDefault="00A31036">
      <w:pPr>
        <w:rPr>
          <w:rFonts w:ascii="Times New Roman" w:hAnsi="Times New Roman" w:cs="Times New Roman"/>
          <w:sz w:val="24"/>
          <w:szCs w:val="24"/>
        </w:rPr>
      </w:pPr>
    </w:p>
    <w:p w:rsidR="00A31036" w:rsidRDefault="00A31036">
      <w:pPr>
        <w:rPr>
          <w:rFonts w:ascii="Times New Roman" w:hAnsi="Times New Roman" w:cs="Times New Roman"/>
          <w:sz w:val="24"/>
          <w:szCs w:val="24"/>
        </w:rPr>
      </w:pPr>
    </w:p>
    <w:p w:rsidR="00A31036" w:rsidRDefault="00A31036">
      <w:pPr>
        <w:rPr>
          <w:rFonts w:ascii="Times New Roman" w:hAnsi="Times New Roman" w:cs="Times New Roman"/>
          <w:sz w:val="24"/>
          <w:szCs w:val="24"/>
        </w:rPr>
      </w:pPr>
    </w:p>
    <w:p w:rsidR="00A31036" w:rsidRDefault="00A31036">
      <w:pPr>
        <w:rPr>
          <w:rFonts w:ascii="Times New Roman" w:hAnsi="Times New Roman" w:cs="Times New Roman"/>
          <w:sz w:val="24"/>
          <w:szCs w:val="24"/>
        </w:rPr>
      </w:pPr>
    </w:p>
    <w:p w:rsidR="00A31036" w:rsidRPr="009E2916" w:rsidRDefault="00A31036">
      <w:pPr>
        <w:rPr>
          <w:rFonts w:ascii="Times New Roman" w:hAnsi="Times New Roman" w:cs="Times New Roman"/>
          <w:sz w:val="24"/>
          <w:szCs w:val="24"/>
        </w:rPr>
      </w:pPr>
    </w:p>
    <w:sectPr w:rsidR="00A31036" w:rsidRPr="009E2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6AB" w:rsidRDefault="00B066AB" w:rsidP="005D6DF4">
      <w:pPr>
        <w:spacing w:after="0" w:line="240" w:lineRule="auto"/>
      </w:pPr>
      <w:r>
        <w:separator/>
      </w:r>
    </w:p>
  </w:endnote>
  <w:endnote w:type="continuationSeparator" w:id="0">
    <w:p w:rsidR="00B066AB" w:rsidRDefault="00B066AB" w:rsidP="005D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6AB" w:rsidRDefault="00B066AB" w:rsidP="005D6DF4">
      <w:pPr>
        <w:spacing w:after="0" w:line="240" w:lineRule="auto"/>
      </w:pPr>
      <w:r>
        <w:separator/>
      </w:r>
    </w:p>
  </w:footnote>
  <w:footnote w:type="continuationSeparator" w:id="0">
    <w:p w:rsidR="00B066AB" w:rsidRDefault="00B066AB" w:rsidP="005D6D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B7B61"/>
    <w:multiLevelType w:val="hybridMultilevel"/>
    <w:tmpl w:val="BC328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45B8D"/>
    <w:multiLevelType w:val="hybridMultilevel"/>
    <w:tmpl w:val="FA9011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3F47A0E"/>
    <w:multiLevelType w:val="hybridMultilevel"/>
    <w:tmpl w:val="DC621642"/>
    <w:lvl w:ilvl="0" w:tplc="8B68A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267EF2"/>
    <w:multiLevelType w:val="hybridMultilevel"/>
    <w:tmpl w:val="BCE41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58"/>
    <w:rsid w:val="00404BD9"/>
    <w:rsid w:val="005D6DF4"/>
    <w:rsid w:val="008050DC"/>
    <w:rsid w:val="00966658"/>
    <w:rsid w:val="009E2916"/>
    <w:rsid w:val="00A31036"/>
    <w:rsid w:val="00B066AB"/>
    <w:rsid w:val="00D406EE"/>
    <w:rsid w:val="00F6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9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6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DF4"/>
  </w:style>
  <w:style w:type="paragraph" w:styleId="Footer">
    <w:name w:val="footer"/>
    <w:basedOn w:val="Normal"/>
    <w:link w:val="FooterChar"/>
    <w:uiPriority w:val="99"/>
    <w:unhideWhenUsed/>
    <w:rsid w:val="005D6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D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9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6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DF4"/>
  </w:style>
  <w:style w:type="paragraph" w:styleId="Footer">
    <w:name w:val="footer"/>
    <w:basedOn w:val="Normal"/>
    <w:link w:val="FooterChar"/>
    <w:uiPriority w:val="99"/>
    <w:unhideWhenUsed/>
    <w:rsid w:val="005D6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xps</dc:creator>
  <cp:lastModifiedBy>xps</cp:lastModifiedBy>
  <cp:revision>4</cp:revision>
  <dcterms:created xsi:type="dcterms:W3CDTF">2023-10-19T18:42:00Z</dcterms:created>
  <dcterms:modified xsi:type="dcterms:W3CDTF">2024-06-19T18:29:00Z</dcterms:modified>
</cp:coreProperties>
</file>