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F0B53E" w14:textId="77777777" w:rsidR="005352CD" w:rsidRPr="001D3EF9" w:rsidRDefault="005352CD" w:rsidP="005352CD">
      <w:pPr>
        <w:rPr>
          <w:rFonts w:ascii="Times New Roman" w:hAnsi="Times New Roman"/>
          <w:sz w:val="20"/>
          <w:lang w:val="en-US"/>
        </w:rPr>
      </w:pPr>
      <w:r w:rsidRPr="001D3EF9">
        <w:rPr>
          <w:rFonts w:ascii="Times New Roman" w:hAnsi="Times New Roman"/>
          <w:sz w:val="20"/>
          <w:lang w:val="en-US"/>
        </w:rPr>
        <w:t>Table 1. The Secondary Data Selection Procedure</w:t>
      </w:r>
    </w:p>
    <w:p w14:paraId="4365BA81" w14:textId="77777777" w:rsidR="005352CD" w:rsidRPr="001D3EF9" w:rsidRDefault="005352CD" w:rsidP="005352CD">
      <w:pPr>
        <w:rPr>
          <w:rFonts w:ascii="Times New Roman" w:hAnsi="Times New Roman"/>
          <w:sz w:val="20"/>
          <w:lang w:val="en-US"/>
        </w:rPr>
      </w:pPr>
    </w:p>
    <w:tbl>
      <w:tblPr>
        <w:tblW w:w="9840" w:type="dxa"/>
        <w:tblBorders>
          <w:top w:val="single" w:sz="6" w:space="0" w:color="8E8E8E"/>
          <w:bottom w:val="single" w:sz="6" w:space="0" w:color="8E8E8E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2"/>
        <w:gridCol w:w="4073"/>
        <w:gridCol w:w="3845"/>
      </w:tblGrid>
      <w:tr w:rsidR="005352CD" w:rsidRPr="001D3EF9" w14:paraId="688BC38E" w14:textId="77777777" w:rsidTr="00DF751B">
        <w:trPr>
          <w:tblHeader/>
        </w:trPr>
        <w:tc>
          <w:tcPr>
            <w:tcW w:w="0" w:type="auto"/>
            <w:tcBorders>
              <w:bottom w:val="single" w:sz="6" w:space="0" w:color="8E8E8E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B0BC6F" w14:textId="77777777" w:rsidR="005352CD" w:rsidRPr="001D3EF9" w:rsidRDefault="005352CD" w:rsidP="00DF751B">
            <w:pPr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  <w:lang w:val="en-US"/>
              </w:rPr>
              <w:t>Variable</w:t>
            </w:r>
          </w:p>
        </w:tc>
        <w:tc>
          <w:tcPr>
            <w:tcW w:w="0" w:type="auto"/>
            <w:tcBorders>
              <w:bottom w:val="single" w:sz="6" w:space="0" w:color="8E8E8E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39B270" w14:textId="77777777" w:rsidR="005352CD" w:rsidRPr="001D3EF9" w:rsidRDefault="005352CD" w:rsidP="00DF751B">
            <w:pPr>
              <w:jc w:val="center"/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  <w:lang w:val="en-US"/>
              </w:rPr>
              <w:t>Inclusion Procedure</w:t>
            </w:r>
          </w:p>
        </w:tc>
        <w:tc>
          <w:tcPr>
            <w:tcW w:w="0" w:type="auto"/>
            <w:tcBorders>
              <w:bottom w:val="single" w:sz="6" w:space="0" w:color="8E8E8E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7F2A6F" w14:textId="77777777" w:rsidR="005352CD" w:rsidRPr="001D3EF9" w:rsidRDefault="005352CD" w:rsidP="00DF751B">
            <w:pPr>
              <w:jc w:val="center"/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  <w:lang w:val="en-US"/>
              </w:rPr>
              <w:t>Exclusion Procedure</w:t>
            </w:r>
          </w:p>
        </w:tc>
      </w:tr>
      <w:tr w:rsidR="005352CD" w:rsidRPr="001D3EF9" w14:paraId="5B6A078E" w14:textId="77777777" w:rsidTr="00DF751B"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DA199E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Databases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15A5FA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Web of Science, ERIC, Scopus, ProQuest Social Science, and ResearchGate Database indexed research articles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8D5105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Web of Science, ERIC, Scopus, ProQuest Social Science, and ResearchGate Database un-indexed research articles</w:t>
            </w:r>
          </w:p>
        </w:tc>
      </w:tr>
      <w:tr w:rsidR="005352CD" w:rsidRPr="001D3EF9" w14:paraId="231B6E49" w14:textId="77777777" w:rsidTr="00DF751B"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B0AB28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Study type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A2C578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Case Studies, Empirical studies, Narrative or scoping review articles, editorial and theoretical studies of philosophy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7E5F50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Commentary, Website</w:t>
            </w:r>
          </w:p>
        </w:tc>
      </w:tr>
      <w:tr w:rsidR="005352CD" w:rsidRPr="001D3EF9" w14:paraId="316B899A" w14:textId="77777777" w:rsidTr="00DF751B"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62A17C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Document Type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DA1060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Journal papers, seminal theoretical books, philosophical books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B3164E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Conference/roundtable/seminar paper</w:t>
            </w:r>
          </w:p>
        </w:tc>
      </w:tr>
      <w:tr w:rsidR="005352CD" w:rsidRPr="001D3EF9" w14:paraId="0EF89273" w14:textId="77777777" w:rsidTr="00DF751B"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8A9591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Research context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988D21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 xml:space="preserve">Any academic research for secondary and higher levels of education that aligns with this research topic 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6B0054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Any academic research for elementary-level</w:t>
            </w:r>
          </w:p>
        </w:tc>
      </w:tr>
      <w:tr w:rsidR="005352CD" w:rsidRPr="001D3EF9" w14:paraId="753C2A5D" w14:textId="77777777" w:rsidTr="00DF751B"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1709E2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Primary Screening Process of Materials</w:t>
            </w:r>
          </w:p>
          <w:p w14:paraId="1BE32794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747211A2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Approximate Materials Number and Publishing Year for Search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1B6EE2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The relevance of titles and abstracts</w:t>
            </w:r>
          </w:p>
          <w:p w14:paraId="5279B7D5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228E3727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44E6A5AA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2</w:t>
            </w:r>
            <w:r>
              <w:rPr>
                <w:rFonts w:ascii="Times New Roman" w:hAnsi="Times New Roman"/>
                <w:sz w:val="20"/>
                <w:lang w:val="en-US"/>
              </w:rPr>
              <w:t>0</w:t>
            </w:r>
            <w:r w:rsidRPr="001D3EF9">
              <w:rPr>
                <w:rFonts w:ascii="Times New Roman" w:hAnsi="Times New Roman"/>
                <w:sz w:val="20"/>
                <w:lang w:val="en-US"/>
              </w:rPr>
              <w:t xml:space="preserve">0 </w:t>
            </w:r>
            <w:r>
              <w:rPr>
                <w:rFonts w:ascii="Times New Roman" w:hAnsi="Times New Roman"/>
                <w:sz w:val="20"/>
                <w:lang w:val="en-US"/>
              </w:rPr>
              <w:t>materials</w:t>
            </w:r>
            <w:r w:rsidRPr="001D3EF9">
              <w:rPr>
                <w:rFonts w:ascii="Times New Roman" w:hAnsi="Times New Roman"/>
                <w:sz w:val="20"/>
                <w:lang w:val="en-US"/>
              </w:rPr>
              <w:t xml:space="preserve"> regarding ethical concerns and artificial intelligence in education have been published within the last ten years until 2024, but for ethical frames, books, and manuscripts are selected regardless of time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6E4412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The irrelevancy of titles and abstracts.</w:t>
            </w:r>
          </w:p>
          <w:p w14:paraId="24365429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534778C4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77F0E92A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  <w:t>Materials</w:t>
            </w:r>
            <w:r w:rsidRPr="001D3EF9">
              <w:rPr>
                <w:rFonts w:ascii="Times New Roman" w:hAnsi="Times New Roman"/>
                <w:sz w:val="20"/>
                <w:lang w:val="en-US"/>
              </w:rPr>
              <w:t xml:space="preserve"> that have not been about AI and ethical concerns in education and published within the last ten years</w:t>
            </w:r>
          </w:p>
          <w:p w14:paraId="702DFB06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2F03FE4E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473FCA2E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5352CD" w:rsidRPr="001D3EF9" w14:paraId="1ED457D8" w14:textId="77777777" w:rsidTr="00DF751B"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3221F5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Final Selection Process of Materials</w:t>
            </w:r>
          </w:p>
          <w:p w14:paraId="3E4D6455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3A0EF0CA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6A383C0A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Final Eligible Materials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64307D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Articles</w:t>
            </w:r>
            <w:r>
              <w:rPr>
                <w:rFonts w:ascii="Times New Roman" w:hAnsi="Times New Roman"/>
                <w:sz w:val="20"/>
                <w:lang w:val="en-US"/>
              </w:rPr>
              <w:t xml:space="preserve"> and books</w:t>
            </w:r>
            <w:r w:rsidRPr="001D3EF9">
              <w:rPr>
                <w:rFonts w:ascii="Times New Roman" w:hAnsi="Times New Roman"/>
                <w:sz w:val="20"/>
                <w:lang w:val="en-US"/>
              </w:rPr>
              <w:t xml:space="preserve"> based on the relevance of titles, abstracts, research questions, literature review, and findings are focused on</w:t>
            </w:r>
          </w:p>
          <w:p w14:paraId="40A4F19E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12D61BCF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N= 60-70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F58CC5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The irrelevancy of titles, abstracts, research questions, literature review, and findings are checked</w:t>
            </w:r>
          </w:p>
          <w:p w14:paraId="792640B9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</w:p>
          <w:p w14:paraId="4B8DED45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When research materials exceeded n= 60-70, items were excluded based on less relevance to the research concerns</w:t>
            </w:r>
          </w:p>
        </w:tc>
      </w:tr>
      <w:tr w:rsidR="005352CD" w:rsidRPr="001D3EF9" w14:paraId="773D77BC" w14:textId="77777777" w:rsidTr="00DF751B"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3AC2E6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Written language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53CBB2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English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BA32D8" w14:textId="77777777" w:rsidR="005352CD" w:rsidRPr="001D3EF9" w:rsidRDefault="005352CD" w:rsidP="00DF751B">
            <w:pPr>
              <w:rPr>
                <w:rFonts w:ascii="Times New Roman" w:hAnsi="Times New Roman"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sz w:val="20"/>
                <w:lang w:val="en-US"/>
              </w:rPr>
              <w:t>Other languages</w:t>
            </w:r>
          </w:p>
        </w:tc>
      </w:tr>
    </w:tbl>
    <w:p w14:paraId="4ABFF387" w14:textId="77777777" w:rsidR="005352CD" w:rsidRDefault="005352CD" w:rsidP="005352CD">
      <w:pPr>
        <w:shd w:val="clear" w:color="auto" w:fill="FFFFFF"/>
        <w:spacing w:before="100" w:beforeAutospacing="1" w:after="100" w:afterAutospacing="1"/>
        <w:outlineLvl w:val="1"/>
        <w:rPr>
          <w:rFonts w:ascii="Times New Roman" w:hAnsi="Times New Roman"/>
          <w:b/>
          <w:bCs/>
          <w:sz w:val="20"/>
        </w:rPr>
      </w:pPr>
    </w:p>
    <w:p w14:paraId="3D884DD4" w14:textId="4290DECB" w:rsidR="005352CD" w:rsidRPr="001D3EF9" w:rsidRDefault="005352CD" w:rsidP="005352CD">
      <w:pPr>
        <w:shd w:val="clear" w:color="auto" w:fill="FFFFFF"/>
        <w:spacing w:before="100" w:beforeAutospacing="1" w:after="100" w:afterAutospacing="1"/>
        <w:outlineLvl w:val="1"/>
        <w:rPr>
          <w:rFonts w:ascii="Times New Roman" w:hAnsi="Times New Roman"/>
          <w:b/>
          <w:bCs/>
          <w:sz w:val="20"/>
        </w:rPr>
      </w:pPr>
      <w:r w:rsidRPr="001D3EF9">
        <w:rPr>
          <w:rFonts w:ascii="Times New Roman" w:hAnsi="Times New Roman"/>
          <w:b/>
          <w:bCs/>
          <w:sz w:val="20"/>
        </w:rPr>
        <w:t>Table 2: Sub-themes of Ethical Concerns and Theoretical Frames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5352CD" w:rsidRPr="001D3EF9" w14:paraId="7CAEE9FF" w14:textId="77777777" w:rsidTr="00DF751B">
        <w:tc>
          <w:tcPr>
            <w:tcW w:w="9468" w:type="dxa"/>
          </w:tcPr>
          <w:p w14:paraId="311E910A" w14:textId="77777777" w:rsidR="005352CD" w:rsidRPr="001D3EF9" w:rsidRDefault="005352CD" w:rsidP="00DF751B">
            <w:pPr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</w:rPr>
              <w:t>Sub-themes that Address Research Questions 1</w:t>
            </w:r>
          </w:p>
        </w:tc>
      </w:tr>
      <w:tr w:rsidR="005352CD" w:rsidRPr="001D3EF9" w14:paraId="591C2088" w14:textId="77777777" w:rsidTr="00DF751B">
        <w:tc>
          <w:tcPr>
            <w:tcW w:w="9468" w:type="dxa"/>
          </w:tcPr>
          <w:p w14:paraId="5D53D2C5" w14:textId="77777777" w:rsidR="005352CD" w:rsidRPr="001D3EF9" w:rsidRDefault="005352CD" w:rsidP="00DF751B">
            <w:pPr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  <w:lang w:val="en-US"/>
              </w:rPr>
              <w:t>Sub-themes of Ethical Concerns in Academia</w:t>
            </w:r>
          </w:p>
          <w:p w14:paraId="73C9C893" w14:textId="77777777" w:rsidR="005352CD" w:rsidRPr="001D3EF9" w:rsidRDefault="005352CD" w:rsidP="00DF751B">
            <w:pPr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</w:p>
          <w:p w14:paraId="1F2096A8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Risk of Plagiarism:</w:t>
            </w:r>
            <w:r w:rsidRPr="001E7219">
              <w:rPr>
                <w:rFonts w:ascii="Times New Roman" w:hAnsi="Times New Roman"/>
                <w:sz w:val="20"/>
              </w:rPr>
              <w:t xml:space="preserve"> The potential for students to use AI-generated text without proper attribution, leading to academic dishonesty.</w:t>
            </w:r>
          </w:p>
          <w:p w14:paraId="40406A32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Compromised Learning Process:</w:t>
            </w:r>
            <w:r w:rsidRPr="001E7219">
              <w:rPr>
                <w:rFonts w:ascii="Times New Roman" w:hAnsi="Times New Roman"/>
                <w:sz w:val="20"/>
              </w:rPr>
              <w:t xml:space="preserve"> Students bypass the learning process by relying on AI tools.</w:t>
            </w:r>
          </w:p>
          <w:p w14:paraId="0236DEBA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Black Box Nature of AI:</w:t>
            </w:r>
            <w:r w:rsidRPr="001E7219">
              <w:rPr>
                <w:rFonts w:ascii="Times New Roman" w:hAnsi="Times New Roman"/>
                <w:sz w:val="20"/>
              </w:rPr>
              <w:t xml:space="preserve"> Limited transparency regarding the data and algorithms used by AI tools.</w:t>
            </w:r>
          </w:p>
          <w:p w14:paraId="0E0B41E4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Ownership Issues:</w:t>
            </w:r>
            <w:r w:rsidRPr="001E7219">
              <w:rPr>
                <w:rFonts w:ascii="Times New Roman" w:hAnsi="Times New Roman"/>
                <w:sz w:val="20"/>
              </w:rPr>
              <w:t xml:space="preserve"> Ambiguity surrounding the ownership and licensing of AI-generated materials.</w:t>
            </w:r>
          </w:p>
          <w:p w14:paraId="60EB83C5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Excessive AI Use:</w:t>
            </w:r>
            <w:r w:rsidRPr="001E7219">
              <w:rPr>
                <w:rFonts w:ascii="Times New Roman" w:hAnsi="Times New Roman"/>
                <w:sz w:val="20"/>
              </w:rPr>
              <w:t xml:space="preserve"> Instead of thoughtful and informed use of AI tools, learners rely on the prompt of AI.</w:t>
            </w:r>
          </w:p>
          <w:p w14:paraId="462B1966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Complementing Critical Thinking:</w:t>
            </w:r>
            <w:r w:rsidRPr="001E7219">
              <w:rPr>
                <w:rFonts w:ascii="Times New Roman" w:hAnsi="Times New Roman"/>
                <w:sz w:val="20"/>
              </w:rPr>
              <w:t xml:space="preserve"> Using AI as a complementary tool to enhance students' critical thinking and writing skills rather than supplementary tools.</w:t>
            </w:r>
          </w:p>
          <w:p w14:paraId="7E7A290E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Clear Policies and Guidelines:</w:t>
            </w:r>
            <w:r w:rsidRPr="001E7219">
              <w:rPr>
                <w:rFonts w:ascii="Times New Roman" w:hAnsi="Times New Roman"/>
                <w:sz w:val="20"/>
              </w:rPr>
              <w:t xml:space="preserve"> Clear policies on the use and attribution of AI-generated content are necessary to ensure an understanding of users’ and stakeholders’ rights and responsibilities.</w:t>
            </w:r>
          </w:p>
          <w:p w14:paraId="2F85F779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lastRenderedPageBreak/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Robust Authentication Methods:</w:t>
            </w:r>
            <w:r w:rsidRPr="001E7219">
              <w:rPr>
                <w:rFonts w:ascii="Times New Roman" w:hAnsi="Times New Roman"/>
                <w:sz w:val="20"/>
              </w:rPr>
              <w:t xml:space="preserve"> There is a need for more robust methods to authenticate students' work and clear guidelines on the acceptable use of AI tools in academic assignments.</w:t>
            </w:r>
          </w:p>
          <w:p w14:paraId="41739A53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Credibility Issues:</w:t>
            </w:r>
            <w:r w:rsidRPr="001E7219">
              <w:rPr>
                <w:rFonts w:ascii="Times New Roman" w:hAnsi="Times New Roman"/>
                <w:sz w:val="20"/>
              </w:rPr>
              <w:t xml:space="preserve"> Credibility problems in the assessment process due to unreliable AI-generated text detection.</w:t>
            </w:r>
          </w:p>
          <w:p w14:paraId="0AF432EE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Distinguishing Content:</w:t>
            </w:r>
            <w:r w:rsidRPr="001E7219">
              <w:rPr>
                <w:rFonts w:ascii="Times New Roman" w:hAnsi="Times New Roman"/>
                <w:sz w:val="20"/>
              </w:rPr>
              <w:t xml:space="preserve"> Difficulties in distinguishing between student-generated and AI-generated content, affecting the accuracy and fairness of grading.</w:t>
            </w:r>
          </w:p>
          <w:p w14:paraId="55528098" w14:textId="77777777" w:rsidR="005352CD" w:rsidRPr="001D3EF9" w:rsidRDefault="005352CD" w:rsidP="00DF751B">
            <w:pPr>
              <w:spacing w:before="100" w:beforeAutospacing="1" w:after="100" w:afterAutospacing="1"/>
              <w:outlineLvl w:val="1"/>
              <w:rPr>
                <w:rFonts w:ascii="Times New Roman" w:hAnsi="Times New Roman"/>
                <w:b/>
                <w:bCs/>
                <w:sz w:val="20"/>
              </w:rPr>
            </w:pPr>
          </w:p>
        </w:tc>
      </w:tr>
    </w:tbl>
    <w:p w14:paraId="2718EF07" w14:textId="77777777" w:rsidR="005352CD" w:rsidRPr="001D3EF9" w:rsidRDefault="005352CD" w:rsidP="005352CD">
      <w:pPr>
        <w:shd w:val="clear" w:color="auto" w:fill="FFFFFF"/>
        <w:spacing w:before="100" w:beforeAutospacing="1" w:after="100" w:afterAutospacing="1"/>
        <w:outlineLvl w:val="1"/>
        <w:rPr>
          <w:rFonts w:ascii="Times New Roman" w:hAnsi="Times New Roman"/>
          <w:b/>
          <w:bCs/>
          <w:sz w:val="20"/>
        </w:rPr>
      </w:pPr>
      <w:r w:rsidRPr="001D3EF9">
        <w:rPr>
          <w:rFonts w:ascii="Times New Roman" w:hAnsi="Times New Roman"/>
          <w:b/>
          <w:bCs/>
          <w:sz w:val="20"/>
        </w:rPr>
        <w:lastRenderedPageBreak/>
        <w:t>Table 3: Sub-themes of Deontological &amp; Teleological Theoretical Frames</w:t>
      </w:r>
    </w:p>
    <w:tbl>
      <w:tblPr>
        <w:tblW w:w="10080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10080"/>
      </w:tblGrid>
      <w:tr w:rsidR="005352CD" w:rsidRPr="001D3EF9" w14:paraId="69D46779" w14:textId="77777777" w:rsidTr="00DF751B">
        <w:trPr>
          <w:trHeight w:val="321"/>
        </w:trPr>
        <w:tc>
          <w:tcPr>
            <w:tcW w:w="10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6AF6C" w14:textId="77777777" w:rsidR="005352CD" w:rsidRPr="001D3EF9" w:rsidRDefault="005352CD" w:rsidP="00DF751B">
            <w:pPr>
              <w:jc w:val="center"/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</w:rPr>
              <w:t>Sub-themes that Address Research Questions 2 &amp; 3</w:t>
            </w:r>
          </w:p>
        </w:tc>
      </w:tr>
      <w:tr w:rsidR="005352CD" w:rsidRPr="001D3EF9" w14:paraId="0A557AA6" w14:textId="77777777" w:rsidTr="00DF751B">
        <w:trPr>
          <w:trHeight w:val="4470"/>
        </w:trPr>
        <w:tc>
          <w:tcPr>
            <w:tcW w:w="10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2715E" w14:textId="77777777" w:rsidR="005352CD" w:rsidRPr="001D3EF9" w:rsidRDefault="005352CD" w:rsidP="00DF751B">
            <w:pPr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  <w:lang w:val="en-US"/>
              </w:rPr>
              <w:t>Sub-themes of the Deontological Ethical Frame</w:t>
            </w:r>
          </w:p>
          <w:p w14:paraId="5113D68C" w14:textId="77777777" w:rsidR="005352CD" w:rsidRPr="001D3EF9" w:rsidRDefault="005352CD" w:rsidP="00DF751B">
            <w:pPr>
              <w:outlineLvl w:val="3"/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</w:p>
          <w:p w14:paraId="011AA9EE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Inherent Morality of Actions:</w:t>
            </w:r>
            <w:r w:rsidRPr="001E7219">
              <w:rPr>
                <w:rFonts w:ascii="Times New Roman" w:hAnsi="Times New Roman"/>
                <w:sz w:val="20"/>
              </w:rPr>
              <w:t xml:space="preserve"> Emphasizes actions are morally right if performed out of respect for moral law.</w:t>
            </w:r>
          </w:p>
          <w:p w14:paraId="76F5C69B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Duty Over Outcome:</w:t>
            </w:r>
            <w:r w:rsidRPr="001E7219">
              <w:rPr>
                <w:rFonts w:ascii="Times New Roman" w:hAnsi="Times New Roman"/>
                <w:sz w:val="20"/>
              </w:rPr>
              <w:t xml:space="preserve"> Actions should be driven by duty rather than the desire for a particular result.</w:t>
            </w:r>
          </w:p>
          <w:p w14:paraId="4DD11C86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Avoidance of Plagiarism:</w:t>
            </w:r>
            <w:r w:rsidRPr="001E7219">
              <w:rPr>
                <w:rFonts w:ascii="Times New Roman" w:hAnsi="Times New Roman"/>
                <w:sz w:val="20"/>
              </w:rPr>
              <w:t xml:space="preserve"> Students should produce original work and properly cite sources</w:t>
            </w:r>
          </w:p>
          <w:p w14:paraId="6A401B91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Value of Learning Process:</w:t>
            </w:r>
            <w:r w:rsidRPr="001E7219">
              <w:rPr>
                <w:rFonts w:ascii="Times New Roman" w:hAnsi="Times New Roman"/>
                <w:sz w:val="20"/>
              </w:rPr>
              <w:t xml:space="preserve"> Value the learning process, aiming for education to enhance knowledge and align it with Socratic and Aristotelian philosophies.</w:t>
            </w:r>
          </w:p>
          <w:p w14:paraId="386E702E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Process Over Outcome:</w:t>
            </w:r>
            <w:r w:rsidRPr="001E7219">
              <w:rPr>
                <w:rFonts w:ascii="Times New Roman" w:hAnsi="Times New Roman"/>
                <w:sz w:val="20"/>
              </w:rPr>
              <w:t xml:space="preserve"> Focus on the morality of the process rather than the outcomes, ensuring actions align with moral duties.</w:t>
            </w:r>
          </w:p>
          <w:p w14:paraId="7FD25AC4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Goodwill and Moral Principles:</w:t>
            </w:r>
            <w:r w:rsidRPr="001E7219">
              <w:rPr>
                <w:rFonts w:ascii="Times New Roman" w:hAnsi="Times New Roman"/>
                <w:sz w:val="20"/>
              </w:rPr>
              <w:t xml:space="preserve"> Acting according to moral principles and performing duties gives actions moral value and proves learners, as rational agents, are capable of making autonomous decisions with ethical awareness.</w:t>
            </w:r>
          </w:p>
          <w:p w14:paraId="43F10B09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Transparency and Ethical Standards:</w:t>
            </w:r>
            <w:r w:rsidRPr="001E7219">
              <w:rPr>
                <w:rFonts w:ascii="Times New Roman" w:hAnsi="Times New Roman"/>
                <w:sz w:val="20"/>
              </w:rPr>
              <w:t xml:space="preserve"> AI users must handle learner data ethically and ensure AI-generated content adheres to ethical guidelines.</w:t>
            </w:r>
          </w:p>
          <w:p w14:paraId="11413F99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Rejecting Unethical Practices:</w:t>
            </w:r>
            <w:r w:rsidRPr="001E7219">
              <w:rPr>
                <w:rFonts w:ascii="Times New Roman" w:hAnsi="Times New Roman"/>
                <w:sz w:val="20"/>
              </w:rPr>
              <w:t xml:space="preserve"> Disregarding AI-generated work that violates deontological principles and awarding value to ethically produced content.</w:t>
            </w:r>
          </w:p>
          <w:p w14:paraId="0F319692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Intrinsic Value of Ethics:</w:t>
            </w:r>
            <w:r w:rsidRPr="001E7219">
              <w:rPr>
                <w:rFonts w:ascii="Times New Roman" w:hAnsi="Times New Roman"/>
                <w:sz w:val="20"/>
              </w:rPr>
              <w:t xml:space="preserve"> Ethics influences behavioral intentions and actions, emphasizing its intrinsic value in all aspects of life.</w:t>
            </w:r>
          </w:p>
          <w:p w14:paraId="7C6A052D" w14:textId="77777777" w:rsidR="005352CD" w:rsidRPr="001E7219" w:rsidRDefault="005352CD" w:rsidP="00DF751B">
            <w:pPr>
              <w:ind w:left="720" w:hanging="360"/>
              <w:outlineLvl w:val="3"/>
              <w:rPr>
                <w:rFonts w:ascii="Times New Roman" w:hAnsi="Times New Roman"/>
                <w:b/>
                <w:bCs/>
                <w:sz w:val="20"/>
              </w:rPr>
            </w:pP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bCs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Comprehensive System of Life:</w:t>
            </w:r>
            <w:r w:rsidRPr="001E7219">
              <w:rPr>
                <w:rFonts w:ascii="Times New Roman" w:hAnsi="Times New Roman"/>
                <w:sz w:val="20"/>
              </w:rPr>
              <w:t xml:space="preserve"> Ethics extends beyond religious settings and applies to all human activities, including academic settings.</w:t>
            </w:r>
          </w:p>
        </w:tc>
      </w:tr>
      <w:tr w:rsidR="005352CD" w:rsidRPr="001D3EF9" w14:paraId="6AB4A705" w14:textId="77777777" w:rsidTr="00DF751B">
        <w:trPr>
          <w:trHeight w:val="5217"/>
        </w:trPr>
        <w:tc>
          <w:tcPr>
            <w:tcW w:w="10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EE9FB" w14:textId="77777777" w:rsidR="005352CD" w:rsidRPr="001D3EF9" w:rsidRDefault="005352CD" w:rsidP="00DF751B">
            <w:pPr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  <w:lang w:val="en-US"/>
              </w:rPr>
              <w:lastRenderedPageBreak/>
              <w:t>Sub-themes of Teleological Ethical Frame</w:t>
            </w:r>
          </w:p>
          <w:p w14:paraId="4A72F416" w14:textId="77777777" w:rsidR="005352CD" w:rsidRPr="001D3EF9" w:rsidRDefault="005352CD" w:rsidP="00DF751B">
            <w:pPr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</w:p>
          <w:p w14:paraId="370AC8C8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Revised Expectations:</w:t>
            </w:r>
            <w:r w:rsidRPr="001E7219">
              <w:rPr>
                <w:rFonts w:ascii="Times New Roman" w:hAnsi="Times New Roman"/>
                <w:sz w:val="20"/>
              </w:rPr>
              <w:t xml:space="preserve"> Feedbackers should revise their expectations to prioritize students' originality and authentic efforts rather than perfection.</w:t>
            </w:r>
          </w:p>
          <w:p w14:paraId="33C583DD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Consequentialist Measures:</w:t>
            </w:r>
            <w:r w:rsidRPr="001E7219">
              <w:rPr>
                <w:rFonts w:ascii="Times New Roman" w:hAnsi="Times New Roman"/>
                <w:sz w:val="20"/>
              </w:rPr>
              <w:t xml:space="preserve"> Grading policies serve as a consequentialist measure, emphasizing the importance of authentic student effort and the positive educational outcomes associated with it.</w:t>
            </w:r>
          </w:p>
          <w:p w14:paraId="3B607BA5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Grading Criteria Adjustment:</w:t>
            </w:r>
            <w:r w:rsidRPr="001E7219">
              <w:rPr>
                <w:rFonts w:ascii="Times New Roman" w:hAnsi="Times New Roman"/>
                <w:sz w:val="20"/>
              </w:rPr>
              <w:t xml:space="preserve"> Grading policies that reflect both the level of students’ originality &amp; AI reliance.</w:t>
            </w:r>
          </w:p>
          <w:p w14:paraId="7F7431EB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Focus on Educational Outcomes:</w:t>
            </w:r>
            <w:r w:rsidRPr="001E7219">
              <w:rPr>
                <w:rFonts w:ascii="Times New Roman" w:hAnsi="Times New Roman"/>
                <w:sz w:val="20"/>
              </w:rPr>
              <w:t xml:space="preserve"> The emphasis is on positive educational outcomes, including learning, understanding, and authentic student engagement.</w:t>
            </w:r>
          </w:p>
          <w:p w14:paraId="27AC016E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Distinguishing AI from Original Work:</w:t>
            </w:r>
            <w:r w:rsidRPr="001E7219">
              <w:rPr>
                <w:rFonts w:ascii="Times New Roman" w:hAnsi="Times New Roman"/>
                <w:sz w:val="20"/>
              </w:rPr>
              <w:t xml:space="preserve"> Techniques to differentiate AI-generated content from student-generated work, such as style comparison with previous students’ works and oral examinations.</w:t>
            </w:r>
          </w:p>
          <w:p w14:paraId="0CBF9296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Balanced Combination of Manual and AI-assisted Assessment:</w:t>
            </w:r>
            <w:r w:rsidRPr="001E7219">
              <w:rPr>
                <w:rFonts w:ascii="Times New Roman" w:hAnsi="Times New Roman"/>
                <w:sz w:val="20"/>
              </w:rPr>
              <w:t xml:space="preserve"> AI-generated feedback has limitations in judging students' originality by only observing the perfection of writing, overlooking the originality of students. A combination of manual and AI assessment can help educators identify the learners' creativity and plagiarism. </w:t>
            </w:r>
          </w:p>
          <w:p w14:paraId="2C672BC2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Awareness and Growth:</w:t>
            </w:r>
            <w:r w:rsidRPr="001E7219">
              <w:rPr>
                <w:rFonts w:ascii="Times New Roman" w:hAnsi="Times New Roman"/>
                <w:sz w:val="20"/>
              </w:rPr>
              <w:t xml:space="preserve"> Teleological assessment helps students become aware of their strengths and areas for improvement by providing actionable steps to enhance performance.</w:t>
            </w:r>
          </w:p>
          <w:p w14:paraId="0D066BD9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Impact on Motivation and Skills:</w:t>
            </w:r>
            <w:r w:rsidRPr="001E7219">
              <w:rPr>
                <w:rFonts w:ascii="Times New Roman" w:hAnsi="Times New Roman"/>
                <w:sz w:val="20"/>
              </w:rPr>
              <w:t xml:space="preserve"> Authentic assessment boosts motivation and enhances metacognitive skills, contributing to a deeper learning experience.</w:t>
            </w:r>
          </w:p>
          <w:p w14:paraId="4A642A6A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Promoting Genuine Learning:</w:t>
            </w:r>
            <w:r w:rsidRPr="001E7219">
              <w:rPr>
                <w:rFonts w:ascii="Times New Roman" w:hAnsi="Times New Roman"/>
                <w:sz w:val="20"/>
              </w:rPr>
              <w:t xml:space="preserve"> Encouraging students to value their learning process and ethical integrity and achieving high grades with minimal effort.</w:t>
            </w:r>
          </w:p>
          <w:p w14:paraId="7FBC0264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Shaping Academic Conduct:</w:t>
            </w:r>
            <w:r w:rsidRPr="001E7219">
              <w:rPr>
                <w:rFonts w:ascii="Times New Roman" w:hAnsi="Times New Roman"/>
                <w:sz w:val="20"/>
              </w:rPr>
              <w:t xml:space="preserve"> Educators' feedback influences students' academic behavior, motivating those who achieve through their efforts and encouraging those who rely on AI to reflect and improve.</w:t>
            </w:r>
          </w:p>
        </w:tc>
      </w:tr>
    </w:tbl>
    <w:p w14:paraId="2F784BDA" w14:textId="77777777" w:rsidR="005352CD" w:rsidRPr="001D3EF9" w:rsidRDefault="005352CD" w:rsidP="005352CD">
      <w:pPr>
        <w:rPr>
          <w:rFonts w:ascii="Times New Roman" w:hAnsi="Times New Roman"/>
          <w:b/>
          <w:bCs/>
          <w:sz w:val="20"/>
          <w:lang w:val="en-US"/>
        </w:rPr>
      </w:pPr>
    </w:p>
    <w:p w14:paraId="3502A64A" w14:textId="77777777" w:rsidR="005352CD" w:rsidRPr="001D3EF9" w:rsidRDefault="005352CD" w:rsidP="005352CD">
      <w:pPr>
        <w:rPr>
          <w:rFonts w:ascii="Times New Roman" w:hAnsi="Times New Roman"/>
          <w:b/>
          <w:bCs/>
          <w:sz w:val="20"/>
          <w:lang w:val="en-US"/>
        </w:rPr>
      </w:pPr>
      <w:r w:rsidRPr="001D3EF9">
        <w:rPr>
          <w:rFonts w:ascii="Times New Roman" w:hAnsi="Times New Roman"/>
          <w:b/>
          <w:bCs/>
          <w:sz w:val="20"/>
          <w:lang w:val="en-US"/>
        </w:rPr>
        <w:t>Table 4: Unexpected Theme as an Additional Support to Ethical Frames</w:t>
      </w:r>
    </w:p>
    <w:p w14:paraId="41B23249" w14:textId="77777777" w:rsidR="005352CD" w:rsidRPr="001D3EF9" w:rsidRDefault="005352CD" w:rsidP="005352CD">
      <w:pPr>
        <w:rPr>
          <w:rFonts w:ascii="Times New Roman" w:hAnsi="Times New Roman"/>
          <w:b/>
          <w:bCs/>
          <w:sz w:val="20"/>
          <w:lang w:val="en-US"/>
        </w:rPr>
      </w:pPr>
    </w:p>
    <w:tbl>
      <w:tblPr>
        <w:tblW w:w="9990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1260"/>
        <w:gridCol w:w="8730"/>
      </w:tblGrid>
      <w:tr w:rsidR="005352CD" w:rsidRPr="001D3EF9" w14:paraId="1AA7FBA2" w14:textId="77777777" w:rsidTr="00DF751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FE658" w14:textId="77777777" w:rsidR="005352CD" w:rsidRPr="001D3EF9" w:rsidRDefault="005352CD" w:rsidP="00DF751B">
            <w:pPr>
              <w:outlineLvl w:val="3"/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  <w:lang w:val="en-US"/>
              </w:rPr>
              <w:t>Unexpected Theme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4B747" w14:textId="77777777" w:rsidR="005352CD" w:rsidRPr="001D3EF9" w:rsidRDefault="005352CD" w:rsidP="00DF751B">
            <w:pPr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  <w:lang w:val="en-US"/>
              </w:rPr>
              <w:t>Sub-themes</w:t>
            </w:r>
          </w:p>
        </w:tc>
      </w:tr>
      <w:tr w:rsidR="005352CD" w:rsidRPr="001D3EF9" w14:paraId="3FA5F63F" w14:textId="77777777" w:rsidTr="00DF751B">
        <w:trPr>
          <w:trHeight w:val="249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D2B5A" w14:textId="77777777" w:rsidR="005352CD" w:rsidRPr="001D3EF9" w:rsidRDefault="005352CD" w:rsidP="00DF751B">
            <w:pPr>
              <w:outlineLvl w:val="3"/>
              <w:rPr>
                <w:rFonts w:ascii="Times New Roman" w:hAnsi="Times New Roman"/>
                <w:b/>
                <w:bCs/>
                <w:sz w:val="20"/>
                <w:lang w:val="en-US"/>
              </w:rPr>
            </w:pPr>
            <w:r w:rsidRPr="001D3EF9">
              <w:rPr>
                <w:rFonts w:ascii="Times New Roman" w:hAnsi="Times New Roman"/>
                <w:b/>
                <w:bCs/>
                <w:sz w:val="20"/>
                <w:lang w:val="en-US"/>
              </w:rPr>
              <w:t>Including ethics lessons into the curriculum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4E9B2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Credibility Issues:</w:t>
            </w:r>
            <w:r w:rsidRPr="001E7219">
              <w:rPr>
                <w:rFonts w:ascii="Times New Roman" w:hAnsi="Times New Roman"/>
                <w:sz w:val="20"/>
              </w:rPr>
              <w:t xml:space="preserve"> Potential credibility problems in the assessment process due to unreliable AI-generated text detection.</w:t>
            </w:r>
          </w:p>
          <w:p w14:paraId="1F262EE1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Robust Authentication Methods:</w:t>
            </w:r>
            <w:r w:rsidRPr="001E7219">
              <w:rPr>
                <w:rFonts w:ascii="Times New Roman" w:hAnsi="Times New Roman"/>
                <w:sz w:val="20"/>
              </w:rPr>
              <w:t xml:space="preserve"> There is a need for more robust methods to authenticate students' work and clear guidelines on the acceptable use of AI tools in academic assignments.</w:t>
            </w:r>
          </w:p>
          <w:p w14:paraId="16E11FB8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Including Ethic Lesson:</w:t>
            </w:r>
            <w:r w:rsidRPr="001E7219">
              <w:rPr>
                <w:rFonts w:ascii="Times New Roman" w:hAnsi="Times New Roman"/>
                <w:sz w:val="20"/>
              </w:rPr>
              <w:t xml:space="preserve"> Integrating AI and ethics lessons into the curriculum and encouraging students to use AI as a supplementary tool to enhance their critical thinking and writing skills rather than as a replacement. </w:t>
            </w:r>
          </w:p>
          <w:p w14:paraId="558A8F3D" w14:textId="77777777" w:rsidR="005352CD" w:rsidRPr="001E7219" w:rsidRDefault="005352CD" w:rsidP="00DF751B">
            <w:pPr>
              <w:ind w:left="720" w:hanging="360"/>
              <w:rPr>
                <w:rFonts w:ascii="Times New Roman" w:hAnsi="Times New Roman"/>
                <w:sz w:val="20"/>
              </w:rPr>
            </w:pPr>
            <w:r w:rsidRPr="001D3EF9">
              <w:rPr>
                <w:rFonts w:ascii="Wingdings" w:eastAsiaTheme="minorHAnsi" w:hAnsi="Wingdings"/>
                <w:sz w:val="20"/>
                <w:lang w:val="en-US"/>
              </w:rPr>
              <w:t></w:t>
            </w:r>
            <w:r w:rsidRPr="001D3EF9">
              <w:rPr>
                <w:rFonts w:ascii="Wingdings" w:eastAsiaTheme="minorHAnsi" w:hAnsi="Wingdings"/>
                <w:sz w:val="20"/>
                <w:lang w:val="en-US"/>
              </w:rPr>
              <w:tab/>
            </w:r>
            <w:r w:rsidRPr="001E7219">
              <w:rPr>
                <w:rFonts w:ascii="Times New Roman" w:hAnsi="Times New Roman"/>
                <w:b/>
                <w:bCs/>
                <w:sz w:val="20"/>
              </w:rPr>
              <w:t>Institutional Guidelines:</w:t>
            </w:r>
            <w:r w:rsidRPr="001E7219">
              <w:rPr>
                <w:rFonts w:ascii="Times New Roman" w:hAnsi="Times New Roman"/>
                <w:sz w:val="20"/>
              </w:rPr>
              <w:t xml:space="preserve"> The necessity for clear policies provides guidelines regarding using and attributing AI-generated content that can inform policy development and institutional guidelines. </w:t>
            </w:r>
          </w:p>
        </w:tc>
      </w:tr>
    </w:tbl>
    <w:p w14:paraId="389C15F2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2CD"/>
    <w:rsid w:val="001C76BA"/>
    <w:rsid w:val="005352CD"/>
    <w:rsid w:val="00773130"/>
    <w:rsid w:val="008A5F7E"/>
    <w:rsid w:val="00F6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5073B"/>
  <w15:chartTrackingRefBased/>
  <w15:docId w15:val="{1D57E2ED-FA97-4D8E-8983-509C62274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2CD"/>
    <w:pPr>
      <w:spacing w:after="0" w:line="240" w:lineRule="auto"/>
    </w:pPr>
    <w:rPr>
      <w:rFonts w:ascii="Courier New" w:eastAsia="Times New Roman" w:hAnsi="Courier New" w:cs="Times New Roman"/>
      <w:kern w:val="0"/>
      <w:sz w:val="24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52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2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2C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2C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2C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2C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2C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2C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2C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2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2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2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2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2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2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2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2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2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2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52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2C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52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2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52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2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52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2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2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2C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5352CD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1126</Words>
  <Characters>6420</Characters>
  <Application>Microsoft Office Word</Application>
  <DocSecurity>0</DocSecurity>
  <Lines>53</Lines>
  <Paragraphs>15</Paragraphs>
  <ScaleCrop>false</ScaleCrop>
  <Company>SpringerNature</Company>
  <LinksUpToDate>false</LinksUpToDate>
  <CharactersWithSpaces>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2024-06-21T04:44:00Z</dcterms:created>
  <dcterms:modified xsi:type="dcterms:W3CDTF">2024-06-21T04:45:00Z</dcterms:modified>
</cp:coreProperties>
</file>