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D15" w:rsidRPr="00D37820" w:rsidRDefault="00406D15" w:rsidP="0075363B">
      <w:pPr>
        <w:widowControl/>
        <w:spacing w:line="480" w:lineRule="exact"/>
        <w:ind w:firstLine="420"/>
        <w:rPr>
          <w:rFonts w:ascii="Times New Roman" w:eastAsia="等线" w:hAnsi="Times New Roman" w:cs="Times New Roman"/>
          <w:color w:val="000000"/>
          <w:kern w:val="0"/>
          <w:sz w:val="24"/>
          <w:szCs w:val="24"/>
        </w:rPr>
      </w:pPr>
      <w:r w:rsidRPr="00D37820">
        <w:rPr>
          <w:rFonts w:ascii="Times New Roman" w:eastAsia="等线" w:hAnsi="Times New Roman" w:cs="Times New Roman"/>
          <w:color w:val="000000"/>
          <w:kern w:val="0"/>
          <w:sz w:val="24"/>
          <w:szCs w:val="24"/>
        </w:rPr>
        <w:t xml:space="preserve">The external dataset of GSE7390 was added for the validation of 17 genetic models. The ROC of the model reached 0.71 or higher in 3, 5, and 10 years, respectively (Fig 1A). The risk groups of the model were </w:t>
      </w:r>
      <w:r w:rsidRPr="00D37820">
        <w:rPr>
          <w:rFonts w:ascii="Times New Roman" w:eastAsia="等线" w:hAnsi="Times New Roman" w:cs="Times New Roman"/>
          <w:color w:val="000000"/>
          <w:kern w:val="0"/>
          <w:sz w:val="24"/>
          <w:szCs w:val="24"/>
        </w:rPr>
        <w:t>partly</w:t>
      </w:r>
      <w:r w:rsidRPr="00D37820">
        <w:rPr>
          <w:rFonts w:ascii="Times New Roman" w:eastAsia="等线" w:hAnsi="Times New Roman" w:cs="Times New Roman"/>
          <w:color w:val="000000"/>
          <w:kern w:val="0"/>
          <w:sz w:val="24"/>
          <w:szCs w:val="24"/>
        </w:rPr>
        <w:t xml:space="preserve"> observed significant differences (Fig 2B).</w:t>
      </w:r>
    </w:p>
    <w:p w:rsidR="009A772C" w:rsidRPr="00D37820" w:rsidRDefault="009A772C" w:rsidP="00DB7BF6">
      <w:pPr>
        <w:widowControl/>
        <w:jc w:val="center"/>
        <w:rPr>
          <w:rFonts w:ascii="Times New Roman" w:eastAsia="等线" w:hAnsi="Times New Roman" w:cs="Times New Roman"/>
          <w:color w:val="000000"/>
          <w:kern w:val="0"/>
          <w:sz w:val="24"/>
          <w:szCs w:val="24"/>
        </w:rPr>
      </w:pPr>
      <w:r w:rsidRPr="00D37820">
        <w:rPr>
          <w:rFonts w:ascii="Times New Roman" w:eastAsia="等线" w:hAnsi="Times New Roman" w:cs="Times New Roman"/>
          <w:noProof/>
          <w:color w:val="000000"/>
          <w:kern w:val="0"/>
          <w:sz w:val="24"/>
          <w:szCs w:val="24"/>
        </w:rPr>
        <w:drawing>
          <wp:inline distT="0" distB="0" distL="0" distR="0">
            <wp:extent cx="5274310" cy="252984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_Fig.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529840"/>
                    </a:xfrm>
                    <a:prstGeom prst="rect">
                      <a:avLst/>
                    </a:prstGeom>
                  </pic:spPr>
                </pic:pic>
              </a:graphicData>
            </a:graphic>
          </wp:inline>
        </w:drawing>
      </w:r>
    </w:p>
    <w:p w:rsidR="00406D15" w:rsidRPr="00D37820" w:rsidRDefault="00406D15" w:rsidP="009A772C">
      <w:pPr>
        <w:widowControl/>
        <w:rPr>
          <w:rFonts w:ascii="Times New Roman" w:eastAsia="等线" w:hAnsi="Times New Roman" w:cs="Times New Roman"/>
          <w:b/>
          <w:color w:val="000000"/>
          <w:kern w:val="0"/>
          <w:sz w:val="24"/>
          <w:szCs w:val="24"/>
        </w:rPr>
      </w:pPr>
      <w:r w:rsidRPr="00D37820">
        <w:rPr>
          <w:rFonts w:ascii="Times New Roman" w:eastAsia="等线" w:hAnsi="Times New Roman" w:cs="Times New Roman"/>
          <w:b/>
          <w:color w:val="000000"/>
          <w:kern w:val="0"/>
          <w:sz w:val="24"/>
          <w:szCs w:val="24"/>
        </w:rPr>
        <w:t>Fig</w:t>
      </w:r>
      <w:r w:rsidR="00D37820">
        <w:rPr>
          <w:rFonts w:ascii="Times New Roman" w:eastAsia="等线" w:hAnsi="Times New Roman" w:cs="Times New Roman"/>
          <w:b/>
          <w:color w:val="000000"/>
          <w:kern w:val="0"/>
          <w:sz w:val="24"/>
          <w:szCs w:val="24"/>
        </w:rPr>
        <w:t>1</w:t>
      </w:r>
      <w:r w:rsidRPr="00D37820">
        <w:rPr>
          <w:rFonts w:ascii="Times New Roman" w:eastAsia="等线" w:hAnsi="Times New Roman" w:cs="Times New Roman"/>
          <w:b/>
          <w:color w:val="000000"/>
          <w:kern w:val="0"/>
          <w:sz w:val="24"/>
          <w:szCs w:val="24"/>
        </w:rPr>
        <w:t>. A: The 3, 5, and 10 year ROC curve of the 17 gene risk model on the GSE7390 data set; B: 17 gene risk model calculates the sample risk score group OS KM curve on the GSE7390 data set. L1-L2-L3 represents a low-medium-high group of risk scores.</w:t>
      </w:r>
    </w:p>
    <w:p w:rsidR="004472DA" w:rsidRPr="00D37820" w:rsidRDefault="00406D15" w:rsidP="0075363B">
      <w:pPr>
        <w:widowControl/>
        <w:spacing w:line="480" w:lineRule="exact"/>
        <w:rPr>
          <w:rFonts w:ascii="Times New Roman" w:eastAsia="等线" w:hAnsi="Times New Roman" w:cs="Times New Roman"/>
          <w:color w:val="000000"/>
          <w:kern w:val="0"/>
          <w:sz w:val="24"/>
          <w:szCs w:val="24"/>
          <w:bdr w:val="none" w:sz="0" w:space="0" w:color="auto" w:frame="1"/>
        </w:rPr>
      </w:pPr>
      <w:r w:rsidRPr="00D37820">
        <w:rPr>
          <w:rFonts w:ascii="Times New Roman" w:eastAsia="等线" w:hAnsi="Times New Roman" w:cs="Times New Roman"/>
          <w:color w:val="000000"/>
          <w:kern w:val="0"/>
          <w:sz w:val="24"/>
          <w:szCs w:val="24"/>
          <w:bdr w:val="none" w:sz="0" w:space="0" w:color="auto" w:frame="1"/>
        </w:rPr>
        <w:t xml:space="preserve">Because there are many prognostic risk models for breast cancer, and the prognosis of different subtypes of breast cancer varies greatly, the models were selected to be compared according to the following criteria: 1) </w:t>
      </w:r>
      <w:r w:rsidR="00907736" w:rsidRPr="00D37820">
        <w:rPr>
          <w:rFonts w:ascii="Times New Roman" w:eastAsia="等线" w:hAnsi="Times New Roman" w:cs="Times New Roman"/>
          <w:color w:val="000000"/>
          <w:kern w:val="0"/>
          <w:sz w:val="24"/>
          <w:szCs w:val="24"/>
          <w:bdr w:val="none" w:sz="0" w:space="0" w:color="auto" w:frame="1"/>
        </w:rPr>
        <w:t>suitable</w:t>
      </w:r>
      <w:r w:rsidRPr="00D37820">
        <w:rPr>
          <w:rFonts w:ascii="Times New Roman" w:eastAsia="等线" w:hAnsi="Times New Roman" w:cs="Times New Roman"/>
          <w:color w:val="000000"/>
          <w:kern w:val="0"/>
          <w:sz w:val="24"/>
          <w:szCs w:val="24"/>
          <w:bdr w:val="none" w:sz="0" w:space="0" w:color="auto" w:frame="1"/>
        </w:rPr>
        <w:t xml:space="preserve"> to all BRCA, not specific subtypes; 2) </w:t>
      </w:r>
      <w:r w:rsidR="00907736" w:rsidRPr="00D37820">
        <w:rPr>
          <w:rFonts w:ascii="Times New Roman" w:eastAsia="等线" w:hAnsi="Times New Roman" w:cs="Times New Roman"/>
          <w:color w:val="000000"/>
          <w:kern w:val="0"/>
          <w:sz w:val="24"/>
          <w:szCs w:val="24"/>
          <w:bdr w:val="none" w:sz="0" w:space="0" w:color="auto" w:frame="1"/>
        </w:rPr>
        <w:t>t</w:t>
      </w:r>
      <w:r w:rsidRPr="00D37820">
        <w:rPr>
          <w:rFonts w:ascii="Times New Roman" w:eastAsia="等线" w:hAnsi="Times New Roman" w:cs="Times New Roman"/>
          <w:color w:val="000000"/>
          <w:kern w:val="0"/>
          <w:sz w:val="24"/>
          <w:szCs w:val="24"/>
          <w:bdr w:val="none" w:sz="0" w:space="0" w:color="auto" w:frame="1"/>
        </w:rPr>
        <w:t xml:space="preserve">he data used </w:t>
      </w:r>
      <w:r w:rsidR="00907736" w:rsidRPr="00D37820">
        <w:rPr>
          <w:rFonts w:ascii="Times New Roman" w:eastAsia="等线" w:hAnsi="Times New Roman" w:cs="Times New Roman"/>
          <w:color w:val="000000"/>
          <w:kern w:val="0"/>
          <w:sz w:val="24"/>
          <w:szCs w:val="24"/>
          <w:bdr w:val="none" w:sz="0" w:space="0" w:color="auto" w:frame="1"/>
        </w:rPr>
        <w:t>to construct</w:t>
      </w:r>
      <w:r w:rsidRPr="00D37820">
        <w:rPr>
          <w:rFonts w:ascii="Times New Roman" w:eastAsia="等线" w:hAnsi="Times New Roman" w:cs="Times New Roman"/>
          <w:color w:val="000000"/>
          <w:kern w:val="0"/>
          <w:sz w:val="24"/>
          <w:szCs w:val="24"/>
          <w:bdr w:val="none" w:sz="0" w:space="0" w:color="auto" w:frame="1"/>
        </w:rPr>
        <w:t xml:space="preserve"> model is gene expression data; 3) the signatures involved in the model are not immune-related. By reviewing the literature</w:t>
      </w:r>
      <w:r w:rsidR="00907736" w:rsidRPr="00D37820">
        <w:rPr>
          <w:rFonts w:ascii="Times New Roman" w:eastAsia="等线" w:hAnsi="Times New Roman" w:cs="Times New Roman"/>
          <w:color w:val="000000"/>
          <w:kern w:val="0"/>
          <w:sz w:val="24"/>
          <w:szCs w:val="24"/>
          <w:bdr w:val="none" w:sz="0" w:space="0" w:color="auto" w:frame="1"/>
          <w:vertAlign w:val="superscript"/>
        </w:rPr>
        <w:t xml:space="preserve"> 1</w:t>
      </w:r>
      <w:r w:rsidRPr="00D37820">
        <w:rPr>
          <w:rFonts w:ascii="Times New Roman" w:eastAsia="等线" w:hAnsi="Times New Roman" w:cs="Times New Roman"/>
          <w:color w:val="000000"/>
          <w:kern w:val="0"/>
          <w:sz w:val="24"/>
          <w:szCs w:val="24"/>
          <w:bdr w:val="none" w:sz="0" w:space="0" w:color="auto" w:frame="1"/>
        </w:rPr>
        <w:t>, four prognostic-related risk models</w:t>
      </w:r>
      <w:r w:rsidR="00907736" w:rsidRPr="00D37820">
        <w:rPr>
          <w:rFonts w:ascii="Times New Roman" w:eastAsia="等线" w:hAnsi="Times New Roman" w:cs="Times New Roman"/>
          <w:color w:val="000000"/>
          <w:kern w:val="0"/>
          <w:sz w:val="24"/>
          <w:szCs w:val="24"/>
          <w:bdr w:val="none" w:sz="0" w:space="0" w:color="auto" w:frame="1"/>
        </w:rPr>
        <w:t xml:space="preserve"> were finally selected</w:t>
      </w:r>
      <w:r w:rsidRPr="00D37820">
        <w:rPr>
          <w:rFonts w:ascii="Times New Roman" w:eastAsia="等线" w:hAnsi="Times New Roman" w:cs="Times New Roman"/>
          <w:color w:val="000000"/>
          <w:kern w:val="0"/>
          <w:sz w:val="24"/>
          <w:szCs w:val="24"/>
          <w:bdr w:val="none" w:sz="0" w:space="0" w:color="auto" w:frame="1"/>
        </w:rPr>
        <w:t xml:space="preserve">: 76-gene signature, 64-gene expression signature, cell cycle pathway signature, and 92-gene predictor </w:t>
      </w:r>
      <w:r w:rsidR="00907736" w:rsidRPr="00D37820">
        <w:rPr>
          <w:rFonts w:ascii="Times New Roman" w:eastAsia="等线" w:hAnsi="Times New Roman" w:cs="Times New Roman"/>
          <w:color w:val="000000"/>
          <w:kern w:val="0"/>
          <w:sz w:val="24"/>
          <w:szCs w:val="24"/>
          <w:bdr w:val="none" w:sz="0" w:space="0" w:color="auto" w:frame="1"/>
        </w:rPr>
        <w:t xml:space="preserve">were </w:t>
      </w:r>
      <w:r w:rsidRPr="00D37820">
        <w:rPr>
          <w:rFonts w:ascii="Times New Roman" w:eastAsia="等线" w:hAnsi="Times New Roman" w:cs="Times New Roman"/>
          <w:color w:val="000000"/>
          <w:kern w:val="0"/>
          <w:sz w:val="24"/>
          <w:szCs w:val="24"/>
          <w:bdr w:val="none" w:sz="0" w:space="0" w:color="auto" w:frame="1"/>
        </w:rPr>
        <w:t>use</w:t>
      </w:r>
      <w:r w:rsidR="00907736" w:rsidRPr="00D37820">
        <w:rPr>
          <w:rFonts w:ascii="Times New Roman" w:eastAsia="等线" w:hAnsi="Times New Roman" w:cs="Times New Roman"/>
          <w:color w:val="000000"/>
          <w:kern w:val="0"/>
          <w:sz w:val="24"/>
          <w:szCs w:val="24"/>
          <w:bdr w:val="none" w:sz="0" w:space="0" w:color="auto" w:frame="1"/>
        </w:rPr>
        <w:t>d to compare</w:t>
      </w:r>
      <w:r w:rsidRPr="00D37820">
        <w:rPr>
          <w:rFonts w:ascii="Times New Roman" w:eastAsia="等线" w:hAnsi="Times New Roman" w:cs="Times New Roman"/>
          <w:color w:val="000000"/>
          <w:kern w:val="0"/>
          <w:sz w:val="24"/>
          <w:szCs w:val="24"/>
          <w:bdr w:val="none" w:sz="0" w:space="0" w:color="auto" w:frame="1"/>
        </w:rPr>
        <w:t xml:space="preserve"> with our </w:t>
      </w:r>
      <w:r w:rsidR="00907736" w:rsidRPr="00D37820">
        <w:rPr>
          <w:rFonts w:ascii="Times New Roman" w:eastAsia="等线" w:hAnsi="Times New Roman" w:cs="Times New Roman"/>
          <w:color w:val="000000"/>
          <w:kern w:val="0"/>
          <w:sz w:val="24"/>
          <w:szCs w:val="24"/>
          <w:bdr w:val="none" w:sz="0" w:space="0" w:color="auto" w:frame="1"/>
        </w:rPr>
        <w:t>“</w:t>
      </w:r>
      <w:r w:rsidRPr="00D37820">
        <w:rPr>
          <w:rFonts w:ascii="Times New Roman" w:eastAsia="等线" w:hAnsi="Times New Roman" w:cs="Times New Roman"/>
          <w:color w:val="000000"/>
          <w:kern w:val="0"/>
          <w:sz w:val="24"/>
          <w:szCs w:val="24"/>
          <w:bdr w:val="none" w:sz="0" w:space="0" w:color="auto" w:frame="1"/>
        </w:rPr>
        <w:t>17-immune related genes</w:t>
      </w:r>
      <w:r w:rsidR="00907736" w:rsidRPr="00D37820">
        <w:rPr>
          <w:rFonts w:ascii="Times New Roman" w:eastAsia="等线" w:hAnsi="Times New Roman" w:cs="Times New Roman"/>
          <w:color w:val="000000"/>
          <w:kern w:val="0"/>
          <w:sz w:val="24"/>
          <w:szCs w:val="24"/>
          <w:bdr w:val="none" w:sz="0" w:space="0" w:color="auto" w:frame="1"/>
        </w:rPr>
        <w:t>”</w:t>
      </w:r>
      <w:r w:rsidRPr="00D37820">
        <w:rPr>
          <w:rFonts w:ascii="Times New Roman" w:eastAsia="等线" w:hAnsi="Times New Roman" w:cs="Times New Roman"/>
          <w:color w:val="000000"/>
          <w:kern w:val="0"/>
          <w:sz w:val="24"/>
          <w:szCs w:val="24"/>
          <w:bdr w:val="none" w:sz="0" w:space="0" w:color="auto" w:frame="1"/>
        </w:rPr>
        <w:t xml:space="preserve"> model. In order to make the models comparable, </w:t>
      </w:r>
      <w:r w:rsidR="00907736" w:rsidRPr="00D37820">
        <w:rPr>
          <w:rFonts w:ascii="Times New Roman" w:eastAsia="等线" w:hAnsi="Times New Roman" w:cs="Times New Roman"/>
          <w:color w:val="000000"/>
          <w:kern w:val="0"/>
          <w:sz w:val="24"/>
          <w:szCs w:val="24"/>
          <w:bdr w:val="none" w:sz="0" w:space="0" w:color="auto" w:frame="1"/>
        </w:rPr>
        <w:t>Based on the corresponding genes in the four models, we calculated the risk scores of each BRCA sample in the TCGA using the same method, evaluated the ROC of each model, and divided the samples into the Risk-H and Risk-L groups based on the median risk score, and the difference in OS prognosis between the two groups were calculated.</w:t>
      </w:r>
      <w:r w:rsidR="00907736" w:rsidRPr="00D37820">
        <w:rPr>
          <w:rFonts w:ascii="Times New Roman" w:eastAsia="等线" w:hAnsi="Times New Roman" w:cs="Times New Roman"/>
          <w:color w:val="000000"/>
          <w:kern w:val="0"/>
          <w:sz w:val="24"/>
          <w:szCs w:val="24"/>
          <w:bdr w:val="none" w:sz="0" w:space="0" w:color="auto" w:frame="1"/>
        </w:rPr>
        <w:t xml:space="preserve"> </w:t>
      </w:r>
      <w:r w:rsidRPr="00D37820">
        <w:rPr>
          <w:rFonts w:ascii="Times New Roman" w:eastAsia="等线" w:hAnsi="Times New Roman" w:cs="Times New Roman"/>
          <w:color w:val="000000"/>
          <w:kern w:val="0"/>
          <w:sz w:val="24"/>
          <w:szCs w:val="24"/>
          <w:bdr w:val="none" w:sz="0" w:space="0" w:color="auto" w:frame="1"/>
        </w:rPr>
        <w:t xml:space="preserve">The ROC and OS-KM curves of the four models are shown in Fig. 2. </w:t>
      </w:r>
      <w:r w:rsidR="00907736" w:rsidRPr="00D37820">
        <w:rPr>
          <w:rFonts w:ascii="Times New Roman" w:eastAsia="等线" w:hAnsi="Times New Roman" w:cs="Times New Roman"/>
          <w:color w:val="000000"/>
          <w:kern w:val="0"/>
          <w:sz w:val="24"/>
          <w:szCs w:val="24"/>
          <w:bdr w:val="none" w:sz="0" w:space="0" w:color="auto" w:frame="1"/>
        </w:rPr>
        <w:t>E</w:t>
      </w:r>
      <w:r w:rsidRPr="00D37820">
        <w:rPr>
          <w:rFonts w:ascii="Times New Roman" w:eastAsia="等线" w:hAnsi="Times New Roman" w:cs="Times New Roman"/>
          <w:color w:val="000000"/>
          <w:kern w:val="0"/>
          <w:sz w:val="24"/>
          <w:szCs w:val="24"/>
          <w:bdr w:val="none" w:sz="0" w:space="0" w:color="auto" w:frame="1"/>
        </w:rPr>
        <w:t xml:space="preserve">xcept for the poor ROC of the cell cycle pathway signature model, the other three </w:t>
      </w:r>
      <w:r w:rsidR="00B7388A" w:rsidRPr="00D37820">
        <w:rPr>
          <w:rFonts w:ascii="Times New Roman" w:eastAsia="等线" w:hAnsi="Times New Roman" w:cs="Times New Roman"/>
          <w:color w:val="000000"/>
          <w:kern w:val="0"/>
          <w:sz w:val="24"/>
          <w:szCs w:val="24"/>
          <w:bdr w:val="none" w:sz="0" w:space="0" w:color="auto" w:frame="1"/>
        </w:rPr>
        <w:t>one</w:t>
      </w:r>
      <w:r w:rsidRPr="00D37820">
        <w:rPr>
          <w:rFonts w:ascii="Times New Roman" w:eastAsia="等线" w:hAnsi="Times New Roman" w:cs="Times New Roman"/>
          <w:color w:val="000000"/>
          <w:kern w:val="0"/>
          <w:sz w:val="24"/>
          <w:szCs w:val="24"/>
          <w:bdr w:val="none" w:sz="0" w:space="0" w:color="auto" w:frame="1"/>
        </w:rPr>
        <w:t xml:space="preserve">s </w:t>
      </w:r>
      <w:r w:rsidRPr="00D37820">
        <w:rPr>
          <w:rFonts w:ascii="Times New Roman" w:eastAsia="等线" w:hAnsi="Times New Roman" w:cs="Times New Roman"/>
          <w:color w:val="000000"/>
          <w:kern w:val="0"/>
          <w:sz w:val="24"/>
          <w:szCs w:val="24"/>
          <w:bdr w:val="none" w:sz="0" w:space="0" w:color="auto" w:frame="1"/>
        </w:rPr>
        <w:lastRenderedPageBreak/>
        <w:t xml:space="preserve">have better ROC (~0.7), </w:t>
      </w:r>
      <w:r w:rsidR="00B7388A" w:rsidRPr="00D37820">
        <w:rPr>
          <w:rFonts w:ascii="Times New Roman" w:eastAsia="等线" w:hAnsi="Times New Roman" w:cs="Times New Roman"/>
          <w:color w:val="000000"/>
          <w:kern w:val="0"/>
          <w:sz w:val="24"/>
          <w:szCs w:val="24"/>
          <w:bdr w:val="none" w:sz="0" w:space="0" w:color="auto" w:frame="1"/>
        </w:rPr>
        <w:t>the Risk-H and Risk-L groups</w:t>
      </w:r>
      <w:r w:rsidR="00B7388A" w:rsidRPr="00D37820">
        <w:rPr>
          <w:rFonts w:ascii="Times New Roman" w:eastAsia="等线" w:hAnsi="Times New Roman" w:cs="Times New Roman"/>
          <w:color w:val="000000"/>
          <w:kern w:val="0"/>
          <w:sz w:val="24"/>
          <w:szCs w:val="24"/>
          <w:bdr w:val="none" w:sz="0" w:space="0" w:color="auto" w:frame="1"/>
        </w:rPr>
        <w:t xml:space="preserve"> has</w:t>
      </w:r>
      <w:r w:rsidRPr="00D37820">
        <w:rPr>
          <w:rFonts w:ascii="Times New Roman" w:eastAsia="等线" w:hAnsi="Times New Roman" w:cs="Times New Roman"/>
          <w:color w:val="000000"/>
          <w:kern w:val="0"/>
          <w:sz w:val="24"/>
          <w:szCs w:val="24"/>
          <w:bdr w:val="none" w:sz="0" w:space="0" w:color="auto" w:frame="1"/>
        </w:rPr>
        <w:t xml:space="preserve"> a significant difference in the OS prognosis (log rank p &lt; 0.05).</w:t>
      </w:r>
    </w:p>
    <w:p w:rsidR="00DB7BF6" w:rsidRPr="00D37820" w:rsidRDefault="00981A53" w:rsidP="00DB7BF6">
      <w:pPr>
        <w:widowControl/>
        <w:jc w:val="center"/>
        <w:rPr>
          <w:rFonts w:ascii="Times New Roman" w:eastAsia="等线" w:hAnsi="Times New Roman" w:cs="Times New Roman"/>
          <w:color w:val="000000"/>
          <w:kern w:val="0"/>
          <w:sz w:val="24"/>
          <w:szCs w:val="24"/>
          <w:bdr w:val="none" w:sz="0" w:space="0" w:color="auto" w:frame="1"/>
        </w:rPr>
      </w:pPr>
      <w:r w:rsidRPr="00D37820">
        <w:rPr>
          <w:rFonts w:ascii="Times New Roman" w:eastAsia="等线" w:hAnsi="Times New Roman" w:cs="Times New Roman"/>
          <w:noProof/>
          <w:color w:val="000000"/>
          <w:kern w:val="0"/>
          <w:sz w:val="24"/>
          <w:szCs w:val="24"/>
          <w:bdr w:val="none" w:sz="0" w:space="0" w:color="auto" w:frame="1"/>
        </w:rPr>
        <w:drawing>
          <wp:inline distT="0" distB="0" distL="0" distR="0">
            <wp:extent cx="5274310" cy="255524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5_Fig.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555240"/>
                    </a:xfrm>
                    <a:prstGeom prst="rect">
                      <a:avLst/>
                    </a:prstGeom>
                  </pic:spPr>
                </pic:pic>
              </a:graphicData>
            </a:graphic>
          </wp:inline>
        </w:drawing>
      </w:r>
    </w:p>
    <w:p w:rsidR="00DB7BF6" w:rsidRPr="00D37820" w:rsidRDefault="00B7388A" w:rsidP="00DB7BF6">
      <w:pPr>
        <w:widowControl/>
        <w:jc w:val="center"/>
        <w:rPr>
          <w:rFonts w:ascii="Times New Roman" w:eastAsia="等线" w:hAnsi="Times New Roman" w:cs="Times New Roman"/>
          <w:b/>
          <w:color w:val="000000"/>
          <w:kern w:val="0"/>
          <w:sz w:val="24"/>
          <w:szCs w:val="24"/>
          <w:bdr w:val="none" w:sz="0" w:space="0" w:color="auto" w:frame="1"/>
        </w:rPr>
      </w:pPr>
      <w:r w:rsidRPr="00D37820">
        <w:rPr>
          <w:rFonts w:ascii="Times New Roman" w:eastAsia="等线" w:hAnsi="Times New Roman" w:cs="Times New Roman"/>
          <w:b/>
          <w:color w:val="000000"/>
          <w:kern w:val="0"/>
          <w:sz w:val="24"/>
          <w:szCs w:val="24"/>
          <w:bdr w:val="none" w:sz="0" w:space="0" w:color="auto" w:frame="1"/>
        </w:rPr>
        <w:t>Fig</w:t>
      </w:r>
      <w:r w:rsidR="00D37820">
        <w:rPr>
          <w:rFonts w:ascii="Times New Roman" w:eastAsia="等线" w:hAnsi="Times New Roman" w:cs="Times New Roman"/>
          <w:b/>
          <w:color w:val="000000"/>
          <w:kern w:val="0"/>
          <w:sz w:val="24"/>
          <w:szCs w:val="24"/>
          <w:bdr w:val="none" w:sz="0" w:space="0" w:color="auto" w:frame="1"/>
        </w:rPr>
        <w:t>2</w:t>
      </w:r>
      <w:r w:rsidRPr="00D37820">
        <w:rPr>
          <w:rFonts w:ascii="Times New Roman" w:eastAsia="等线" w:hAnsi="Times New Roman" w:cs="Times New Roman"/>
          <w:b/>
          <w:color w:val="000000"/>
          <w:kern w:val="0"/>
          <w:sz w:val="24"/>
          <w:szCs w:val="24"/>
          <w:bdr w:val="none" w:sz="0" w:space="0" w:color="auto" w:frame="1"/>
        </w:rPr>
        <w:t>. AB: ROC and KM curves of the 76-gene signature model; CD: ROC and KM curves of the 64-gene expression signature model; EF: ROC and KM curves of the cell cycle pathway signature model; GH: 92-gene predictor model ROC and KM curves.</w:t>
      </w:r>
    </w:p>
    <w:p w:rsidR="00C24F3D" w:rsidRPr="00D37820" w:rsidRDefault="00C24F3D" w:rsidP="0075363B">
      <w:pPr>
        <w:widowControl/>
        <w:spacing w:line="480" w:lineRule="exact"/>
        <w:rPr>
          <w:rFonts w:ascii="Times New Roman" w:eastAsia="等线" w:hAnsi="Times New Roman" w:cs="Times New Roman"/>
          <w:color w:val="000000"/>
          <w:kern w:val="0"/>
          <w:sz w:val="24"/>
          <w:szCs w:val="24"/>
          <w:bdr w:val="none" w:sz="0" w:space="0" w:color="auto" w:frame="1"/>
        </w:rPr>
      </w:pPr>
      <w:r w:rsidRPr="00D37820">
        <w:rPr>
          <w:rFonts w:ascii="Times New Roman" w:eastAsia="等线" w:hAnsi="Times New Roman" w:cs="Times New Roman"/>
          <w:b/>
          <w:color w:val="000000"/>
          <w:kern w:val="0"/>
          <w:sz w:val="24"/>
          <w:szCs w:val="24"/>
          <w:bdr w:val="none" w:sz="0" w:space="0" w:color="auto" w:frame="1"/>
        </w:rPr>
        <w:tab/>
      </w:r>
      <w:r w:rsidR="00B7388A" w:rsidRPr="00D37820">
        <w:rPr>
          <w:rFonts w:ascii="Times New Roman" w:eastAsia="等线" w:hAnsi="Times New Roman" w:cs="Times New Roman"/>
          <w:color w:val="000000"/>
          <w:kern w:val="0"/>
          <w:sz w:val="24"/>
          <w:szCs w:val="24"/>
          <w:bdr w:val="none" w:sz="0" w:space="0" w:color="auto" w:frame="1"/>
        </w:rPr>
        <w:t>In order to compare the predictive performance of these models on BCRA samples, the rms package was used in R software to calculate the concordance index (C-index) in the four models and our model. It can be seen that the c-index of the 17-immune related genes model was highest in the five models. (Fig3), indicating that the model's prediction performance is better than the other ones.</w:t>
      </w:r>
    </w:p>
    <w:p w:rsidR="00C24F3D" w:rsidRPr="00D37820" w:rsidRDefault="00C24F3D" w:rsidP="00C24F3D">
      <w:pPr>
        <w:widowControl/>
        <w:jc w:val="center"/>
        <w:rPr>
          <w:rFonts w:ascii="Times New Roman" w:eastAsia="等线" w:hAnsi="Times New Roman" w:cs="Times New Roman"/>
          <w:color w:val="000000"/>
          <w:kern w:val="0"/>
          <w:sz w:val="24"/>
          <w:szCs w:val="24"/>
          <w:bdr w:val="none" w:sz="0" w:space="0" w:color="auto" w:frame="1"/>
        </w:rPr>
      </w:pPr>
      <w:r w:rsidRPr="00D37820">
        <w:rPr>
          <w:rFonts w:ascii="Times New Roman" w:eastAsia="等线" w:hAnsi="Times New Roman" w:cs="Times New Roman"/>
          <w:noProof/>
          <w:color w:val="000000"/>
          <w:kern w:val="0"/>
          <w:sz w:val="24"/>
          <w:szCs w:val="24"/>
          <w:bdr w:val="none" w:sz="0" w:space="0" w:color="auto" w:frame="1"/>
        </w:rPr>
        <w:lastRenderedPageBreak/>
        <w:drawing>
          <wp:inline distT="0" distB="0" distL="0" distR="0">
            <wp:extent cx="5274310" cy="701103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2_Fig.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7011035"/>
                    </a:xfrm>
                    <a:prstGeom prst="rect">
                      <a:avLst/>
                    </a:prstGeom>
                  </pic:spPr>
                </pic:pic>
              </a:graphicData>
            </a:graphic>
          </wp:inline>
        </w:drawing>
      </w:r>
    </w:p>
    <w:p w:rsidR="00C24F3D" w:rsidRPr="00D37820" w:rsidRDefault="00AB7E61" w:rsidP="00C24F3D">
      <w:pPr>
        <w:widowControl/>
        <w:jc w:val="center"/>
        <w:rPr>
          <w:rFonts w:ascii="Times New Roman" w:eastAsia="等线" w:hAnsi="Times New Roman" w:cs="Times New Roman"/>
          <w:b/>
          <w:color w:val="000000"/>
          <w:kern w:val="0"/>
          <w:sz w:val="24"/>
          <w:szCs w:val="24"/>
          <w:bdr w:val="none" w:sz="0" w:space="0" w:color="auto" w:frame="1"/>
        </w:rPr>
      </w:pPr>
      <w:r w:rsidRPr="00D37820">
        <w:rPr>
          <w:rFonts w:ascii="Times New Roman" w:eastAsia="等线" w:hAnsi="Times New Roman" w:cs="Times New Roman"/>
          <w:b/>
          <w:color w:val="000000"/>
          <w:kern w:val="0"/>
          <w:sz w:val="24"/>
          <w:szCs w:val="24"/>
          <w:bdr w:val="none" w:sz="0" w:space="0" w:color="auto" w:frame="1"/>
        </w:rPr>
        <w:t>Fig3. C-index of 5 models</w:t>
      </w:r>
    </w:p>
    <w:p w:rsidR="0014096E" w:rsidRPr="00D37820" w:rsidRDefault="004603CF" w:rsidP="0014096E">
      <w:pPr>
        <w:spacing w:line="480" w:lineRule="exact"/>
        <w:rPr>
          <w:rFonts w:ascii="Times New Roman" w:eastAsia="等线" w:hAnsi="Times New Roman" w:cs="Times New Roman"/>
          <w:color w:val="000000"/>
          <w:kern w:val="0"/>
          <w:sz w:val="24"/>
          <w:szCs w:val="24"/>
          <w:bdr w:val="none" w:sz="0" w:space="0" w:color="auto" w:frame="1"/>
        </w:rPr>
      </w:pPr>
      <w:r w:rsidRPr="00D37820">
        <w:rPr>
          <w:rFonts w:ascii="Times New Roman" w:hAnsi="Times New Roman" w:cs="Times New Roman"/>
          <w:sz w:val="24"/>
          <w:szCs w:val="24"/>
        </w:rPr>
        <w:tab/>
      </w:r>
      <w:r w:rsidR="00B7388A" w:rsidRPr="00D37820">
        <w:rPr>
          <w:rFonts w:ascii="Times New Roman" w:eastAsia="等线" w:hAnsi="Times New Roman" w:cs="Times New Roman"/>
          <w:color w:val="000000"/>
          <w:kern w:val="0"/>
          <w:sz w:val="24"/>
          <w:szCs w:val="24"/>
          <w:bdr w:val="none" w:sz="0" w:space="0" w:color="auto" w:frame="1"/>
        </w:rPr>
        <w:t>Using the ER+/-, HER2+/-, and PAM50 subtype information provided by the TCGA dataset, we compared the relationship of these features with the 17-immune related genes model. First, the samples were divided into ER negative and ER positive according to the type of ER gene detection. The risk scores of the two groups were evaluated. It was found that there was a significant prognostic difference between Risk-</w:t>
      </w:r>
      <w:r w:rsidR="00B7388A" w:rsidRPr="00D37820">
        <w:rPr>
          <w:rFonts w:ascii="Times New Roman" w:eastAsia="等线" w:hAnsi="Times New Roman" w:cs="Times New Roman"/>
          <w:color w:val="000000"/>
          <w:kern w:val="0"/>
          <w:sz w:val="24"/>
          <w:szCs w:val="24"/>
          <w:bdr w:val="none" w:sz="0" w:space="0" w:color="auto" w:frame="1"/>
        </w:rPr>
        <w:lastRenderedPageBreak/>
        <w:t>H and Risk-L in the ER positive group, but not in ER negative</w:t>
      </w:r>
      <w:r w:rsidR="00AB7E61" w:rsidRPr="00D37820">
        <w:rPr>
          <w:rFonts w:ascii="Times New Roman" w:eastAsia="等线" w:hAnsi="Times New Roman" w:cs="Times New Roman"/>
          <w:color w:val="000000"/>
          <w:kern w:val="0"/>
          <w:sz w:val="24"/>
          <w:szCs w:val="24"/>
          <w:bdr w:val="none" w:sz="0" w:space="0" w:color="auto" w:frame="1"/>
        </w:rPr>
        <w:t xml:space="preserve"> group</w:t>
      </w:r>
      <w:r w:rsidR="00B7388A" w:rsidRPr="00D37820">
        <w:rPr>
          <w:rFonts w:ascii="Times New Roman" w:eastAsia="等线" w:hAnsi="Times New Roman" w:cs="Times New Roman"/>
          <w:color w:val="000000"/>
          <w:kern w:val="0"/>
          <w:sz w:val="24"/>
          <w:szCs w:val="24"/>
          <w:bdr w:val="none" w:sz="0" w:space="0" w:color="auto" w:frame="1"/>
        </w:rPr>
        <w:t>. Fig4A-B). Using the same method, there was a significant prognostic difference between Risk-H and Risk-L in the HER2 negative group, but not in HER2 positive</w:t>
      </w:r>
      <w:r w:rsidR="00AB7E61" w:rsidRPr="00D37820">
        <w:rPr>
          <w:rFonts w:ascii="Times New Roman" w:eastAsia="等线" w:hAnsi="Times New Roman" w:cs="Times New Roman"/>
          <w:color w:val="000000"/>
          <w:kern w:val="0"/>
          <w:sz w:val="24"/>
          <w:szCs w:val="24"/>
          <w:bdr w:val="none" w:sz="0" w:space="0" w:color="auto" w:frame="1"/>
        </w:rPr>
        <w:t xml:space="preserve"> group</w:t>
      </w:r>
      <w:r w:rsidR="00B7388A" w:rsidRPr="00D37820">
        <w:rPr>
          <w:rFonts w:ascii="Times New Roman" w:eastAsia="等线" w:hAnsi="Times New Roman" w:cs="Times New Roman"/>
          <w:color w:val="000000"/>
          <w:kern w:val="0"/>
          <w:sz w:val="24"/>
          <w:szCs w:val="24"/>
          <w:bdr w:val="none" w:sz="0" w:space="0" w:color="auto" w:frame="1"/>
        </w:rPr>
        <w:t xml:space="preserve"> (Fig 4C-D). This suggests that our model performs better in ER positive and HER2 negative subtypes.</w:t>
      </w:r>
    </w:p>
    <w:p w:rsidR="0014096E" w:rsidRPr="00D37820" w:rsidRDefault="004603CF" w:rsidP="0014096E">
      <w:pPr>
        <w:jc w:val="center"/>
        <w:rPr>
          <w:rFonts w:ascii="Times New Roman" w:hAnsi="Times New Roman" w:cs="Times New Roman"/>
          <w:sz w:val="24"/>
          <w:szCs w:val="24"/>
        </w:rPr>
      </w:pPr>
      <w:r w:rsidRPr="00D37820">
        <w:rPr>
          <w:rFonts w:ascii="Times New Roman" w:hAnsi="Times New Roman" w:cs="Times New Roman"/>
          <w:noProof/>
          <w:sz w:val="24"/>
          <w:szCs w:val="24"/>
        </w:rPr>
        <w:drawing>
          <wp:inline distT="0" distB="0" distL="0" distR="0">
            <wp:extent cx="5274310" cy="502983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3_Fig.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029835"/>
                    </a:xfrm>
                    <a:prstGeom prst="rect">
                      <a:avLst/>
                    </a:prstGeom>
                  </pic:spPr>
                </pic:pic>
              </a:graphicData>
            </a:graphic>
          </wp:inline>
        </w:drawing>
      </w:r>
    </w:p>
    <w:p w:rsidR="0014096E" w:rsidRPr="00D37820" w:rsidRDefault="00AB7E61" w:rsidP="0014096E">
      <w:pPr>
        <w:jc w:val="center"/>
        <w:rPr>
          <w:rFonts w:ascii="Times New Roman" w:hAnsi="Times New Roman" w:cs="Times New Roman"/>
          <w:b/>
          <w:sz w:val="24"/>
          <w:szCs w:val="24"/>
        </w:rPr>
      </w:pPr>
      <w:r w:rsidRPr="00D37820">
        <w:rPr>
          <w:rFonts w:ascii="Times New Roman" w:hAnsi="Times New Roman" w:cs="Times New Roman"/>
          <w:b/>
          <w:sz w:val="24"/>
          <w:szCs w:val="24"/>
        </w:rPr>
        <w:t>Fig</w:t>
      </w:r>
      <w:r w:rsidR="00D37820">
        <w:rPr>
          <w:rFonts w:ascii="Times New Roman" w:hAnsi="Times New Roman" w:cs="Times New Roman"/>
          <w:b/>
          <w:sz w:val="24"/>
          <w:szCs w:val="24"/>
        </w:rPr>
        <w:t>4</w:t>
      </w:r>
      <w:r w:rsidRPr="00D37820">
        <w:rPr>
          <w:rFonts w:ascii="Times New Roman" w:hAnsi="Times New Roman" w:cs="Times New Roman"/>
          <w:b/>
          <w:sz w:val="24"/>
          <w:szCs w:val="24"/>
        </w:rPr>
        <w:t>. A-B: KM curve in Risk-H and Risk-L samples of ER negative or ER positive; C-D: KM curves in Risk-H and Risk-L samples of HER2 negative or HER2 positive.</w:t>
      </w:r>
    </w:p>
    <w:p w:rsidR="00926FD1" w:rsidRPr="00D37820" w:rsidRDefault="0014096E" w:rsidP="00926FD1">
      <w:pPr>
        <w:spacing w:line="480" w:lineRule="exact"/>
        <w:rPr>
          <w:rFonts w:ascii="Times New Roman" w:eastAsia="等线" w:hAnsi="Times New Roman" w:cs="Times New Roman"/>
          <w:color w:val="000000"/>
          <w:kern w:val="0"/>
          <w:sz w:val="24"/>
          <w:szCs w:val="24"/>
          <w:bdr w:val="none" w:sz="0" w:space="0" w:color="auto" w:frame="1"/>
        </w:rPr>
      </w:pPr>
      <w:r w:rsidRPr="00D37820">
        <w:rPr>
          <w:rFonts w:ascii="Times New Roman" w:hAnsi="Times New Roman" w:cs="Times New Roman"/>
          <w:b/>
          <w:sz w:val="24"/>
          <w:szCs w:val="24"/>
        </w:rPr>
        <w:tab/>
      </w:r>
      <w:r w:rsidR="00AB7E61" w:rsidRPr="00D37820">
        <w:rPr>
          <w:rFonts w:ascii="Times New Roman" w:eastAsia="等线" w:hAnsi="Times New Roman" w:cs="Times New Roman"/>
          <w:color w:val="000000"/>
          <w:kern w:val="0"/>
          <w:sz w:val="24"/>
          <w:szCs w:val="24"/>
          <w:bdr w:val="none" w:sz="0" w:space="0" w:color="auto" w:frame="1"/>
        </w:rPr>
        <w:t>PAM50 is a classic subtype in BRCA, including Basal like, HER2 enriched, Luminal A, Luminal B, and Normal-like. The relationship between PAM50 subtype and 17-immune related genes was evaluate, and it showed that Luminal A or Luminal B subtype had significant prognostic differences between Risk-H and Risk-L samples, while Basal like or HER2 enriched subtype was not observed difference (Fig.5). There w</w:t>
      </w:r>
      <w:r w:rsidR="00D37820" w:rsidRPr="00D37820">
        <w:rPr>
          <w:rFonts w:ascii="Times New Roman" w:eastAsia="等线" w:hAnsi="Times New Roman" w:cs="Times New Roman"/>
          <w:color w:val="000000"/>
          <w:kern w:val="0"/>
          <w:sz w:val="24"/>
          <w:szCs w:val="24"/>
          <w:bdr w:val="none" w:sz="0" w:space="0" w:color="auto" w:frame="1"/>
        </w:rPr>
        <w:t>ere</w:t>
      </w:r>
      <w:r w:rsidR="00AB7E61" w:rsidRPr="00D37820">
        <w:rPr>
          <w:rFonts w:ascii="Times New Roman" w:eastAsia="等线" w:hAnsi="Times New Roman" w:cs="Times New Roman"/>
          <w:color w:val="000000"/>
          <w:kern w:val="0"/>
          <w:sz w:val="24"/>
          <w:szCs w:val="24"/>
          <w:bdr w:val="none" w:sz="0" w:space="0" w:color="auto" w:frame="1"/>
        </w:rPr>
        <w:t xml:space="preserve"> only 8 Normal</w:t>
      </w:r>
      <w:r w:rsidR="00D37820" w:rsidRPr="00D37820">
        <w:rPr>
          <w:rFonts w:ascii="Times New Roman" w:eastAsia="等线" w:hAnsi="Times New Roman" w:cs="Times New Roman"/>
          <w:color w:val="000000"/>
          <w:kern w:val="0"/>
          <w:sz w:val="24"/>
          <w:szCs w:val="24"/>
          <w:bdr w:val="none" w:sz="0" w:space="0" w:color="auto" w:frame="1"/>
        </w:rPr>
        <w:t>-</w:t>
      </w:r>
      <w:r w:rsidR="00AB7E61" w:rsidRPr="00D37820">
        <w:rPr>
          <w:rFonts w:ascii="Times New Roman" w:eastAsia="等线" w:hAnsi="Times New Roman" w:cs="Times New Roman"/>
          <w:color w:val="000000"/>
          <w:kern w:val="0"/>
          <w:sz w:val="24"/>
          <w:szCs w:val="24"/>
          <w:bdr w:val="none" w:sz="0" w:space="0" w:color="auto" w:frame="1"/>
        </w:rPr>
        <w:t>like subtype sample</w:t>
      </w:r>
      <w:r w:rsidR="00D37820" w:rsidRPr="00D37820">
        <w:rPr>
          <w:rFonts w:ascii="Times New Roman" w:eastAsia="等线" w:hAnsi="Times New Roman" w:cs="Times New Roman"/>
          <w:color w:val="000000"/>
          <w:kern w:val="0"/>
          <w:sz w:val="24"/>
          <w:szCs w:val="24"/>
          <w:bdr w:val="none" w:sz="0" w:space="0" w:color="auto" w:frame="1"/>
        </w:rPr>
        <w:t>s</w:t>
      </w:r>
      <w:r w:rsidR="00AB7E61" w:rsidRPr="00D37820">
        <w:rPr>
          <w:rFonts w:ascii="Times New Roman" w:eastAsia="等线" w:hAnsi="Times New Roman" w:cs="Times New Roman"/>
          <w:color w:val="000000"/>
          <w:kern w:val="0"/>
          <w:sz w:val="24"/>
          <w:szCs w:val="24"/>
          <w:bdr w:val="none" w:sz="0" w:space="0" w:color="auto" w:frame="1"/>
        </w:rPr>
        <w:t xml:space="preserve"> and not included in the analysis).</w:t>
      </w:r>
    </w:p>
    <w:p w:rsidR="00560463" w:rsidRPr="00D37820" w:rsidRDefault="00560463" w:rsidP="00560463">
      <w:pPr>
        <w:jc w:val="center"/>
        <w:rPr>
          <w:rFonts w:ascii="Times New Roman" w:hAnsi="Times New Roman" w:cs="Times New Roman"/>
          <w:b/>
          <w:sz w:val="24"/>
          <w:szCs w:val="24"/>
        </w:rPr>
      </w:pPr>
      <w:r w:rsidRPr="00D37820">
        <w:rPr>
          <w:rFonts w:ascii="Times New Roman" w:hAnsi="Times New Roman" w:cs="Times New Roman"/>
          <w:b/>
          <w:noProof/>
          <w:sz w:val="24"/>
          <w:szCs w:val="24"/>
        </w:rPr>
        <w:lastRenderedPageBreak/>
        <w:drawing>
          <wp:inline distT="0" distB="0" distL="0" distR="0">
            <wp:extent cx="5274310" cy="448246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4_Fig.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4482465"/>
                    </a:xfrm>
                    <a:prstGeom prst="rect">
                      <a:avLst/>
                    </a:prstGeom>
                  </pic:spPr>
                </pic:pic>
              </a:graphicData>
            </a:graphic>
          </wp:inline>
        </w:drawing>
      </w:r>
    </w:p>
    <w:p w:rsidR="00560463" w:rsidRPr="00D37820" w:rsidRDefault="00D37820" w:rsidP="00560463">
      <w:pPr>
        <w:jc w:val="center"/>
        <w:rPr>
          <w:rFonts w:ascii="Times New Roman" w:hAnsi="Times New Roman" w:cs="Times New Roman"/>
          <w:b/>
          <w:sz w:val="24"/>
          <w:szCs w:val="24"/>
        </w:rPr>
      </w:pPr>
      <w:r w:rsidRPr="00D37820">
        <w:rPr>
          <w:rFonts w:ascii="Times New Roman" w:hAnsi="Times New Roman" w:cs="Times New Roman"/>
          <w:b/>
          <w:sz w:val="24"/>
          <w:szCs w:val="24"/>
        </w:rPr>
        <w:t>Fig</w:t>
      </w:r>
      <w:r>
        <w:rPr>
          <w:rFonts w:ascii="Times New Roman" w:hAnsi="Times New Roman" w:cs="Times New Roman"/>
          <w:b/>
          <w:sz w:val="24"/>
          <w:szCs w:val="24"/>
        </w:rPr>
        <w:t>5</w:t>
      </w:r>
      <w:r w:rsidRPr="00D37820">
        <w:rPr>
          <w:rFonts w:ascii="Times New Roman" w:hAnsi="Times New Roman" w:cs="Times New Roman"/>
          <w:b/>
          <w:sz w:val="24"/>
          <w:szCs w:val="24"/>
        </w:rPr>
        <w:t xml:space="preserve">. A-D: The KM curves of the Risk-H and Risk-L samples in </w:t>
      </w:r>
      <w:r w:rsidRPr="00D37820">
        <w:rPr>
          <w:rFonts w:ascii="Times New Roman" w:hAnsi="Times New Roman" w:cs="Times New Roman"/>
          <w:b/>
          <w:sz w:val="24"/>
          <w:szCs w:val="24"/>
        </w:rPr>
        <w:t>PAM50</w:t>
      </w:r>
      <w:r w:rsidRPr="00D37820">
        <w:rPr>
          <w:rFonts w:ascii="Times New Roman" w:hAnsi="Times New Roman" w:cs="Times New Roman"/>
          <w:b/>
          <w:sz w:val="24"/>
          <w:szCs w:val="24"/>
        </w:rPr>
        <w:t xml:space="preserve"> subtype, including Basal like, HER2 enriched, Luminal A and Luminal B.</w:t>
      </w:r>
    </w:p>
    <w:p w:rsidR="0014096E" w:rsidRPr="00D37820" w:rsidRDefault="0014096E" w:rsidP="0014096E">
      <w:pPr>
        <w:rPr>
          <w:rFonts w:ascii="Times New Roman" w:hAnsi="Times New Roman" w:cs="Times New Roman"/>
          <w:b/>
          <w:sz w:val="24"/>
          <w:szCs w:val="24"/>
        </w:rPr>
      </w:pPr>
    </w:p>
    <w:p w:rsidR="00D37820" w:rsidRPr="00D37820" w:rsidRDefault="00D37820" w:rsidP="00D37820">
      <w:pPr>
        <w:rPr>
          <w:rFonts w:ascii="Times New Roman" w:hAnsi="Times New Roman" w:cs="Times New Roman"/>
          <w:sz w:val="24"/>
          <w:szCs w:val="24"/>
        </w:rPr>
      </w:pPr>
      <w:r w:rsidRPr="00D37820">
        <w:rPr>
          <w:rFonts w:ascii="Times New Roman" w:hAnsi="Times New Roman" w:cs="Times New Roman" w:hint="eastAsia"/>
          <w:sz w:val="24"/>
          <w:szCs w:val="24"/>
        </w:rPr>
        <w:t>R</w:t>
      </w:r>
      <w:r w:rsidRPr="00D37820">
        <w:rPr>
          <w:rFonts w:ascii="Times New Roman" w:hAnsi="Times New Roman" w:cs="Times New Roman"/>
          <w:sz w:val="24"/>
          <w:szCs w:val="24"/>
        </w:rPr>
        <w:t>eference</w:t>
      </w:r>
    </w:p>
    <w:p w:rsidR="00D37820" w:rsidRPr="00D37820" w:rsidRDefault="00D37820" w:rsidP="00D37820">
      <w:pPr>
        <w:rPr>
          <w:rFonts w:ascii="Times New Roman" w:hAnsi="Times New Roman" w:cs="Times New Roman"/>
          <w:sz w:val="24"/>
          <w:szCs w:val="24"/>
        </w:rPr>
      </w:pPr>
      <w:r w:rsidRPr="00D37820">
        <w:rPr>
          <w:rFonts w:ascii="Times New Roman" w:hAnsi="Times New Roman" w:cs="Times New Roman"/>
          <w:sz w:val="24"/>
          <w:szCs w:val="24"/>
        </w:rPr>
        <w:t>1: Huang S, Murphy L, Xu W. Genes and functions from breast cancer signatures.</w:t>
      </w:r>
    </w:p>
    <w:p w:rsidR="0014096E" w:rsidRPr="00D37820" w:rsidRDefault="00D37820" w:rsidP="00D37820">
      <w:pPr>
        <w:rPr>
          <w:rFonts w:ascii="Times New Roman" w:hAnsi="Times New Roman" w:cs="Times New Roman"/>
          <w:sz w:val="24"/>
          <w:szCs w:val="24"/>
        </w:rPr>
      </w:pPr>
      <w:r w:rsidRPr="00D37820">
        <w:rPr>
          <w:rFonts w:ascii="Times New Roman" w:hAnsi="Times New Roman" w:cs="Times New Roman"/>
          <w:sz w:val="24"/>
          <w:szCs w:val="24"/>
        </w:rPr>
        <w:t>BMC Cancer. 2018 Apr 27</w:t>
      </w:r>
      <w:r w:rsidRPr="00D37820">
        <w:rPr>
          <w:rFonts w:ascii="Times New Roman" w:hAnsi="Times New Roman" w:cs="Times New Roman"/>
          <w:sz w:val="24"/>
          <w:szCs w:val="24"/>
        </w:rPr>
        <w:t>; 18</w:t>
      </w:r>
      <w:r w:rsidRPr="00D37820">
        <w:rPr>
          <w:rFonts w:ascii="Times New Roman" w:hAnsi="Times New Roman" w:cs="Times New Roman"/>
          <w:sz w:val="24"/>
          <w:szCs w:val="24"/>
        </w:rPr>
        <w:t>(1):473.</w:t>
      </w:r>
      <w:bookmarkStart w:id="0" w:name="_GoBack"/>
      <w:bookmarkEnd w:id="0"/>
    </w:p>
    <w:sectPr w:rsidR="0014096E" w:rsidRPr="00D378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984" w:rsidRDefault="00102984" w:rsidP="00406D15">
      <w:r>
        <w:separator/>
      </w:r>
    </w:p>
  </w:endnote>
  <w:endnote w:type="continuationSeparator" w:id="0">
    <w:p w:rsidR="00102984" w:rsidRDefault="00102984" w:rsidP="00406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984" w:rsidRDefault="00102984" w:rsidP="00406D15">
      <w:r>
        <w:separator/>
      </w:r>
    </w:p>
  </w:footnote>
  <w:footnote w:type="continuationSeparator" w:id="0">
    <w:p w:rsidR="00102984" w:rsidRDefault="00102984" w:rsidP="00406D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3DD"/>
    <w:rsid w:val="00097D64"/>
    <w:rsid w:val="00102984"/>
    <w:rsid w:val="001332BA"/>
    <w:rsid w:val="0014096E"/>
    <w:rsid w:val="001D0BF0"/>
    <w:rsid w:val="00406D15"/>
    <w:rsid w:val="004472DA"/>
    <w:rsid w:val="004603CF"/>
    <w:rsid w:val="00560463"/>
    <w:rsid w:val="0075363B"/>
    <w:rsid w:val="00906F1D"/>
    <w:rsid w:val="00907736"/>
    <w:rsid w:val="00926FD1"/>
    <w:rsid w:val="00981A53"/>
    <w:rsid w:val="009A772C"/>
    <w:rsid w:val="009E3ED9"/>
    <w:rsid w:val="00AB7E61"/>
    <w:rsid w:val="00B313DD"/>
    <w:rsid w:val="00B7388A"/>
    <w:rsid w:val="00C24F3D"/>
    <w:rsid w:val="00D37820"/>
    <w:rsid w:val="00DB7BF6"/>
    <w:rsid w:val="00F62561"/>
    <w:rsid w:val="00FA4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CAD077-97A7-43DB-A04F-312ABEB24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06D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06D15"/>
    <w:rPr>
      <w:sz w:val="18"/>
      <w:szCs w:val="18"/>
    </w:rPr>
  </w:style>
  <w:style w:type="paragraph" w:styleId="a4">
    <w:name w:val="footer"/>
    <w:basedOn w:val="a"/>
    <w:link w:val="Char0"/>
    <w:uiPriority w:val="99"/>
    <w:unhideWhenUsed/>
    <w:rsid w:val="00406D15"/>
    <w:pPr>
      <w:tabs>
        <w:tab w:val="center" w:pos="4153"/>
        <w:tab w:val="right" w:pos="8306"/>
      </w:tabs>
      <w:snapToGrid w:val="0"/>
      <w:jc w:val="left"/>
    </w:pPr>
    <w:rPr>
      <w:sz w:val="18"/>
      <w:szCs w:val="18"/>
    </w:rPr>
  </w:style>
  <w:style w:type="character" w:customStyle="1" w:styleId="Char0">
    <w:name w:val="页脚 Char"/>
    <w:basedOn w:val="a0"/>
    <w:link w:val="a4"/>
    <w:uiPriority w:val="99"/>
    <w:rsid w:val="00406D1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098750">
      <w:bodyDiv w:val="1"/>
      <w:marLeft w:val="0"/>
      <w:marRight w:val="0"/>
      <w:marTop w:val="0"/>
      <w:marBottom w:val="0"/>
      <w:divBdr>
        <w:top w:val="none" w:sz="0" w:space="0" w:color="auto"/>
        <w:left w:val="none" w:sz="0" w:space="0" w:color="auto"/>
        <w:bottom w:val="none" w:sz="0" w:space="0" w:color="auto"/>
        <w:right w:val="none" w:sz="0" w:space="0" w:color="auto"/>
      </w:divBdr>
      <w:divsChild>
        <w:div w:id="992832072">
          <w:marLeft w:val="0"/>
          <w:marRight w:val="0"/>
          <w:marTop w:val="0"/>
          <w:marBottom w:val="0"/>
          <w:divBdr>
            <w:top w:val="none" w:sz="0" w:space="0" w:color="auto"/>
            <w:left w:val="none" w:sz="0" w:space="0" w:color="auto"/>
            <w:bottom w:val="none" w:sz="0" w:space="0" w:color="auto"/>
            <w:right w:val="none" w:sz="0" w:space="0" w:color="auto"/>
          </w:divBdr>
        </w:div>
        <w:div w:id="2004818798">
          <w:marLeft w:val="0"/>
          <w:marRight w:val="0"/>
          <w:marTop w:val="0"/>
          <w:marBottom w:val="0"/>
          <w:divBdr>
            <w:top w:val="none" w:sz="0" w:space="0" w:color="auto"/>
            <w:left w:val="none" w:sz="0" w:space="0" w:color="auto"/>
            <w:bottom w:val="none" w:sz="0" w:space="0" w:color="auto"/>
            <w:right w:val="none" w:sz="0" w:space="0" w:color="auto"/>
          </w:divBdr>
        </w:div>
        <w:div w:id="1764255619">
          <w:marLeft w:val="0"/>
          <w:marRight w:val="0"/>
          <w:marTop w:val="0"/>
          <w:marBottom w:val="0"/>
          <w:divBdr>
            <w:top w:val="none" w:sz="0" w:space="0" w:color="auto"/>
            <w:left w:val="none" w:sz="0" w:space="0" w:color="auto"/>
            <w:bottom w:val="none" w:sz="0" w:space="0" w:color="auto"/>
            <w:right w:val="none" w:sz="0" w:space="0" w:color="auto"/>
          </w:divBdr>
        </w:div>
        <w:div w:id="1047998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613</Words>
  <Characters>3495</Characters>
  <Application>Microsoft Office Word</Application>
  <DocSecurity>0</DocSecurity>
  <Lines>29</Lines>
  <Paragraphs>8</Paragraphs>
  <ScaleCrop>false</ScaleCrop>
  <Company>Microsoft</Company>
  <LinksUpToDate>false</LinksUpToDate>
  <CharactersWithSpaces>4100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金 实</cp:lastModifiedBy>
  <cp:revision>2</cp:revision>
  <dcterms:created xsi:type="dcterms:W3CDTF">2019-06-26T16:27:00Z</dcterms:created>
  <dcterms:modified xsi:type="dcterms:W3CDTF">2019-06-26T16:27:00Z</dcterms:modified>
</cp:coreProperties>
</file>