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29F59E" w14:textId="77777777" w:rsidR="00A264AE" w:rsidRDefault="00A264AE" w:rsidP="00A264AE">
      <w:pPr>
        <w:ind w:hanging="640"/>
        <w:jc w:val="center"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Supplementary Information</w:t>
      </w:r>
      <w:r>
        <w:br w:type="page"/>
      </w:r>
    </w:p>
    <w:p w14:paraId="71C09772" w14:textId="77777777" w:rsidR="00A264AE" w:rsidRDefault="00A264AE" w:rsidP="00A264AE">
      <w:pPr>
        <w:spacing w:line="480" w:lineRule="auto"/>
        <w:rPr>
          <w:rFonts w:ascii="Times New Roman" w:hAnsi="Times New Roman"/>
        </w:rPr>
      </w:pPr>
      <w:r>
        <w:rPr>
          <w:noProof/>
        </w:rPr>
        <w:lastRenderedPageBreak/>
        <w:drawing>
          <wp:inline distT="0" distB="0" distL="0" distR="0" wp14:anchorId="7D5020D8" wp14:editId="060904BE">
            <wp:extent cx="5943600" cy="3618230"/>
            <wp:effectExtent l="0" t="0" r="0" b="0"/>
            <wp:docPr id="6" name="Picture 1102033720" descr="A picture containing text, line, diagram, pl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1102033720" descr="A picture containing text, line, diagram, plo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18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SFig. 1.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Phytoplankton nutrient to carbon (X:C) ratio for new growth as a function of dissolved ambient nutrient concentration [X]. </w:t>
      </w:r>
      <w:bookmarkStart w:id="0" w:name="_Int_4mWGCYmP"/>
      <w:r>
        <w:rPr>
          <w:rFonts w:ascii="Times New Roman" w:eastAsia="Times New Roman" w:hAnsi="Times New Roman" w:cs="Times New Roman"/>
          <w:sz w:val="24"/>
          <w:szCs w:val="24"/>
        </w:rPr>
        <w:t>XOpt</w:t>
      </w:r>
      <w:bookmarkEnd w:id="0"/>
      <w:r>
        <w:rPr>
          <w:rFonts w:ascii="Times New Roman" w:eastAsia="Times New Roman" w:hAnsi="Times New Roman" w:cs="Times New Roman"/>
          <w:sz w:val="24"/>
          <w:szCs w:val="24"/>
        </w:rPr>
        <w:t xml:space="preserve"> determines the dissolved ambient nutrient concentration at which phytoplankton X:C reaches it maximum value (gQx_max). X:C decreases linearly with decreasing dissolved nutrient concentration between the prescribed, group-specific maximum (gQx_max) and minimum (</w:t>
      </w:r>
      <w:bookmarkStart w:id="1" w:name="_Int_4jJV8p7L"/>
      <w:r>
        <w:rPr>
          <w:rFonts w:ascii="Times New Roman" w:eastAsia="Times New Roman" w:hAnsi="Times New Roman" w:cs="Times New Roman"/>
          <w:sz w:val="24"/>
          <w:szCs w:val="24"/>
        </w:rPr>
        <w:t>gQx_min</w:t>
      </w:r>
      <w:bookmarkEnd w:id="1"/>
      <w:r>
        <w:rPr>
          <w:rFonts w:ascii="Times New Roman" w:eastAsia="Times New Roman" w:hAnsi="Times New Roman" w:cs="Times New Roman"/>
          <w:sz w:val="24"/>
          <w:szCs w:val="24"/>
        </w:rPr>
        <w:t>) quotas. X here applies for nitrogen, phosphorus, iron, and silica.</w:t>
      </w:r>
      <w:r>
        <w:rPr>
          <w:noProof/>
        </w:rPr>
        <w:lastRenderedPageBreak/>
        <w:drawing>
          <wp:inline distT="0" distB="0" distL="0" distR="0" wp14:anchorId="2307B3AF" wp14:editId="7984FF10">
            <wp:extent cx="5943600" cy="2962275"/>
            <wp:effectExtent l="0" t="0" r="0" b="0"/>
            <wp:docPr id="7" name="Imag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6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62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SFig 2. </w:t>
      </w:r>
      <w:bookmarkStart w:id="2" w:name="_Hlk148608550"/>
      <w:r>
        <w:rPr>
          <w:rFonts w:ascii="Times New Roman" w:eastAsia="Times New Roman" w:hAnsi="Times New Roman" w:cs="Times New Roman"/>
          <w:sz w:val="24"/>
          <w:szCs w:val="24"/>
        </w:rPr>
        <w:t>Observed and simulated phytoplankton and organic matter stoichiometry (A-C) and surface nutrients (D-F) for GO-SHIP cruise transect AMT28 in the Atlantic. Observed particulate organic matter stoichiometry from GO-POPCORNv2 is shown as individual blue dots and smoothed as the blue line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23</w:t>
      </w:r>
      <w:r>
        <w:rPr>
          <w:rFonts w:ascii="Times New Roman" w:eastAsia="Times New Roman" w:hAnsi="Times New Roman" w:cs="Times New Roman"/>
          <w:sz w:val="24"/>
          <w:szCs w:val="24"/>
        </w:rPr>
        <w:t>. Simulated phytoplankton surface community and export at 100m stoichiometries are shown as the dotted and solid yellow lines respectively (A-C). Observed surface nutrients from GO-POPCORNv2 are also shown for dissolved nitrate and phosphate as blue dots, while model surface nitrate, iron, and phosphate are shown as yellow lines (D-F).</w:t>
      </w:r>
      <w:bookmarkEnd w:id="2"/>
    </w:p>
    <w:p w14:paraId="047EE3BC" w14:textId="77777777" w:rsidR="00A264AE" w:rsidRDefault="00A264AE" w:rsidP="00A264AE">
      <w:pPr>
        <w:spacing w:line="480" w:lineRule="auto"/>
        <w:rPr>
          <w:rFonts w:ascii="Times New Roman" w:hAnsi="Times New Roman"/>
        </w:rPr>
      </w:pPr>
      <w:r>
        <w:rPr>
          <w:noProof/>
        </w:rPr>
        <w:lastRenderedPageBreak/>
        <w:drawing>
          <wp:inline distT="0" distB="0" distL="0" distR="0" wp14:anchorId="7E39F561" wp14:editId="10879216">
            <wp:extent cx="5943600" cy="2962275"/>
            <wp:effectExtent l="0" t="0" r="0" b="0"/>
            <wp:docPr id="8" name="Imag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62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SFig 3. </w:t>
      </w:r>
      <w:r>
        <w:rPr>
          <w:rFonts w:ascii="Times New Roman" w:eastAsia="Times New Roman" w:hAnsi="Times New Roman" w:cs="Times New Roman"/>
          <w:sz w:val="24"/>
          <w:szCs w:val="24"/>
        </w:rPr>
        <w:t>Observed and simulated phytoplankton and organic matter stoichiometry (A-C) and surface nutrients (D-F) for GO-SHIP cruise transect C13_5 in the Atlantic. Observed particulate organic matter stoichiometry from GO-POPCORNv2 is shown as individual blue dots and smoothed as the blue line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23</w:t>
      </w:r>
      <w:r>
        <w:rPr>
          <w:rFonts w:ascii="Times New Roman" w:eastAsia="Times New Roman" w:hAnsi="Times New Roman" w:cs="Times New Roman"/>
          <w:sz w:val="24"/>
          <w:szCs w:val="24"/>
        </w:rPr>
        <w:t>. Simulated phytoplankton surface community and export at 100m stoichiometries are shown as the dotted and solid yellow lines respectively (A-C). Observed surface nutrients from GO-POPCORNv2 are also shown for dissolved nitrate and phosphate as blue dots, while model surface nitrate, iron, and phosphate are shown as yellow lines (D-F).</w:t>
      </w:r>
    </w:p>
    <w:p w14:paraId="12F34564" w14:textId="77777777" w:rsidR="00A264AE" w:rsidRDefault="00A264AE" w:rsidP="00A264AE">
      <w:pPr>
        <w:spacing w:line="480" w:lineRule="auto"/>
        <w:rPr>
          <w:rFonts w:ascii="Times New Roman" w:hAnsi="Times New Roman"/>
        </w:rPr>
      </w:pPr>
      <w:r>
        <w:rPr>
          <w:noProof/>
        </w:rPr>
        <w:lastRenderedPageBreak/>
        <w:drawing>
          <wp:inline distT="0" distB="0" distL="0" distR="0" wp14:anchorId="3BFC159B" wp14:editId="50D5BD50">
            <wp:extent cx="5943600" cy="2962275"/>
            <wp:effectExtent l="0" t="0" r="0" b="0"/>
            <wp:docPr id="9" name="Imag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8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62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SFig. 4. </w:t>
      </w:r>
      <w:r>
        <w:rPr>
          <w:rFonts w:ascii="Times New Roman" w:eastAsia="Times New Roman" w:hAnsi="Times New Roman" w:cs="Times New Roman"/>
          <w:sz w:val="24"/>
          <w:szCs w:val="24"/>
        </w:rPr>
        <w:t>Observed and simulated phytoplankton and organic matter stoichiometry (A-C) and surface nutrients (D-F) for GO-SHIP cruise transect I7N in the eastern Indian Ocean. Observed particulate organic matter stoichiometry from GO-POPCORNv2 is shown as individual blue dots and smoothed as the blue line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23</w:t>
      </w:r>
      <w:r>
        <w:rPr>
          <w:rFonts w:ascii="Times New Roman" w:eastAsia="Times New Roman" w:hAnsi="Times New Roman" w:cs="Times New Roman"/>
          <w:sz w:val="24"/>
          <w:szCs w:val="24"/>
        </w:rPr>
        <w:t>. Simulated phytoplankton surface community and export at 100m stoichiometries are shown as the dotted and solid yellow lines respectively (A-C). Observed surface nutrients from GO-POPCORNv2 are also shown for dissolved nitrate and phosphate as blue dots, while model surface nitrate, iron, and phosphate are shown as yellow lines (D-F).</w:t>
      </w:r>
    </w:p>
    <w:p w14:paraId="19B9D99C" w14:textId="77777777" w:rsidR="00A264AE" w:rsidRDefault="00A264AE" w:rsidP="00A264AE">
      <w:pPr>
        <w:spacing w:line="480" w:lineRule="auto"/>
        <w:rPr>
          <w:rFonts w:ascii="Times New Roman" w:hAnsi="Times New Roman"/>
        </w:rPr>
      </w:pPr>
      <w:r>
        <w:rPr>
          <w:noProof/>
        </w:rPr>
        <w:lastRenderedPageBreak/>
        <w:drawing>
          <wp:inline distT="0" distB="0" distL="0" distR="0" wp14:anchorId="32CC9662" wp14:editId="6DB1EBCA">
            <wp:extent cx="5943600" cy="2962275"/>
            <wp:effectExtent l="0" t="0" r="0" b="0"/>
            <wp:docPr id="10" name="Imag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9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62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SFig. 5. </w:t>
      </w:r>
      <w:r>
        <w:rPr>
          <w:rFonts w:ascii="Times New Roman" w:eastAsia="Times New Roman" w:hAnsi="Times New Roman" w:cs="Times New Roman"/>
          <w:sz w:val="24"/>
          <w:szCs w:val="24"/>
        </w:rPr>
        <w:t>Observed and simulated phytoplankton and organic matter stoichiometry (A-C) and surface nutrients (D-F) for GO-SHIP cruise transect I9N in the western Indian Ocean. Observed particulate organic matter stoichiometry from GO-POPCORNv2 is shown as individual blue dots and smoothed as the blue line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23</w:t>
      </w:r>
      <w:r>
        <w:rPr>
          <w:rFonts w:ascii="Times New Roman" w:eastAsia="Times New Roman" w:hAnsi="Times New Roman" w:cs="Times New Roman"/>
          <w:sz w:val="24"/>
          <w:szCs w:val="24"/>
        </w:rPr>
        <w:t>. Simulated phytoplankton surface community and export at 100m stoichiometries are shown as the dotted and solid yellow lines respectively (A-C). Observed surface nutrients from GO-POPCORNv2 are also shown for dissolved nitrate and phosphate as blue dots, while model surface nitrate, iron, and phosphate are shown as yellow lines (D-F).</w:t>
      </w:r>
    </w:p>
    <w:p w14:paraId="09DDE5B4" w14:textId="77777777" w:rsidR="00A264AE" w:rsidRDefault="00A264AE" w:rsidP="00A264AE">
      <w:pPr>
        <w:spacing w:line="480" w:lineRule="auto"/>
        <w:rPr>
          <w:rFonts w:ascii="Times New Roman" w:hAnsi="Times New Roman"/>
        </w:rPr>
      </w:pPr>
      <w:r>
        <w:br w:type="page"/>
      </w:r>
    </w:p>
    <w:p w14:paraId="20C1EE6E" w14:textId="77777777" w:rsidR="00A264AE" w:rsidRDefault="00A264AE" w:rsidP="00A264AE">
      <w:pPr>
        <w:spacing w:line="480" w:lineRule="auto"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A)</w:t>
      </w:r>
      <w:r>
        <w:rPr>
          <w:noProof/>
        </w:rPr>
        <w:drawing>
          <wp:inline distT="0" distB="0" distL="0" distR="0" wp14:anchorId="5DAF9B71" wp14:editId="34EB3005">
            <wp:extent cx="2480310" cy="2141855"/>
            <wp:effectExtent l="0" t="0" r="0" b="0"/>
            <wp:docPr id="11" name="Image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0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0310" cy="2141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B)</w:t>
      </w:r>
      <w:r>
        <w:rPr>
          <w:noProof/>
        </w:rPr>
        <w:drawing>
          <wp:inline distT="0" distB="0" distL="0" distR="0" wp14:anchorId="3D9DEDDC" wp14:editId="6EBAD3AE">
            <wp:extent cx="2408555" cy="2141855"/>
            <wp:effectExtent l="0" t="0" r="0" b="0"/>
            <wp:docPr id="12" name="Image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1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8555" cy="2141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E4A2BD" w14:textId="77777777" w:rsidR="00A264AE" w:rsidRDefault="00A264AE" w:rsidP="00A264AE">
      <w:pPr>
        <w:spacing w:line="480" w:lineRule="auto"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C)</w:t>
      </w:r>
      <w:r>
        <w:rPr>
          <w:noProof/>
        </w:rPr>
        <w:drawing>
          <wp:inline distT="0" distB="0" distL="0" distR="0" wp14:anchorId="1057B459" wp14:editId="0FAE70CF">
            <wp:extent cx="2408555" cy="2141855"/>
            <wp:effectExtent l="0" t="0" r="0" b="0"/>
            <wp:docPr id="13" name="Image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2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8555" cy="2141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D)</w:t>
      </w:r>
      <w:r>
        <w:rPr>
          <w:noProof/>
        </w:rPr>
        <w:drawing>
          <wp:inline distT="0" distB="0" distL="0" distR="0" wp14:anchorId="322A6AB3" wp14:editId="204C2308">
            <wp:extent cx="2408555" cy="2141855"/>
            <wp:effectExtent l="0" t="0" r="0" b="0"/>
            <wp:docPr id="14" name="Image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3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8555" cy="2141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441004" w14:textId="77777777" w:rsidR="00A264AE" w:rsidRDefault="00A264AE" w:rsidP="00A264AE">
      <w:pPr>
        <w:spacing w:line="480" w:lineRule="auto"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SFig. 6. </w:t>
      </w:r>
      <w:r>
        <w:rPr>
          <w:rFonts w:ascii="Times New Roman" w:eastAsia="Times New Roman" w:hAnsi="Times New Roman" w:cs="Times New Roman"/>
          <w:sz w:val="24"/>
          <w:szCs w:val="24"/>
        </w:rPr>
        <w:t>Bivariate kernel density of simulated particulate organic matter export at 100m stoichiometry (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A-C</w:t>
      </w:r>
      <w:r>
        <w:rPr>
          <w:rFonts w:ascii="Times New Roman" w:eastAsia="Times New Roman" w:hAnsi="Times New Roman" w:cs="Times New Roman"/>
          <w:sz w:val="24"/>
          <w:szCs w:val="24"/>
        </w:rPr>
        <w:t>) and phytoplankton stoichiometry (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eastAsia="Times New Roman" w:hAnsi="Times New Roman" w:cs="Times New Roman"/>
          <w:sz w:val="24"/>
          <w:szCs w:val="24"/>
        </w:rPr>
        <w:t>) plotted against observations from GO-POPCORNv2 and Wiseman et al., 2023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23,24</w:t>
      </w:r>
      <w:r>
        <w:rPr>
          <w:rFonts w:ascii="Times New Roman" w:eastAsia="Times New Roman" w:hAnsi="Times New Roman" w:cs="Times New Roman"/>
          <w:sz w:val="24"/>
          <w:szCs w:val="24"/>
        </w:rPr>
        <w:t>. Model output was extracted from the same locations as the plotted observations.</w:t>
      </w:r>
    </w:p>
    <w:p w14:paraId="0E273DC0" w14:textId="77777777" w:rsidR="00A264AE" w:rsidRDefault="00A264AE" w:rsidP="00A264AE">
      <w:pPr>
        <w:spacing w:after="0" w:line="480" w:lineRule="auto"/>
        <w:jc w:val="both"/>
        <w:rPr>
          <w:rFonts w:ascii="Times New Roman" w:hAnsi="Times New Roman"/>
        </w:rPr>
      </w:pPr>
      <w:r>
        <w:rPr>
          <w:noProof/>
        </w:rPr>
        <w:lastRenderedPageBreak/>
        <w:drawing>
          <wp:inline distT="0" distB="0" distL="0" distR="0" wp14:anchorId="23E8A0C1" wp14:editId="2E6BE475">
            <wp:extent cx="5943600" cy="2962910"/>
            <wp:effectExtent l="0" t="0" r="0" b="0"/>
            <wp:docPr id="15" name="Image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4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C2815E5" wp14:editId="28DCF7A4">
            <wp:extent cx="5943600" cy="2962910"/>
            <wp:effectExtent l="0" t="0" r="0" b="0"/>
            <wp:docPr id="16" name="Image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5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0151563" wp14:editId="03E24365">
            <wp:extent cx="5943600" cy="2962910"/>
            <wp:effectExtent l="0" t="0" r="0" b="0"/>
            <wp:docPr id="17" name="Image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6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78AF7E" w14:textId="77777777" w:rsidR="00A264AE" w:rsidRDefault="00A264AE" w:rsidP="00A264AE">
      <w:pPr>
        <w:spacing w:after="0" w:line="480" w:lineRule="auto"/>
        <w:jc w:val="both"/>
        <w:rPr>
          <w:rFonts w:ascii="Times New Roman" w:hAnsi="Times New Roman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SFig. 7. </w:t>
      </w:r>
      <w:r>
        <w:rPr>
          <w:rFonts w:ascii="Times New Roman" w:eastAsia="Times New Roman" w:hAnsi="Times New Roman" w:cs="Times New Roman"/>
          <w:sz w:val="24"/>
          <w:szCs w:val="24"/>
        </w:rPr>
        <w:t>Export particulate organic carbon to phosphorus and nitrogen (C:P, C:N) ratio for VarAll case overlaid with surface (5m) particulate C:P and C:N from the GO-POPCORNv2 database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24</w:t>
      </w:r>
      <w:r>
        <w:rPr>
          <w:rFonts w:ascii="Times New Roman" w:eastAsia="Times New Roman" w:hAnsi="Times New Roman" w:cs="Times New Roman"/>
          <w:sz w:val="24"/>
          <w:szCs w:val="24"/>
        </w:rPr>
        <w:t>. GO-POPCORNv2 data is averaged into 3-degree x 3-degree bins for visualization purposes. Model small phytoplankton iron to carbon (Fe:C) ratio for VarAll case overlaid with observations of autotrophic flagellate cellular Fe:C compiled from Wiseman et al., 2023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23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3AF125DA" w14:textId="77777777" w:rsidR="00A264AE" w:rsidRDefault="00A264AE" w:rsidP="00A264AE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br w:type="page"/>
      </w:r>
    </w:p>
    <w:p w14:paraId="5045F50F" w14:textId="77777777" w:rsidR="00A264AE" w:rsidRDefault="00A264AE" w:rsidP="00A264AE">
      <w:pPr>
        <w:spacing w:after="0" w:line="480" w:lineRule="auto"/>
        <w:jc w:val="both"/>
        <w:rPr>
          <w:rFonts w:ascii="Times New Roman" w:hAnsi="Times New Roman"/>
        </w:rPr>
      </w:pPr>
      <w:r>
        <w:rPr>
          <w:noProof/>
        </w:rPr>
        <w:lastRenderedPageBreak/>
        <w:drawing>
          <wp:inline distT="0" distB="0" distL="0" distR="0" wp14:anchorId="1A4037A9" wp14:editId="2CA40A30">
            <wp:extent cx="5943600" cy="2962910"/>
            <wp:effectExtent l="0" t="0" r="0" b="0"/>
            <wp:docPr id="18" name="Image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7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SFig. 8.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Global patterns of e-ratio in the VarAll simulation. Lighter colors indicate a higher e-ratio, which is defined as NPP/POC Export at 100m.</w:t>
      </w:r>
    </w:p>
    <w:p w14:paraId="26D72AA0" w14:textId="77777777" w:rsidR="00A264AE" w:rsidRDefault="00A264AE" w:rsidP="00A264AE">
      <w:pPr>
        <w:spacing w:line="480" w:lineRule="auto"/>
        <w:rPr>
          <w:rFonts w:ascii="Times New Roman" w:hAnsi="Times New Roman"/>
        </w:rPr>
      </w:pPr>
      <w:r>
        <w:rPr>
          <w:noProof/>
        </w:rPr>
        <w:lastRenderedPageBreak/>
        <w:drawing>
          <wp:inline distT="0" distB="0" distL="0" distR="0" wp14:anchorId="2C27AB54" wp14:editId="08E491D5">
            <wp:extent cx="5943600" cy="2962275"/>
            <wp:effectExtent l="0" t="0" r="0" b="0"/>
            <wp:docPr id="19" name="Image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8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62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3BB4376" wp14:editId="0217F0B8">
            <wp:extent cx="5943600" cy="2962275"/>
            <wp:effectExtent l="0" t="0" r="0" b="0"/>
            <wp:docPr id="20" name="Image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9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62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B7A7711" wp14:editId="5436B82B">
            <wp:extent cx="5943600" cy="2962275"/>
            <wp:effectExtent l="0" t="0" r="0" b="0"/>
            <wp:docPr id="21" name="Image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0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962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SFig. 9</w:t>
      </w:r>
      <w:r>
        <w:rPr>
          <w:rFonts w:ascii="Times New Roman" w:eastAsia="Times New Roman" w:hAnsi="Times New Roman" w:cs="Times New Roman"/>
          <w:sz w:val="24"/>
          <w:szCs w:val="24"/>
        </w:rPr>
        <w:t>. Changes in phytoplankton biomass by type for A) small phytoplankton, B) diatoms, and C) diazotrophs. Red indicates increased biomass when phytoplankton can vary their resource acquisition.</w:t>
      </w:r>
    </w:p>
    <w:p w14:paraId="278AFE5D" w14:textId="77777777" w:rsidR="00A264AE" w:rsidRDefault="00A264AE" w:rsidP="00A264AE">
      <w:pPr>
        <w:rPr>
          <w:rFonts w:ascii="Times New Roman" w:hAnsi="Times New Roman"/>
        </w:rPr>
      </w:pPr>
      <w:r>
        <w:br w:type="page"/>
      </w:r>
    </w:p>
    <w:p w14:paraId="1A4CFF25" w14:textId="77777777" w:rsidR="00A264AE" w:rsidRDefault="00A264AE" w:rsidP="00A264AE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Y="-74"/>
        <w:tblW w:w="9450" w:type="dxa"/>
        <w:tblLayout w:type="fixed"/>
        <w:tblLook w:val="04A0" w:firstRow="1" w:lastRow="0" w:firstColumn="1" w:lastColumn="0" w:noHBand="0" w:noVBand="1"/>
      </w:tblPr>
      <w:tblGrid>
        <w:gridCol w:w="2868"/>
        <w:gridCol w:w="2187"/>
        <w:gridCol w:w="2299"/>
        <w:gridCol w:w="2096"/>
      </w:tblGrid>
      <w:tr w:rsidR="00A264AE" w14:paraId="64BBF18D" w14:textId="77777777" w:rsidTr="000C79C6">
        <w:trPr>
          <w:trHeight w:val="293"/>
        </w:trPr>
        <w:tc>
          <w:tcPr>
            <w:tcW w:w="9449" w:type="dxa"/>
            <w:gridSpan w:val="4"/>
            <w:tcBorders>
              <w:top w:val="nil"/>
              <w:left w:val="nil"/>
              <w:right w:val="nil"/>
            </w:tcBorders>
          </w:tcPr>
          <w:p w14:paraId="16E4DB40" w14:textId="77777777" w:rsidR="00A264AE" w:rsidRDefault="00A264AE" w:rsidP="000C79C6">
            <w:pPr>
              <w:widowControl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</w:rPr>
              <w:t>Table S1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. Model parameters for phytoplankton nutrient quotas</w:t>
            </w:r>
          </w:p>
        </w:tc>
      </w:tr>
      <w:tr w:rsidR="00A264AE" w14:paraId="389C3A73" w14:textId="77777777" w:rsidTr="000C79C6">
        <w:trPr>
          <w:trHeight w:val="346"/>
        </w:trPr>
        <w:tc>
          <w:tcPr>
            <w:tcW w:w="2867" w:type="dxa"/>
            <w:tcBorders>
              <w:left w:val="nil"/>
              <w:right w:val="nil"/>
            </w:tcBorders>
          </w:tcPr>
          <w:p w14:paraId="192E9D1F" w14:textId="77777777" w:rsidR="00A264AE" w:rsidRDefault="00A264AE" w:rsidP="000C79C6">
            <w:pPr>
              <w:widowControl w:val="0"/>
              <w:spacing w:line="36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2187" w:type="dxa"/>
            <w:tcBorders>
              <w:left w:val="nil"/>
              <w:right w:val="nil"/>
            </w:tcBorders>
          </w:tcPr>
          <w:p w14:paraId="2C4E5B25" w14:textId="77777777" w:rsidR="00A264AE" w:rsidRDefault="00A264AE" w:rsidP="000C79C6">
            <w:pPr>
              <w:widowControl w:val="0"/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kern w:val="0"/>
              </w:rPr>
              <w:t>Small Phytoplankton</w:t>
            </w:r>
          </w:p>
        </w:tc>
        <w:tc>
          <w:tcPr>
            <w:tcW w:w="2299" w:type="dxa"/>
            <w:tcBorders>
              <w:left w:val="nil"/>
              <w:right w:val="nil"/>
            </w:tcBorders>
          </w:tcPr>
          <w:p w14:paraId="550B6CB6" w14:textId="77777777" w:rsidR="00A264AE" w:rsidRDefault="00A264AE" w:rsidP="000C79C6">
            <w:pPr>
              <w:widowControl w:val="0"/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kern w:val="0"/>
              </w:rPr>
              <w:t>Diatoms</w:t>
            </w:r>
          </w:p>
        </w:tc>
        <w:tc>
          <w:tcPr>
            <w:tcW w:w="2096" w:type="dxa"/>
            <w:tcBorders>
              <w:left w:val="nil"/>
              <w:right w:val="nil"/>
            </w:tcBorders>
          </w:tcPr>
          <w:p w14:paraId="32566CE4" w14:textId="77777777" w:rsidR="00A264AE" w:rsidRDefault="00A264AE" w:rsidP="000C79C6">
            <w:pPr>
              <w:widowControl w:val="0"/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kern w:val="0"/>
              </w:rPr>
              <w:t>Diazotrophs</w:t>
            </w:r>
          </w:p>
        </w:tc>
      </w:tr>
      <w:tr w:rsidR="00A264AE" w14:paraId="6B9695F2" w14:textId="77777777" w:rsidTr="000C79C6">
        <w:trPr>
          <w:trHeight w:val="335"/>
        </w:trPr>
        <w:tc>
          <w:tcPr>
            <w:tcW w:w="2867" w:type="dxa"/>
            <w:tcBorders>
              <w:left w:val="nil"/>
              <w:bottom w:val="nil"/>
              <w:right w:val="nil"/>
            </w:tcBorders>
          </w:tcPr>
          <w:p w14:paraId="5C7B1C87" w14:textId="77777777" w:rsidR="00A264AE" w:rsidRDefault="00A264AE" w:rsidP="000C79C6">
            <w:pPr>
              <w:widowControl w:val="0"/>
              <w:spacing w:line="360" w:lineRule="auto"/>
              <w:jc w:val="both"/>
              <w:rPr>
                <w:rFonts w:ascii="Times New Roman" w:hAnsi="Times New Roman"/>
              </w:rPr>
            </w:pPr>
            <w:bookmarkStart w:id="3" w:name="_Int_Ml2ftzW811111"/>
            <w:r>
              <w:rPr>
                <w:rFonts w:ascii="Times New Roman" w:eastAsia="Times New Roman" w:hAnsi="Times New Roman" w:cs="Times New Roman"/>
                <w:kern w:val="0"/>
              </w:rPr>
              <w:t>NOpt</w:t>
            </w:r>
            <w:bookmarkEnd w:id="3"/>
            <w:r>
              <w:rPr>
                <w:rFonts w:ascii="Times New Roman" w:eastAsia="Times New Roman" w:hAnsi="Times New Roman" w:cs="Times New Roman"/>
                <w:kern w:val="0"/>
              </w:rPr>
              <w:t xml:space="preserve">, gQn_min, </w:t>
            </w:r>
            <w:bookmarkStart w:id="4" w:name="_Int_FJi0MKCV11111"/>
            <w:r>
              <w:rPr>
                <w:rFonts w:ascii="Times New Roman" w:eastAsia="Times New Roman" w:hAnsi="Times New Roman" w:cs="Times New Roman"/>
                <w:kern w:val="0"/>
              </w:rPr>
              <w:t>gQn_max</w:t>
            </w:r>
            <w:bookmarkEnd w:id="4"/>
          </w:p>
        </w:tc>
        <w:tc>
          <w:tcPr>
            <w:tcW w:w="2187" w:type="dxa"/>
            <w:tcBorders>
              <w:left w:val="nil"/>
              <w:bottom w:val="nil"/>
              <w:right w:val="nil"/>
            </w:tcBorders>
          </w:tcPr>
          <w:p w14:paraId="7A023D35" w14:textId="77777777" w:rsidR="00A264AE" w:rsidRDefault="00A264AE" w:rsidP="000C79C6">
            <w:pPr>
              <w:widowControl w:val="0"/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kern w:val="0"/>
              </w:rPr>
              <w:t>0.5, 0.111, 0.167</w:t>
            </w:r>
          </w:p>
        </w:tc>
        <w:tc>
          <w:tcPr>
            <w:tcW w:w="2299" w:type="dxa"/>
            <w:tcBorders>
              <w:left w:val="nil"/>
              <w:bottom w:val="nil"/>
              <w:right w:val="nil"/>
            </w:tcBorders>
          </w:tcPr>
          <w:p w14:paraId="42F3161C" w14:textId="77777777" w:rsidR="00A264AE" w:rsidRDefault="00A264AE" w:rsidP="000C79C6">
            <w:pPr>
              <w:widowControl w:val="0"/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kern w:val="0"/>
              </w:rPr>
              <w:t>0.5, 0.111, 0.167</w:t>
            </w:r>
          </w:p>
        </w:tc>
        <w:tc>
          <w:tcPr>
            <w:tcW w:w="2096" w:type="dxa"/>
            <w:tcBorders>
              <w:left w:val="nil"/>
              <w:bottom w:val="nil"/>
              <w:right w:val="nil"/>
            </w:tcBorders>
          </w:tcPr>
          <w:p w14:paraId="02A413C1" w14:textId="77777777" w:rsidR="00A264AE" w:rsidRDefault="00A264AE" w:rsidP="000C79C6">
            <w:pPr>
              <w:widowControl w:val="0"/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kern w:val="0"/>
              </w:rPr>
              <w:t>0.5, 0.111, 0.167</w:t>
            </w:r>
          </w:p>
        </w:tc>
      </w:tr>
      <w:tr w:rsidR="00A264AE" w14:paraId="429734DE" w14:textId="77777777" w:rsidTr="000C79C6">
        <w:trPr>
          <w:trHeight w:val="335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</w:tcPr>
          <w:p w14:paraId="0B036605" w14:textId="77777777" w:rsidR="00A264AE" w:rsidRDefault="00A264AE" w:rsidP="000C79C6">
            <w:pPr>
              <w:widowControl w:val="0"/>
              <w:spacing w:line="360" w:lineRule="auto"/>
              <w:jc w:val="both"/>
              <w:rPr>
                <w:rFonts w:ascii="Times New Roman" w:hAnsi="Times New Roman"/>
              </w:rPr>
            </w:pPr>
            <w:bookmarkStart w:id="5" w:name="_Int_RKIjklzd11111"/>
            <w:r>
              <w:rPr>
                <w:rFonts w:ascii="Times New Roman" w:eastAsia="Times New Roman" w:hAnsi="Times New Roman" w:cs="Times New Roman"/>
                <w:kern w:val="0"/>
              </w:rPr>
              <w:t>POpt</w:t>
            </w:r>
            <w:bookmarkEnd w:id="5"/>
            <w:r>
              <w:rPr>
                <w:rFonts w:ascii="Times New Roman" w:eastAsia="Times New Roman" w:hAnsi="Times New Roman" w:cs="Times New Roman"/>
                <w:kern w:val="0"/>
              </w:rPr>
              <w:t>, gQp_min</w:t>
            </w:r>
            <w:r>
              <w:rPr>
                <w:rFonts w:ascii="Times New Roman" w:eastAsia="Times New Roman" w:hAnsi="Times New Roman" w:cs="Times New Roman"/>
                <w:kern w:val="0"/>
                <w:vertAlign w:val="superscript"/>
              </w:rPr>
              <w:t>1</w:t>
            </w:r>
            <w:r>
              <w:rPr>
                <w:rFonts w:ascii="Times New Roman" w:eastAsia="Times New Roman" w:hAnsi="Times New Roman" w:cs="Times New Roman"/>
                <w:kern w:val="0"/>
              </w:rPr>
              <w:t>, gQp_max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</w:tcPr>
          <w:p w14:paraId="1C6D9706" w14:textId="77777777" w:rsidR="00A264AE" w:rsidRDefault="00A264AE" w:rsidP="000C79C6">
            <w:pPr>
              <w:widowControl w:val="0"/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kern w:val="0"/>
              </w:rPr>
              <w:t>0.75, 0.006944, 0.011</w:t>
            </w:r>
          </w:p>
        </w:tc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</w:tcPr>
          <w:p w14:paraId="3347866A" w14:textId="77777777" w:rsidR="00A264AE" w:rsidRDefault="00A264AE" w:rsidP="000C79C6">
            <w:pPr>
              <w:widowControl w:val="0"/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kern w:val="0"/>
              </w:rPr>
              <w:t>0.75, 0.00833, 0.011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</w:tcPr>
          <w:p w14:paraId="59FC640D" w14:textId="77777777" w:rsidR="00A264AE" w:rsidRDefault="00A264AE" w:rsidP="000C79C6">
            <w:pPr>
              <w:widowControl w:val="0"/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kern w:val="0"/>
              </w:rPr>
              <w:t>0.75, 0.0033, 0.0083</w:t>
            </w:r>
          </w:p>
        </w:tc>
      </w:tr>
      <w:tr w:rsidR="00A264AE" w14:paraId="554FADF6" w14:textId="77777777" w:rsidTr="000C79C6">
        <w:trPr>
          <w:trHeight w:val="335"/>
        </w:trPr>
        <w:tc>
          <w:tcPr>
            <w:tcW w:w="2867" w:type="dxa"/>
            <w:tcBorders>
              <w:top w:val="nil"/>
              <w:left w:val="nil"/>
              <w:bottom w:val="nil"/>
              <w:right w:val="nil"/>
            </w:tcBorders>
          </w:tcPr>
          <w:p w14:paraId="3DD402F0" w14:textId="77777777" w:rsidR="00A264AE" w:rsidRDefault="00A264AE" w:rsidP="000C79C6">
            <w:pPr>
              <w:widowControl w:val="0"/>
              <w:spacing w:line="360" w:lineRule="auto"/>
              <w:jc w:val="both"/>
              <w:rPr>
                <w:rFonts w:ascii="Times New Roman" w:hAnsi="Times New Roman"/>
              </w:rPr>
            </w:pPr>
            <w:bookmarkStart w:id="6" w:name="_Int_LUDKfZFb11111"/>
            <w:r>
              <w:rPr>
                <w:rFonts w:ascii="Times New Roman" w:eastAsia="Times New Roman" w:hAnsi="Times New Roman" w:cs="Times New Roman"/>
                <w:kern w:val="0"/>
              </w:rPr>
              <w:t>FeOpt</w:t>
            </w:r>
            <w:bookmarkEnd w:id="6"/>
            <w:r>
              <w:rPr>
                <w:rFonts w:ascii="Times New Roman" w:eastAsia="Times New Roman" w:hAnsi="Times New Roman" w:cs="Times New Roman"/>
                <w:kern w:val="0"/>
              </w:rPr>
              <w:t xml:space="preserve">, gQfe_min, </w:t>
            </w:r>
            <w:bookmarkStart w:id="7" w:name="_Int_bISZPFMl11111"/>
            <w:r>
              <w:rPr>
                <w:rFonts w:ascii="Times New Roman" w:eastAsia="Times New Roman" w:hAnsi="Times New Roman" w:cs="Times New Roman"/>
                <w:kern w:val="0"/>
              </w:rPr>
              <w:t>gQfe_max</w:t>
            </w:r>
            <w:bookmarkEnd w:id="7"/>
          </w:p>
        </w:tc>
        <w:tc>
          <w:tcPr>
            <w:tcW w:w="2187" w:type="dxa"/>
            <w:tcBorders>
              <w:top w:val="nil"/>
              <w:left w:val="nil"/>
              <w:bottom w:val="nil"/>
              <w:right w:val="nil"/>
            </w:tcBorders>
          </w:tcPr>
          <w:p w14:paraId="0981864F" w14:textId="77777777" w:rsidR="00A264AE" w:rsidRDefault="00A264AE" w:rsidP="000C79C6">
            <w:pPr>
              <w:widowControl w:val="0"/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kern w:val="0"/>
              </w:rPr>
              <w:t>2.2e-3, 2.5, 90.0</w:t>
            </w:r>
          </w:p>
        </w:tc>
        <w:tc>
          <w:tcPr>
            <w:tcW w:w="2299" w:type="dxa"/>
            <w:tcBorders>
              <w:top w:val="nil"/>
              <w:left w:val="nil"/>
              <w:bottom w:val="nil"/>
              <w:right w:val="nil"/>
            </w:tcBorders>
          </w:tcPr>
          <w:p w14:paraId="490A455D" w14:textId="77777777" w:rsidR="00A264AE" w:rsidRDefault="00A264AE" w:rsidP="000C79C6">
            <w:pPr>
              <w:widowControl w:val="0"/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kern w:val="0"/>
              </w:rPr>
              <w:t>2.2e-3, 2.5, 90.0</w:t>
            </w:r>
          </w:p>
        </w:tc>
        <w:tc>
          <w:tcPr>
            <w:tcW w:w="2096" w:type="dxa"/>
            <w:tcBorders>
              <w:top w:val="nil"/>
              <w:left w:val="nil"/>
              <w:bottom w:val="nil"/>
              <w:right w:val="nil"/>
            </w:tcBorders>
          </w:tcPr>
          <w:p w14:paraId="2A13D143" w14:textId="77777777" w:rsidR="00A264AE" w:rsidRDefault="00A264AE" w:rsidP="000C79C6">
            <w:pPr>
              <w:widowControl w:val="0"/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kern w:val="0"/>
              </w:rPr>
              <w:t>2.2e-3, 3.75, 135.0</w:t>
            </w:r>
          </w:p>
        </w:tc>
      </w:tr>
      <w:tr w:rsidR="00A264AE" w14:paraId="53A9F874" w14:textId="77777777" w:rsidTr="000C79C6">
        <w:trPr>
          <w:trHeight w:val="335"/>
        </w:trPr>
        <w:tc>
          <w:tcPr>
            <w:tcW w:w="2867" w:type="dxa"/>
            <w:tcBorders>
              <w:top w:val="nil"/>
              <w:left w:val="nil"/>
              <w:right w:val="nil"/>
            </w:tcBorders>
          </w:tcPr>
          <w:p w14:paraId="6CD1A02A" w14:textId="77777777" w:rsidR="00A264AE" w:rsidRDefault="00A264AE" w:rsidP="000C79C6">
            <w:pPr>
              <w:widowControl w:val="0"/>
              <w:spacing w:line="360" w:lineRule="auto"/>
              <w:jc w:val="both"/>
              <w:rPr>
                <w:rFonts w:ascii="Times New Roman" w:hAnsi="Times New Roman"/>
              </w:rPr>
            </w:pPr>
            <w:bookmarkStart w:id="8" w:name="_Int_GGhVhzgG11111"/>
            <w:r>
              <w:rPr>
                <w:rFonts w:ascii="Times New Roman" w:eastAsia="Times New Roman" w:hAnsi="Times New Roman" w:cs="Times New Roman"/>
                <w:kern w:val="0"/>
              </w:rPr>
              <w:t>SiOpt</w:t>
            </w:r>
            <w:bookmarkEnd w:id="8"/>
            <w:r>
              <w:rPr>
                <w:rFonts w:ascii="Times New Roman" w:eastAsia="Times New Roman" w:hAnsi="Times New Roman" w:cs="Times New Roman"/>
                <w:kern w:val="0"/>
              </w:rPr>
              <w:t xml:space="preserve">, gQsi_min, </w:t>
            </w:r>
            <w:bookmarkStart w:id="9" w:name="_Int_jJhUUCeR11111"/>
            <w:r>
              <w:rPr>
                <w:rFonts w:ascii="Times New Roman" w:eastAsia="Times New Roman" w:hAnsi="Times New Roman" w:cs="Times New Roman"/>
                <w:kern w:val="0"/>
              </w:rPr>
              <w:t>gQsi_max</w:t>
            </w:r>
            <w:bookmarkEnd w:id="9"/>
          </w:p>
        </w:tc>
        <w:tc>
          <w:tcPr>
            <w:tcW w:w="2187" w:type="dxa"/>
            <w:tcBorders>
              <w:top w:val="nil"/>
              <w:left w:val="nil"/>
              <w:right w:val="nil"/>
            </w:tcBorders>
          </w:tcPr>
          <w:p w14:paraId="40FA5761" w14:textId="77777777" w:rsidR="00A264AE" w:rsidRDefault="00A264AE" w:rsidP="000C79C6">
            <w:pPr>
              <w:widowControl w:val="0"/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kern w:val="0"/>
              </w:rPr>
              <w:t>N/A</w:t>
            </w:r>
          </w:p>
        </w:tc>
        <w:tc>
          <w:tcPr>
            <w:tcW w:w="2299" w:type="dxa"/>
            <w:tcBorders>
              <w:top w:val="nil"/>
              <w:left w:val="nil"/>
              <w:right w:val="nil"/>
            </w:tcBorders>
          </w:tcPr>
          <w:p w14:paraId="5EF70246" w14:textId="77777777" w:rsidR="00A264AE" w:rsidRDefault="00A264AE" w:rsidP="000C79C6">
            <w:pPr>
              <w:widowControl w:val="0"/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kern w:val="0"/>
              </w:rPr>
              <w:t>9.0, 0.41668, 0.83335</w:t>
            </w:r>
          </w:p>
        </w:tc>
        <w:tc>
          <w:tcPr>
            <w:tcW w:w="2096" w:type="dxa"/>
            <w:tcBorders>
              <w:top w:val="nil"/>
              <w:left w:val="nil"/>
              <w:right w:val="nil"/>
            </w:tcBorders>
          </w:tcPr>
          <w:p w14:paraId="451F0FB2" w14:textId="77777777" w:rsidR="00A264AE" w:rsidRDefault="00A264AE" w:rsidP="000C79C6">
            <w:pPr>
              <w:widowControl w:val="0"/>
              <w:spacing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kern w:val="0"/>
              </w:rPr>
              <w:t>N/A</w:t>
            </w:r>
          </w:p>
        </w:tc>
      </w:tr>
      <w:tr w:rsidR="00A264AE" w14:paraId="27E2E5B1" w14:textId="77777777" w:rsidTr="000C79C6">
        <w:trPr>
          <w:trHeight w:val="70"/>
        </w:trPr>
        <w:tc>
          <w:tcPr>
            <w:tcW w:w="9449" w:type="dxa"/>
            <w:gridSpan w:val="4"/>
            <w:tcBorders>
              <w:left w:val="nil"/>
              <w:bottom w:val="nil"/>
              <w:right w:val="nil"/>
            </w:tcBorders>
          </w:tcPr>
          <w:p w14:paraId="3AAD5D59" w14:textId="77777777" w:rsidR="00A264AE" w:rsidRDefault="00A264AE" w:rsidP="000C79C6">
            <w:pPr>
              <w:widowControl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vertAlign w:val="superscript"/>
              </w:rPr>
              <w:t>1</w:t>
            </w: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  <w:t>P:C minimum quotas can be reduced to a smaller value due to the N:P scaling</w:t>
            </w:r>
          </w:p>
        </w:tc>
      </w:tr>
    </w:tbl>
    <w:p w14:paraId="46928048" w14:textId="77777777" w:rsidR="00A264AE" w:rsidRDefault="00A264AE" w:rsidP="00A264AE">
      <w:pPr>
        <w:spacing w:afterAutospacing="1"/>
        <w:jc w:val="both"/>
        <w:rPr>
          <w:rFonts w:ascii="Times New Roman" w:hAnsi="Times New Roman"/>
        </w:rPr>
      </w:pPr>
    </w:p>
    <w:p w14:paraId="225BDA83" w14:textId="77777777" w:rsidR="00F553FF" w:rsidRDefault="00F553FF"/>
    <w:sectPr w:rsidR="00F553FF" w:rsidSect="00A264AE">
      <w:pgSz w:w="12240" w:h="15840"/>
      <w:pgMar w:top="1440" w:right="1440" w:bottom="1440" w:left="1440" w:header="0" w:footer="0" w:gutter="0"/>
      <w:lnNumType w:countBy="1" w:distance="283" w:restart="continuous"/>
      <w:cols w:space="720"/>
      <w:formProt w:val="0"/>
      <w:docGrid w:linePitch="360" w:charSpace="1228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4AE"/>
    <w:rsid w:val="003C2EF4"/>
    <w:rsid w:val="00A264AE"/>
    <w:rsid w:val="00B74216"/>
    <w:rsid w:val="00E7058F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4CB09F"/>
  <w15:chartTrackingRefBased/>
  <w15:docId w15:val="{DE57395D-4B19-4908-8EC4-C38B016DE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64AE"/>
    <w:pPr>
      <w:suppressAutoHyphens/>
    </w:pPr>
  </w:style>
  <w:style w:type="paragraph" w:styleId="Heading1">
    <w:name w:val="heading 1"/>
    <w:basedOn w:val="Normal"/>
    <w:next w:val="Normal"/>
    <w:link w:val="Heading1Char"/>
    <w:uiPriority w:val="9"/>
    <w:qFormat/>
    <w:rsid w:val="00A264AE"/>
    <w:pPr>
      <w:keepNext/>
      <w:keepLines/>
      <w:suppressAutoHyphens w:val="0"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264AE"/>
    <w:pPr>
      <w:keepNext/>
      <w:keepLines/>
      <w:suppressAutoHyphens w:val="0"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64AE"/>
    <w:pPr>
      <w:keepNext/>
      <w:keepLines/>
      <w:suppressAutoHyphens w:val="0"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64AE"/>
    <w:pPr>
      <w:keepNext/>
      <w:keepLines/>
      <w:suppressAutoHyphens w:val="0"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64AE"/>
    <w:pPr>
      <w:keepNext/>
      <w:keepLines/>
      <w:suppressAutoHyphens w:val="0"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64AE"/>
    <w:pPr>
      <w:keepNext/>
      <w:keepLines/>
      <w:suppressAutoHyphens w:val="0"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64AE"/>
    <w:pPr>
      <w:keepNext/>
      <w:keepLines/>
      <w:suppressAutoHyphens w:val="0"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64AE"/>
    <w:pPr>
      <w:keepNext/>
      <w:keepLines/>
      <w:suppressAutoHyphens w:val="0"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64AE"/>
    <w:pPr>
      <w:keepNext/>
      <w:keepLines/>
      <w:suppressAutoHyphens w:val="0"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64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264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264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64A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64A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264A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64A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64A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64A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64AE"/>
    <w:pPr>
      <w:suppressAutoHyphens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264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64AE"/>
    <w:pPr>
      <w:numPr>
        <w:ilvl w:val="1"/>
      </w:numPr>
      <w:suppressAutoHyphens w:val="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264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64AE"/>
    <w:pPr>
      <w:suppressAutoHyphens w:val="0"/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264A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264AE"/>
    <w:pPr>
      <w:suppressAutoHyphens w:val="0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264A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64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64A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64A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rsid w:val="00A264AE"/>
    <w:pPr>
      <w:suppressAutoHyphens/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A264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698</Words>
  <Characters>3981</Characters>
  <Application>Microsoft Office Word</Application>
  <DocSecurity>0</DocSecurity>
  <Lines>33</Lines>
  <Paragraphs>9</Paragraphs>
  <ScaleCrop>false</ScaleCrop>
  <Company>Springer Nature</Company>
  <LinksUpToDate>false</LinksUpToDate>
  <CharactersWithSpaces>4670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2024-07-12T06:04:00Z</dcterms:created>
  <dcterms:modified xsi:type="dcterms:W3CDTF">2024-07-12T06:04:00Z</dcterms:modified>
</cp:coreProperties>
</file>