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002D98" w14:textId="77777777" w:rsidR="0060098E" w:rsidRPr="00823C10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3C10">
        <w:rPr>
          <w:rFonts w:ascii="Times New Roman" w:hAnsi="Times New Roman" w:cs="Times New Roman"/>
          <w:sz w:val="24"/>
          <w:szCs w:val="24"/>
        </w:rPr>
        <w:t xml:space="preserve">Supplementary Figure 1. (a) Distribution of nFeature_RNA, nCount_RNA, percent.mt, and percent.Ribo in cells from each sample. (b) Distribution of nFeature_RNA, nCount_RNA, percent.mt, and percent.Ribo in each cell type after quality control. (c) Tree plot of single-cell RNA sequencing data at different resolutions, showing hierarchical relationships and distribution of cell clusters. (d) PCA dimensionality reduction analysis: Shows the distribution of cells from different samples and principal components. (e) Univariate Cox regression analysis: Displays 25 key genes associated with HCC prognosis and their hazard ratios (HR). </w:t>
      </w:r>
    </w:p>
    <w:p w14:paraId="78E1EDFE" w14:textId="77777777" w:rsidR="0060098E" w:rsidRPr="00823C10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3C10">
        <w:rPr>
          <w:rFonts w:ascii="Times New Roman" w:hAnsi="Times New Roman" w:cs="Times New Roman"/>
          <w:sz w:val="24"/>
          <w:szCs w:val="24"/>
        </w:rPr>
        <w:t>Supplementary Figure 2. ROC curves and survival curves: showing AUC values at 1, 2, and 3 years, and survival differences between high- and low-risk groups. (a) TCGA training set; (b) TCGA validation set; (c) TCGA entire set; (d) ICGC validation set.</w:t>
      </w:r>
    </w:p>
    <w:p w14:paraId="0E7417F2" w14:textId="77777777" w:rsidR="0060098E" w:rsidRPr="00823C10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3C10">
        <w:rPr>
          <w:rFonts w:ascii="Times New Roman" w:hAnsi="Times New Roman" w:cs="Times New Roman"/>
          <w:sz w:val="24"/>
          <w:szCs w:val="24"/>
        </w:rPr>
        <w:t>Supplementary Figure 3. (a) Distribution of patients with different T stages in high- and low-risk groups. (b) Survival curves for patients aged ≥65 years. (c) Survival curves for patients aged &lt;65 years. (d) Survival curves for female patients. (e) Survival curves for male patients. (f) Survival curves for patients with T1-T2 stages. (g) Survival curves for patients with T3-T4 stages. (h) Survival curves for patients with stages I-II. (i) Survival curves for patients with stages III-IV.</w:t>
      </w:r>
    </w:p>
    <w:p w14:paraId="16C75D55" w14:textId="77777777" w:rsidR="0060098E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3C10">
        <w:rPr>
          <w:rFonts w:ascii="Times New Roman" w:hAnsi="Times New Roman" w:cs="Times New Roman"/>
          <w:sz w:val="24"/>
          <w:szCs w:val="24"/>
        </w:rPr>
        <w:t>Supplementary Figure 4. (a) Comparison of survival curves between high and low MATH (Mutant-Allele Tumor Heterogeneity) groups. (b) Shows signaling patterns for different cell types. (c-e) Comparison of stromal score, immune score, and ESTIMATEScore between high and low-risk groups. (f-l) Comparison of survival curves between high and low-risk groups for different immune cell subsets (monocytes, macrophages, dendritic cells, plasma cells, T cells). (m) Venn diagram: Shows the M0 macrophage associated with survival, correlation, and differential analysis.</w:t>
      </w:r>
    </w:p>
    <w:p w14:paraId="7954451D" w14:textId="77777777" w:rsidR="0060098E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EC756D" w14:textId="77777777" w:rsidR="0060098E" w:rsidRPr="008D3602" w:rsidRDefault="0060098E" w:rsidP="0060098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</w:t>
      </w:r>
      <w:r w:rsidRPr="00823C1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Caption</w:t>
      </w:r>
      <w:r w:rsidRPr="00823C10">
        <w:rPr>
          <w:rFonts w:ascii="Times New Roman" w:hAnsi="Times New Roman" w:cs="Times New Roman" w:hint="eastAsia"/>
          <w:b/>
          <w:bCs/>
          <w:sz w:val="24"/>
          <w:szCs w:val="24"/>
        </w:rPr>
        <w:t>:</w:t>
      </w:r>
    </w:p>
    <w:p w14:paraId="7A61B53B" w14:textId="77777777" w:rsidR="0060098E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3602">
        <w:rPr>
          <w:rFonts w:ascii="Times New Roman" w:hAnsi="Times New Roman" w:cs="Times New Roman"/>
          <w:sz w:val="24"/>
          <w:szCs w:val="24"/>
        </w:rPr>
        <w:t>Supplementary Table 1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E14CEB">
        <w:t xml:space="preserve"> </w:t>
      </w:r>
      <w:r w:rsidRPr="00E14CEB">
        <w:rPr>
          <w:rFonts w:ascii="Times New Roman" w:hAnsi="Times New Roman" w:cs="Times New Roman"/>
          <w:sz w:val="24"/>
          <w:szCs w:val="24"/>
        </w:rPr>
        <w:t>Anoikis-Related Genes Collected from Previous Literature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11728216" w14:textId="77777777" w:rsidR="0060098E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3602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2:</w:t>
      </w:r>
      <w:r w:rsidRPr="00E14CEB">
        <w:t xml:space="preserve"> </w:t>
      </w:r>
      <w:r w:rsidRPr="00E14CEB">
        <w:rPr>
          <w:rFonts w:ascii="Times New Roman" w:hAnsi="Times New Roman" w:cs="Times New Roman"/>
          <w:sz w:val="24"/>
          <w:szCs w:val="24"/>
        </w:rPr>
        <w:t>Marker Genes Used for Single-Cell Annotation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70F53DF6" w14:textId="77777777" w:rsidR="0060098E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3602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3:</w:t>
      </w:r>
      <w:r w:rsidRPr="00E14CEB">
        <w:t xml:space="preserve"> </w:t>
      </w:r>
      <w:r w:rsidRPr="00E14CEB">
        <w:rPr>
          <w:rFonts w:ascii="Times New Roman" w:hAnsi="Times New Roman" w:cs="Times New Roman"/>
          <w:sz w:val="24"/>
          <w:szCs w:val="24"/>
        </w:rPr>
        <w:t>Differential Genes Identified by ssGSEA Scores at Single-Cell Level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0B56FA82" w14:textId="77777777" w:rsidR="0060098E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3602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4:</w:t>
      </w:r>
      <w:r w:rsidRPr="00E14CEB">
        <w:t xml:space="preserve"> </w:t>
      </w:r>
      <w:r w:rsidRPr="00E14CEB">
        <w:rPr>
          <w:rFonts w:ascii="Times New Roman" w:hAnsi="Times New Roman" w:cs="Times New Roman"/>
          <w:sz w:val="24"/>
          <w:szCs w:val="24"/>
        </w:rPr>
        <w:t>Genes Included in the Brown Module from WGCNA Analysis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22D515AF" w14:textId="77777777" w:rsidR="0060098E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3602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5:</w:t>
      </w:r>
      <w:r w:rsidRPr="005C7C02">
        <w:t xml:space="preserve"> </w:t>
      </w:r>
      <w:r w:rsidRPr="005C7C02">
        <w:rPr>
          <w:rFonts w:ascii="Times New Roman" w:hAnsi="Times New Roman" w:cs="Times New Roman"/>
          <w:sz w:val="24"/>
          <w:szCs w:val="24"/>
        </w:rPr>
        <w:t>Genes Associated with Anoikis and Prognosis in Hepatocellular Carcinoma at Single-Cell and Bulk Transcriptome Levels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3ADA6D9" w14:textId="77777777" w:rsidR="0060098E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3602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6:</w:t>
      </w:r>
      <w:r w:rsidRPr="005C7C02">
        <w:t xml:space="preserve"> </w:t>
      </w:r>
      <w:r w:rsidRPr="005C7C02">
        <w:rPr>
          <w:rFonts w:ascii="Times New Roman" w:hAnsi="Times New Roman" w:cs="Times New Roman"/>
          <w:sz w:val="24"/>
          <w:szCs w:val="24"/>
        </w:rPr>
        <w:t>Characteristics of Samples from the TCGA Training Set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17E6CF97" w14:textId="77777777" w:rsidR="0060098E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3602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7:</w:t>
      </w:r>
      <w:r w:rsidRPr="005C7C02">
        <w:t xml:space="preserve"> </w:t>
      </w:r>
      <w:r w:rsidRPr="005C7C02">
        <w:rPr>
          <w:rFonts w:ascii="Times New Roman" w:hAnsi="Times New Roman" w:cs="Times New Roman"/>
          <w:sz w:val="24"/>
          <w:szCs w:val="24"/>
        </w:rPr>
        <w:t>Characteristics of Samples in TCGA Internal Validation Set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0CB697E5" w14:textId="77777777" w:rsidR="0060098E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3602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8:</w:t>
      </w:r>
      <w:r w:rsidRPr="005C7C02">
        <w:rPr>
          <w:rFonts w:ascii="Times New Roman" w:hAnsi="Times New Roman" w:cs="Times New Roman"/>
          <w:sz w:val="24"/>
          <w:szCs w:val="24"/>
        </w:rPr>
        <w:t xml:space="preserve"> Characteristics of Samples from the TCGA Set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53EDDCF8" w14:textId="77777777" w:rsidR="0060098E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3602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9:</w:t>
      </w:r>
      <w:r w:rsidRPr="005C7C02">
        <w:t xml:space="preserve"> </w:t>
      </w:r>
      <w:r w:rsidRPr="005C7C02">
        <w:rPr>
          <w:rFonts w:ascii="Times New Roman" w:hAnsi="Times New Roman" w:cs="Times New Roman"/>
          <w:sz w:val="24"/>
          <w:szCs w:val="24"/>
        </w:rPr>
        <w:t>Characteristics of Samples in ICGC Validation Set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742F972" w14:textId="77777777" w:rsidR="0060098E" w:rsidRPr="00823C10" w:rsidRDefault="0060098E" w:rsidP="006009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3602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10:</w:t>
      </w:r>
      <w:r w:rsidRPr="005C7C02">
        <w:t xml:space="preserve"> </w:t>
      </w:r>
      <w:r w:rsidRPr="005C7C02">
        <w:rPr>
          <w:rFonts w:ascii="Times New Roman" w:hAnsi="Times New Roman" w:cs="Times New Roman"/>
          <w:sz w:val="24"/>
          <w:szCs w:val="24"/>
        </w:rPr>
        <w:t>Comparison of C-index for Anoikis-Related HCC Prognostic Models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30E6B43A" w14:textId="77777777" w:rsidR="00207679" w:rsidRDefault="00207679"/>
    <w:sectPr w:rsidR="00207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98E"/>
    <w:rsid w:val="001B665E"/>
    <w:rsid w:val="00207679"/>
    <w:rsid w:val="00600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925C1"/>
  <w15:chartTrackingRefBased/>
  <w15:docId w15:val="{C761CAEE-2724-4440-ACC6-8A39308E8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098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098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098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098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098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098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098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098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098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098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09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09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09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09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09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09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09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09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09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098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6009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098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6009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098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6009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098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6009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098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09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09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419</Words>
  <Characters>2392</Characters>
  <Application>Microsoft Office Word</Application>
  <DocSecurity>0</DocSecurity>
  <Lines>19</Lines>
  <Paragraphs>5</Paragraphs>
  <ScaleCrop>false</ScaleCrop>
  <Company>Springer Nature</Company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2024-07-09T08:54:00Z</dcterms:created>
  <dcterms:modified xsi:type="dcterms:W3CDTF">2024-07-09T08:55:00Z</dcterms:modified>
</cp:coreProperties>
</file>