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C6A6C" w14:textId="63DEA247" w:rsidR="00A74933" w:rsidRPr="00EB1C4A" w:rsidRDefault="00A74933" w:rsidP="00EB1C4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B1C4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</w:t>
      </w:r>
      <w:r w:rsidR="00405BE1" w:rsidRPr="00EB1C4A">
        <w:rPr>
          <w:rFonts w:ascii="Arial" w:hAnsi="Arial" w:cs="Arial"/>
          <w:b/>
          <w:bCs/>
          <w:color w:val="000000" w:themeColor="text1"/>
          <w:sz w:val="22"/>
          <w:szCs w:val="22"/>
        </w:rPr>
        <w:t>Methods</w:t>
      </w:r>
    </w:p>
    <w:p w14:paraId="1E2059F1" w14:textId="3FFFC5E2" w:rsidR="00D938A3" w:rsidRPr="00EB1C4A" w:rsidRDefault="00210D83" w:rsidP="00EB1C4A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B1C4A">
        <w:rPr>
          <w:rFonts w:ascii="Arial" w:hAnsi="Arial" w:cs="Arial"/>
          <w:b/>
          <w:bCs/>
          <w:color w:val="000000" w:themeColor="text1"/>
          <w:sz w:val="22"/>
          <w:szCs w:val="22"/>
        </w:rPr>
        <w:t>Canine astrocytoma cell lines</w:t>
      </w:r>
    </w:p>
    <w:p w14:paraId="52F0D9E1" w14:textId="353CF825" w:rsidR="00EB1C4A" w:rsidRPr="00EB1C4A" w:rsidRDefault="00210D83" w:rsidP="001E48D9">
      <w:pPr>
        <w:spacing w:line="480" w:lineRule="auto"/>
        <w:ind w:firstLine="720"/>
        <w:rPr>
          <w:rFonts w:ascii="Arial" w:hAnsi="Arial" w:cs="Arial"/>
          <w:color w:val="000000" w:themeColor="text1"/>
          <w:sz w:val="22"/>
          <w:szCs w:val="22"/>
        </w:rPr>
      </w:pPr>
      <w:r w:rsidRPr="00EB1C4A">
        <w:rPr>
          <w:rFonts w:ascii="Arial" w:hAnsi="Arial" w:cs="Arial"/>
          <w:sz w:val="22"/>
          <w:szCs w:val="22"/>
        </w:rPr>
        <w:t>Primary canine astrocytoma stem cell-like line</w:t>
      </w:r>
      <w:r w:rsidR="009E37B8">
        <w:rPr>
          <w:rFonts w:ascii="Arial" w:hAnsi="Arial" w:cs="Arial"/>
          <w:sz w:val="22"/>
          <w:szCs w:val="22"/>
        </w:rPr>
        <w:t>s</w:t>
      </w:r>
      <w:r w:rsidRPr="00EB1C4A">
        <w:rPr>
          <w:rFonts w:ascii="Arial" w:hAnsi="Arial" w:cs="Arial"/>
          <w:sz w:val="22"/>
          <w:szCs w:val="22"/>
        </w:rPr>
        <w:t xml:space="preserve"> (</w:t>
      </w:r>
      <w:r w:rsidR="009E37B8">
        <w:rPr>
          <w:rFonts w:ascii="Arial" w:hAnsi="Arial" w:cs="Arial"/>
          <w:sz w:val="22"/>
          <w:szCs w:val="22"/>
        </w:rPr>
        <w:t xml:space="preserve">GSCL; </w:t>
      </w:r>
      <w:r w:rsidRPr="00EB1C4A">
        <w:rPr>
          <w:rFonts w:ascii="Arial" w:hAnsi="Arial" w:cs="Arial"/>
          <w:sz w:val="22"/>
          <w:szCs w:val="22"/>
        </w:rPr>
        <w:t xml:space="preserve">GSC 1110, GSC 0514) were cultured under the following serum free conditions, Neurobasal-A media (Thermo Fisher Scientific; 10888022), B27 supplement (Thermo Fisher Scientific; 12587010),  N2 supplement (Thermo Fisher Scientific; 17502048), and 0.5X L-glutamine (Thermo Fisher Scientific; 25030081). The following growth factors were supplemented; 25 ng/ml </w:t>
      </w:r>
      <w:proofErr w:type="spellStart"/>
      <w:r w:rsidRPr="00EB1C4A">
        <w:rPr>
          <w:rFonts w:ascii="Arial" w:hAnsi="Arial" w:cs="Arial"/>
          <w:sz w:val="22"/>
          <w:szCs w:val="22"/>
        </w:rPr>
        <w:t>bFGF</w:t>
      </w:r>
      <w:proofErr w:type="spellEnd"/>
      <w:r w:rsidRPr="00EB1C4A">
        <w:rPr>
          <w:rFonts w:ascii="Arial" w:hAnsi="Arial" w:cs="Arial"/>
          <w:sz w:val="22"/>
          <w:szCs w:val="22"/>
        </w:rPr>
        <w:t xml:space="preserve"> (R&amp;D Systems, Inc., Minneapolis, MN, USA; 233-FB-025), 25 ng/ml EGF (R&amp;D Systems, Inc., USA; 236-EG-200), and PDGF (Gemini Bio Products, West Sacramento, CA, USA; 300-178P). G06A cells</w:t>
      </w:r>
      <w:r w:rsidR="009E37B8">
        <w:rPr>
          <w:rFonts w:ascii="Arial" w:hAnsi="Arial" w:cs="Arial"/>
          <w:sz w:val="22"/>
          <w:szCs w:val="22"/>
        </w:rPr>
        <w:t>, considered a differentiated canine glioma cell line (</w:t>
      </w:r>
      <w:proofErr w:type="spellStart"/>
      <w:r w:rsidR="009E37B8">
        <w:rPr>
          <w:rFonts w:ascii="Arial" w:hAnsi="Arial" w:cs="Arial"/>
          <w:sz w:val="22"/>
          <w:szCs w:val="22"/>
        </w:rPr>
        <w:t>dGC</w:t>
      </w:r>
      <w:proofErr w:type="spellEnd"/>
      <w:r w:rsidR="009E37B8">
        <w:rPr>
          <w:rFonts w:ascii="Arial" w:hAnsi="Arial" w:cs="Arial"/>
          <w:sz w:val="22"/>
          <w:szCs w:val="22"/>
        </w:rPr>
        <w:t>),</w:t>
      </w:r>
      <w:r w:rsidRPr="00EB1C4A">
        <w:rPr>
          <w:rFonts w:ascii="Arial" w:hAnsi="Arial" w:cs="Arial"/>
          <w:sz w:val="22"/>
          <w:szCs w:val="22"/>
        </w:rPr>
        <w:t xml:space="preserve"> were </w:t>
      </w:r>
      <w:r w:rsidR="004F55B2" w:rsidRPr="00EB1C4A">
        <w:rPr>
          <w:rFonts w:ascii="Arial" w:hAnsi="Arial" w:cs="Arial"/>
          <w:color w:val="000000" w:themeColor="text1"/>
          <w:sz w:val="22"/>
          <w:szCs w:val="22"/>
        </w:rPr>
        <w:t>maintained with DMEM + 10% fetal bovine serum (</w:t>
      </w:r>
      <w:proofErr w:type="spellStart"/>
      <w:r w:rsidR="004F55B2" w:rsidRPr="00EB1C4A">
        <w:rPr>
          <w:rFonts w:ascii="Arial" w:hAnsi="Arial" w:cs="Arial"/>
          <w:color w:val="000000" w:themeColor="text1"/>
          <w:sz w:val="22"/>
          <w:szCs w:val="22"/>
        </w:rPr>
        <w:t>Thermo</w:t>
      </w:r>
      <w:proofErr w:type="spellEnd"/>
      <w:r w:rsidR="004F55B2" w:rsidRPr="00EB1C4A">
        <w:rPr>
          <w:rFonts w:ascii="Arial" w:hAnsi="Arial" w:cs="Arial"/>
          <w:color w:val="000000" w:themeColor="text1"/>
          <w:sz w:val="22"/>
          <w:szCs w:val="22"/>
        </w:rPr>
        <w:t xml:space="preserve"> Fisher</w:t>
      </w:r>
      <w:r w:rsidR="008F5706" w:rsidRPr="008F570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F570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Scientific, Waltham, MA, USA</w:t>
      </w:r>
      <w:r w:rsidR="004F55B2" w:rsidRPr="00EB1C4A">
        <w:rPr>
          <w:rFonts w:ascii="Arial" w:hAnsi="Arial" w:cs="Arial"/>
          <w:color w:val="000000" w:themeColor="text1"/>
          <w:sz w:val="22"/>
          <w:szCs w:val="22"/>
        </w:rPr>
        <w:t xml:space="preserve">). </w:t>
      </w:r>
    </w:p>
    <w:p w14:paraId="4862E1D7" w14:textId="77777777" w:rsidR="00E2711A" w:rsidRPr="00EB1C4A" w:rsidRDefault="00E2711A" w:rsidP="00EB1C4A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EB1C4A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Whole cell mitochondrial oxygen consumption</w:t>
      </w:r>
    </w:p>
    <w:p w14:paraId="0B891C6B" w14:textId="336852E2" w:rsidR="00632B7B" w:rsidRDefault="00E2711A" w:rsidP="001E48D9">
      <w:pPr>
        <w:spacing w:line="480" w:lineRule="auto"/>
        <w:ind w:firstLine="720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On</w:t>
      </w:r>
      <w:r w:rsidR="00D938A3"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the day of the assay, cells were seeded on Seahorse 24-well plates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(Agilent Technologies</w:t>
      </w:r>
      <w:r w:rsidR="00B55AA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Santa Clara, CA, USA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</w:t>
      </w:r>
      <w:r w:rsidR="00D938A3"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at a density of 1.2 × 10</w:t>
      </w:r>
      <w:r w:rsidR="00D938A3" w:rsidRPr="00EB1C4A">
        <w:rPr>
          <w:rFonts w:ascii="Arial" w:hAnsi="Arial" w:cs="Arial"/>
          <w:color w:val="000000" w:themeColor="text1"/>
          <w:sz w:val="22"/>
          <w:szCs w:val="22"/>
          <w:vertAlign w:val="superscript"/>
        </w:rPr>
        <w:t>5</w:t>
      </w:r>
      <w:r w:rsidR="00D938A3"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cells per well. Seahorse media was prepared fresh with 10 mM Glucose (Agilent Technologies</w:t>
      </w:r>
      <w:r w:rsidR="00B55AA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Santa Clara, CA, USA</w:t>
      </w:r>
      <w:r w:rsidR="00D938A3"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), 1 mM sodium pyruvate (Gibco, 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Thermo Fisher Scientific, Waltham, MA, USA</w:t>
      </w:r>
      <w:r w:rsidR="00D938A3"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), and 2 mM L-Glutamine (Gibco, 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Thermo Fisher Scientific, Waltham, MA, USA</w:t>
      </w:r>
      <w:r w:rsidR="00D938A3"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 Prepared media was</w:t>
      </w:r>
      <w:r w:rsidR="00D938A3"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warmed to 37°C and pH adjusted to 7.4. Cells were equilibrated to 37°C and the Seahorse XF Mitochondria Stress Test Kit (Agilent Technologies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Santa Clara, CA, USA</w:t>
      </w:r>
      <w:r w:rsidR="00D938A3"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) was used per manufacturers protocol. </w:t>
      </w:r>
    </w:p>
    <w:p w14:paraId="6D6FB404" w14:textId="776C1CEF" w:rsidR="00D938A3" w:rsidRPr="00EB1C4A" w:rsidRDefault="00D938A3" w:rsidP="009118FD">
      <w:pPr>
        <w:spacing w:line="480" w:lineRule="auto"/>
        <w:ind w:firstLine="720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Initially, appropriate pilot experiments were carried out to ensure correct concentrations of oligomycin (1 </w:t>
      </w:r>
      <w:proofErr w:type="spellStart"/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μM</w:t>
      </w:r>
      <w:proofErr w:type="spellEnd"/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carbonyl cyanide-p-</w:t>
      </w:r>
      <w:proofErr w:type="spellStart"/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trifluoromethoxyphenylhydrazone</w:t>
      </w:r>
      <w:proofErr w:type="spellEnd"/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(FCCP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;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0.5 </w:t>
      </w:r>
      <w:proofErr w:type="spellStart"/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μM</w:t>
      </w:r>
      <w:proofErr w:type="spellEnd"/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), 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rotenone/antimycin A (0.5</w:t>
      </w:r>
      <w:r w:rsidR="00632B7B" w:rsidRP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632B7B"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μM</w:t>
      </w:r>
      <w:proofErr w:type="spellEnd"/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each), and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optimal cell seeding density (1.2 × 10</w:t>
      </w:r>
      <w:r w:rsidRPr="00EB1C4A">
        <w:rPr>
          <w:rFonts w:ascii="Arial" w:hAnsi="Arial" w:cs="Arial"/>
          <w:color w:val="000000" w:themeColor="text1"/>
          <w:sz w:val="22"/>
          <w:szCs w:val="22"/>
          <w:vertAlign w:val="superscript"/>
        </w:rPr>
        <w:t>5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 for all canine cell lines. The Seahorse Sensor cartridge, which was incubated overnight at 37°C, was loaded with freshly made compounds, oligomycin, FCCP</w:t>
      </w:r>
      <w:r w:rsidRP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and Rotenone/Antimycin A (Agilent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Technologies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Santa Clara, CA, USA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) per protocol and ran on 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Seahorse 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XF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e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24 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nalyzer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lastRenderedPageBreak/>
        <w:t>(Agilent Technologies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 Upon completion, BCA protein assay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(Pierce™</w:t>
      </w:r>
      <w:r w:rsidR="00632B7B" w:rsidRP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32B7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BCA Protein Assay Kit, Thermo Fisher Scientific, Waltham, MA, USA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was performed to normalize OCR to the cell protein content in each well. Three independent experiments with five replicates per condition were carried out. </w:t>
      </w:r>
    </w:p>
    <w:p w14:paraId="5A39FFBC" w14:textId="3254D9EC" w:rsidR="00D938A3" w:rsidRPr="00EB1C4A" w:rsidRDefault="00F129E0" w:rsidP="00EB1C4A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8C7007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Reduced Representation Bisulfide Sequencing</w:t>
      </w:r>
      <w:r w:rsidR="00B55AAC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 library construction</w:t>
      </w:r>
    </w:p>
    <w:p w14:paraId="6F03F47D" w14:textId="2F5496B9" w:rsidR="00D938A3" w:rsidRPr="00EB1C4A" w:rsidRDefault="0009667E" w:rsidP="001E48D9">
      <w:pPr>
        <w:spacing w:line="480" w:lineRule="auto"/>
        <w:ind w:firstLine="72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EB1C4A">
        <w:rPr>
          <w:rFonts w:ascii="Arial" w:hAnsi="Arial" w:cs="Arial"/>
          <w:color w:val="000000"/>
          <w:sz w:val="22"/>
          <w:szCs w:val="22"/>
        </w:rPr>
        <w:t xml:space="preserve">Extracted genomic DNA </w:t>
      </w:r>
      <w:r w:rsidR="001E48D9">
        <w:rPr>
          <w:rFonts w:ascii="Arial" w:hAnsi="Arial" w:cs="Arial"/>
          <w:color w:val="000000"/>
          <w:sz w:val="22"/>
          <w:szCs w:val="22"/>
        </w:rPr>
        <w:t>was</w:t>
      </w:r>
      <w:r w:rsidRPr="00EB1C4A">
        <w:rPr>
          <w:rFonts w:ascii="Arial" w:hAnsi="Arial" w:cs="Arial"/>
          <w:color w:val="000000"/>
          <w:sz w:val="22"/>
          <w:szCs w:val="22"/>
        </w:rPr>
        <w:t xml:space="preserve"> prepared for reduced representation bisulfite sequencing (RRBS) using published protocols. Forty nanograms </w:t>
      </w:r>
      <w:r w:rsidR="00D938A3" w:rsidRPr="00EB1C4A">
        <w:rPr>
          <w:rFonts w:ascii="Arial" w:hAnsi="Arial" w:cs="Arial"/>
          <w:iCs/>
          <w:color w:val="000000" w:themeColor="text1"/>
          <w:sz w:val="22"/>
          <w:szCs w:val="22"/>
        </w:rPr>
        <w:t xml:space="preserve">of genomic DNA was digested with 30 units of methyl insensitive </w:t>
      </w:r>
      <w:proofErr w:type="spellStart"/>
      <w:r w:rsidR="00D938A3" w:rsidRPr="00EB1C4A">
        <w:rPr>
          <w:rFonts w:ascii="Arial" w:hAnsi="Arial" w:cs="Arial"/>
          <w:i/>
          <w:color w:val="000000" w:themeColor="text1"/>
          <w:sz w:val="22"/>
          <w:szCs w:val="22"/>
        </w:rPr>
        <w:t>Mspl</w:t>
      </w:r>
      <w:proofErr w:type="spellEnd"/>
      <w:r w:rsidR="00D938A3" w:rsidRPr="00EB1C4A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D82EB3">
        <w:rPr>
          <w:rFonts w:ascii="Arial" w:hAnsi="Arial" w:cs="Arial"/>
          <w:iCs/>
          <w:color w:val="000000" w:themeColor="text1"/>
          <w:sz w:val="22"/>
          <w:szCs w:val="22"/>
        </w:rPr>
        <w:t xml:space="preserve">restriction </w:t>
      </w:r>
      <w:r w:rsidR="00D938A3" w:rsidRPr="00EB1C4A">
        <w:rPr>
          <w:rFonts w:ascii="Arial" w:hAnsi="Arial" w:cs="Arial"/>
          <w:iCs/>
          <w:color w:val="000000" w:themeColor="text1"/>
          <w:sz w:val="22"/>
          <w:szCs w:val="22"/>
        </w:rPr>
        <w:t xml:space="preserve">enzyme (New England </w:t>
      </w:r>
      <w:proofErr w:type="spellStart"/>
      <w:r w:rsidR="00D938A3" w:rsidRPr="00EB1C4A">
        <w:rPr>
          <w:rFonts w:ascii="Arial" w:hAnsi="Arial" w:cs="Arial"/>
          <w:iCs/>
          <w:color w:val="000000" w:themeColor="text1"/>
          <w:sz w:val="22"/>
          <w:szCs w:val="22"/>
        </w:rPr>
        <w:t>BioLabs</w:t>
      </w:r>
      <w:proofErr w:type="spellEnd"/>
      <w:r w:rsidR="00D82EB3">
        <w:rPr>
          <w:rFonts w:ascii="Arial" w:hAnsi="Arial" w:cs="Arial"/>
          <w:iCs/>
          <w:color w:val="000000" w:themeColor="text1"/>
          <w:sz w:val="22"/>
          <w:szCs w:val="22"/>
        </w:rPr>
        <w:t>, Inc., Ipswich, MA, USA</w:t>
      </w:r>
      <w:r w:rsidR="00D938A3" w:rsidRPr="00EB1C4A">
        <w:rPr>
          <w:rFonts w:ascii="Arial" w:hAnsi="Arial" w:cs="Arial"/>
          <w:iCs/>
          <w:color w:val="000000" w:themeColor="text1"/>
          <w:sz w:val="22"/>
          <w:szCs w:val="22"/>
        </w:rPr>
        <w:t>) at 37º C. Nucleotide fragments were ligated to pre-annealed adapters containing 5’-methyl-cytosine instead of cytosine according to Illumina’s specified guidelines. Ligated products ≥50 bp in size were recovered using the EZ DNA Methylation-Lightning™ Kit (</w:t>
      </w:r>
      <w:proofErr w:type="spellStart"/>
      <w:r w:rsidR="00D938A3" w:rsidRPr="00EB1C4A">
        <w:rPr>
          <w:rFonts w:ascii="Arial" w:hAnsi="Arial" w:cs="Arial"/>
          <w:iCs/>
          <w:color w:val="000000" w:themeColor="text1"/>
          <w:sz w:val="22"/>
          <w:szCs w:val="22"/>
        </w:rPr>
        <w:t>Zymo</w:t>
      </w:r>
      <w:proofErr w:type="spellEnd"/>
      <w:r w:rsidR="00D938A3" w:rsidRPr="00EB1C4A">
        <w:rPr>
          <w:rFonts w:ascii="Arial" w:hAnsi="Arial" w:cs="Arial"/>
          <w:iCs/>
          <w:color w:val="000000" w:themeColor="text1"/>
          <w:sz w:val="22"/>
          <w:szCs w:val="22"/>
        </w:rPr>
        <w:t xml:space="preserve"> Research</w:t>
      </w:r>
      <w:r w:rsidR="00B55AAC">
        <w:rPr>
          <w:rFonts w:ascii="Arial" w:hAnsi="Arial" w:cs="Arial"/>
          <w:iCs/>
          <w:color w:val="000000" w:themeColor="text1"/>
          <w:sz w:val="22"/>
          <w:szCs w:val="22"/>
        </w:rPr>
        <w:t>, Irvine, CA, USA</w:t>
      </w:r>
      <w:r w:rsidR="00D938A3" w:rsidRPr="00EB1C4A">
        <w:rPr>
          <w:rFonts w:ascii="Arial" w:hAnsi="Arial" w:cs="Arial"/>
          <w:iCs/>
          <w:color w:val="000000" w:themeColor="text1"/>
          <w:sz w:val="22"/>
          <w:szCs w:val="22"/>
        </w:rPr>
        <w:t xml:space="preserve">) for </w:t>
      </w:r>
      <w:proofErr w:type="spellStart"/>
      <w:r w:rsidR="00D938A3" w:rsidRPr="00EB1C4A">
        <w:rPr>
          <w:rFonts w:ascii="Arial" w:hAnsi="Arial" w:cs="Arial"/>
          <w:iCs/>
          <w:color w:val="000000" w:themeColor="text1"/>
          <w:sz w:val="22"/>
          <w:szCs w:val="22"/>
        </w:rPr>
        <w:t>bisulphite</w:t>
      </w:r>
      <w:proofErr w:type="spellEnd"/>
      <w:r w:rsidR="00D938A3" w:rsidRPr="00EB1C4A">
        <w:rPr>
          <w:rFonts w:ascii="Arial" w:hAnsi="Arial" w:cs="Arial"/>
          <w:iCs/>
          <w:color w:val="000000" w:themeColor="text1"/>
          <w:sz w:val="22"/>
          <w:szCs w:val="22"/>
        </w:rPr>
        <w:t xml:space="preserve"> conversion. Bisulfite-converted DNA was amplified </w:t>
      </w:r>
      <w:r w:rsidRPr="00EB1C4A">
        <w:rPr>
          <w:rFonts w:ascii="Arial" w:hAnsi="Arial" w:cs="Arial"/>
          <w:iCs/>
          <w:color w:val="000000" w:themeColor="text1"/>
          <w:sz w:val="22"/>
          <w:szCs w:val="22"/>
        </w:rPr>
        <w:t>by PCR</w:t>
      </w:r>
      <w:r w:rsidRPr="00EB1C4A">
        <w:rPr>
          <w:rFonts w:ascii="Arial" w:hAnsi="Arial" w:cs="Arial"/>
          <w:color w:val="000000"/>
          <w:sz w:val="22"/>
          <w:szCs w:val="22"/>
        </w:rPr>
        <w:t xml:space="preserve"> using </w:t>
      </w:r>
      <w:proofErr w:type="spellStart"/>
      <w:r w:rsidRPr="00EB1C4A">
        <w:rPr>
          <w:rFonts w:ascii="Arial" w:hAnsi="Arial" w:cs="Arial"/>
          <w:color w:val="000000"/>
          <w:sz w:val="22"/>
          <w:szCs w:val="22"/>
        </w:rPr>
        <w:t>iQ</w:t>
      </w:r>
      <w:proofErr w:type="spellEnd"/>
      <w:r w:rsidRPr="00EB1C4A">
        <w:rPr>
          <w:rFonts w:ascii="Arial" w:hAnsi="Arial" w:cs="Arial"/>
          <w:color w:val="000000"/>
          <w:sz w:val="22"/>
          <w:szCs w:val="22"/>
        </w:rPr>
        <w:t xml:space="preserve"> SYBR Green </w:t>
      </w:r>
      <w:proofErr w:type="spellStart"/>
      <w:r w:rsidRPr="00EB1C4A">
        <w:rPr>
          <w:rFonts w:ascii="Arial" w:hAnsi="Arial" w:cs="Arial"/>
          <w:color w:val="000000"/>
          <w:sz w:val="22"/>
          <w:szCs w:val="22"/>
        </w:rPr>
        <w:t>Supermix</w:t>
      </w:r>
      <w:proofErr w:type="spellEnd"/>
      <w:r w:rsidRPr="00EB1C4A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EB1C4A">
        <w:rPr>
          <w:rFonts w:ascii="Arial" w:hAnsi="Arial" w:cs="Arial"/>
          <w:color w:val="000000"/>
          <w:sz w:val="22"/>
          <w:szCs w:val="22"/>
        </w:rPr>
        <w:t>BioRad</w:t>
      </w:r>
      <w:proofErr w:type="spellEnd"/>
      <w:r w:rsidRPr="00EB1C4A">
        <w:rPr>
          <w:rFonts w:ascii="Arial" w:hAnsi="Arial" w:cs="Arial"/>
          <w:color w:val="000000"/>
          <w:sz w:val="22"/>
          <w:szCs w:val="22"/>
        </w:rPr>
        <w:t>). The</w:t>
      </w:r>
      <w:r w:rsidR="00D938A3" w:rsidRPr="00EB1C4A">
        <w:rPr>
          <w:rFonts w:ascii="Arial" w:hAnsi="Arial" w:cs="Arial"/>
          <w:iCs/>
          <w:color w:val="000000" w:themeColor="text1"/>
          <w:sz w:val="22"/>
          <w:szCs w:val="22"/>
        </w:rPr>
        <w:t xml:space="preserve"> resulting products were purified with DNA Clean &amp; Concentrator™-5 (</w:t>
      </w:r>
      <w:proofErr w:type="spellStart"/>
      <w:r w:rsidR="00B55AAC" w:rsidRPr="00EB1C4A">
        <w:rPr>
          <w:rFonts w:ascii="Arial" w:hAnsi="Arial" w:cs="Arial"/>
          <w:iCs/>
          <w:color w:val="000000" w:themeColor="text1"/>
          <w:sz w:val="22"/>
          <w:szCs w:val="22"/>
        </w:rPr>
        <w:t>Zymo</w:t>
      </w:r>
      <w:proofErr w:type="spellEnd"/>
      <w:r w:rsidR="00B55AAC" w:rsidRPr="00EB1C4A">
        <w:rPr>
          <w:rFonts w:ascii="Arial" w:hAnsi="Arial" w:cs="Arial"/>
          <w:iCs/>
          <w:color w:val="000000" w:themeColor="text1"/>
          <w:sz w:val="22"/>
          <w:szCs w:val="22"/>
        </w:rPr>
        <w:t xml:space="preserve"> Research</w:t>
      </w:r>
      <w:r w:rsidR="00B55AAC">
        <w:rPr>
          <w:rFonts w:ascii="Arial" w:hAnsi="Arial" w:cs="Arial"/>
          <w:iCs/>
          <w:color w:val="000000" w:themeColor="text1"/>
          <w:sz w:val="22"/>
          <w:szCs w:val="22"/>
        </w:rPr>
        <w:t>, Irvine, CA, USA</w:t>
      </w:r>
      <w:r w:rsidR="00D938A3" w:rsidRPr="00EB1C4A">
        <w:rPr>
          <w:rFonts w:ascii="Arial" w:hAnsi="Arial" w:cs="Arial"/>
          <w:iCs/>
          <w:color w:val="000000" w:themeColor="text1"/>
          <w:sz w:val="22"/>
          <w:szCs w:val="22"/>
        </w:rPr>
        <w:t xml:space="preserve">).  </w:t>
      </w:r>
    </w:p>
    <w:p w14:paraId="385BC401" w14:textId="5B2C6528" w:rsidR="0009667E" w:rsidRPr="006C7E18" w:rsidRDefault="006C7E18" w:rsidP="00EB1C4A">
      <w:pPr>
        <w:spacing w:line="48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Quantitative Real-Time PCR</w:t>
      </w:r>
    </w:p>
    <w:p w14:paraId="6BAE484C" w14:textId="1354EB69" w:rsidR="006C7E18" w:rsidRPr="006C7E18" w:rsidRDefault="006C7E18" w:rsidP="001E48D9">
      <w:pPr>
        <w:spacing w:line="480" w:lineRule="auto"/>
        <w:ind w:firstLine="720"/>
        <w:rPr>
          <w:rFonts w:ascii="Arial" w:hAnsi="Arial" w:cs="Arial"/>
          <w:sz w:val="22"/>
          <w:szCs w:val="22"/>
        </w:rPr>
      </w:pP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Cells were pelleted and RNA was isolated using the Direct-</w:t>
      </w:r>
      <w:proofErr w:type="spellStart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zol</w:t>
      </w:r>
      <w:proofErr w:type="spellEnd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MiniPrep</w:t>
      </w:r>
      <w:proofErr w:type="spellEnd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kit (</w:t>
      </w:r>
      <w:proofErr w:type="spellStart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Zymo</w:t>
      </w:r>
      <w:proofErr w:type="spellEnd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Research, Irvine, CA, USA) according to manufacturer’s specifications. Using one microgram purified DNase treated RNA, cDNA was reverse transcribed using the High-Capacity cDNA Reverse Transcription Kit (Thermo Fisher – Applied Biosystems,</w:t>
      </w:r>
      <w:r w:rsidRPr="006C7E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7E18">
        <w:rPr>
          <w:rFonts w:ascii="Arial" w:hAnsi="Arial" w:cs="Arial"/>
          <w:color w:val="000000" w:themeColor="text1"/>
          <w:sz w:val="22"/>
          <w:szCs w:val="22"/>
        </w:rPr>
        <w:t>ThermoFisher</w:t>
      </w:r>
      <w:proofErr w:type="spellEnd"/>
      <w:r w:rsidRPr="006C7E18">
        <w:rPr>
          <w:rFonts w:ascii="Arial" w:hAnsi="Arial" w:cs="Arial"/>
          <w:color w:val="000000" w:themeColor="text1"/>
          <w:sz w:val="22"/>
          <w:szCs w:val="22"/>
        </w:rPr>
        <w:t xml:space="preserve"> Scientific, Waltham, MA, USA</w:t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). Primer sets were designed using NCBI primer design (</w:t>
      </w:r>
      <w:hyperlink r:id="rId4" w:history="1">
        <w:r w:rsidRPr="006C7E18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https://www.ncbi.nlm.nih.gov/tools/primer-blast/index.cgi</w:t>
        </w:r>
      </w:hyperlink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 and purchased through IDT (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Supplementary </w:t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Table 1). Primer validation was performed using a 4x cDNA serial dilution series from untreated ECs as template. The efficiency and fit of the generated curves were evaluated; primer sets that did not produce efficiency of at least 0.9 and R</w:t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 xml:space="preserve">2 </w:t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value of 0.95 from the cDNA</w:t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 xml:space="preserve"> </w:t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dilution series were rejected. </w:t>
      </w:r>
      <w:r w:rsidRPr="006C7E18">
        <w:rPr>
          <w:rFonts w:ascii="Arial" w:hAnsi="Arial" w:cs="Arial"/>
          <w:sz w:val="22"/>
          <w:szCs w:val="22"/>
        </w:rPr>
        <w:t>Only experimental quantification cycle (</w:t>
      </w:r>
      <w:proofErr w:type="spellStart"/>
      <w:r w:rsidRPr="006C7E18">
        <w:rPr>
          <w:rFonts w:ascii="Arial" w:hAnsi="Arial" w:cs="Arial"/>
          <w:sz w:val="22"/>
          <w:szCs w:val="22"/>
        </w:rPr>
        <w:t>Cq</w:t>
      </w:r>
      <w:proofErr w:type="spellEnd"/>
      <w:r w:rsidRPr="006C7E18">
        <w:rPr>
          <w:rFonts w:ascii="Arial" w:hAnsi="Arial" w:cs="Arial"/>
          <w:sz w:val="22"/>
          <w:szCs w:val="22"/>
        </w:rPr>
        <w:t>) values that fell within the boundaries of the validated curves were used for analysis.</w:t>
      </w:r>
    </w:p>
    <w:p w14:paraId="00372235" w14:textId="3F9A535C" w:rsidR="006C7E18" w:rsidRDefault="006C7E18" w:rsidP="001E48D9">
      <w:pPr>
        <w:snapToGrid w:val="0"/>
        <w:spacing w:line="480" w:lineRule="auto"/>
        <w:ind w:firstLine="720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lastRenderedPageBreak/>
        <w:t xml:space="preserve">Triplicate 20µl reactions using 50ng cDNA template and 2X </w:t>
      </w:r>
      <w:proofErr w:type="spellStart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SSoAdvanced</w:t>
      </w:r>
      <w:proofErr w:type="spellEnd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Universal SYBR Green </w:t>
      </w:r>
      <w:proofErr w:type="spellStart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Superix</w:t>
      </w:r>
      <w:proofErr w:type="spellEnd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(Bio-Rad, </w:t>
      </w:r>
      <w:proofErr w:type="spellStart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Herules</w:t>
      </w:r>
      <w:proofErr w:type="spellEnd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CA, USA) per manufacturers protocol were run on a </w:t>
      </w:r>
      <w:proofErr w:type="spellStart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CFXConnect</w:t>
      </w:r>
      <w:proofErr w:type="spellEnd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(Bio-Rad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Herules</w:t>
      </w:r>
      <w:proofErr w:type="spellEnd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CA, USA) machine as previously described</w:t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fldChar w:fldCharType="begin">
          <w:fldData xml:space="preserve">PEVuZE5vdGU+PENpdGU+PEF1dGhvcj5Ub2VkZWJ1c2NoPC9BdXRob3I+PFllYXI+MjAyMTwvWWVh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</w:fldData>
        </w:fldChar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instrText xml:space="preserve"> ADDIN EN.CITE </w:instrText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fldChar w:fldCharType="begin">
          <w:fldData xml:space="preserve">PEVuZE5vdGU+PENpdGU+PEF1dGhvcj5Ub2VkZWJ1c2NoPC9BdXRob3I+PFllYXI+MjAyMTwvWWVh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</w:fldData>
        </w:fldChar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instrText xml:space="preserve"> ADDIN EN.CITE.DATA </w:instrText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fldChar w:fldCharType="end"/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fldChar w:fldCharType="separate"/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30</w:t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fldChar w:fldCharType="end"/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The average </w:t>
      </w:r>
      <w:proofErr w:type="spellStart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Cq</w:t>
      </w:r>
      <w:proofErr w:type="spellEnd"/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used as the data point for a given sample. mRNA expression values were quantified by the 2</w:t>
      </w:r>
      <w:r w:rsidRPr="006C7E18">
        <w:rPr>
          <w:rFonts w:ascii="Arial" w:hAnsi="Arial" w:cs="Arial"/>
          <w:color w:val="000000" w:themeColor="text1"/>
          <w:sz w:val="22"/>
          <w:szCs w:val="22"/>
          <w:vertAlign w:val="superscript"/>
        </w:rPr>
        <w:t>-ΔΔCt</w:t>
      </w:r>
      <w:r w:rsidRPr="006C7E1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method, whereby ΔCT = 18S Ct – gene of interest Ct.</w:t>
      </w:r>
    </w:p>
    <w:p w14:paraId="1C9DD96E" w14:textId="77777777" w:rsidR="001E48D9" w:rsidRDefault="001E48D9" w:rsidP="001E48D9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Cell-based functional assays</w:t>
      </w:r>
    </w:p>
    <w:p w14:paraId="4FFF675D" w14:textId="77777777" w:rsidR="001E48D9" w:rsidRPr="001E48D9" w:rsidRDefault="001E48D9" w:rsidP="001E48D9">
      <w:pPr>
        <w:spacing w:line="480" w:lineRule="auto"/>
        <w:ind w:firstLine="720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Cell viability was determined using the Cell Titer Glo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sym w:font="Symbol" w:char="F0D2"/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2.0 Assay (Promega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Madison, WI, USA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 according to the manufacturers protocol. Briefly, 10,000 cells were seeded in a 96-well black-sided plates and cells were incubated for 48 hours. Titer Glo</w:t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sym w:font="Symbol" w:char="F0D2"/>
      </w:r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reagent was then added to each well and the plate was incubated for 10 minutes at RT on a plate shaker, followed by luminescence recording via plate reader (</w:t>
      </w:r>
      <w:proofErr w:type="spellStart"/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BioTek</w:t>
      </w:r>
      <w:proofErr w:type="spellEnd"/>
      <w:r w:rsidRPr="00EB1C4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800TS).  Optical densities were recorded for 6 replicates per condition and three independent experiments were performed. Signal from media alone (no cells) was used to determine background and was subtracted from all </w:t>
      </w:r>
      <w:r w:rsidRPr="001E48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experimental wells.</w:t>
      </w:r>
    </w:p>
    <w:p w14:paraId="4E168B1A" w14:textId="56535AD1" w:rsidR="001E48D9" w:rsidRPr="001E48D9" w:rsidRDefault="001E48D9" w:rsidP="001E48D9">
      <w:pPr>
        <w:spacing w:line="480" w:lineRule="auto"/>
        <w:ind w:firstLine="720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1E48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Cellular migration was assessed using </w:t>
      </w:r>
      <w:proofErr w:type="spellStart"/>
      <w:r w:rsidRPr="001E48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transwell</w:t>
      </w:r>
      <w:proofErr w:type="spellEnd"/>
      <w:r w:rsidRPr="001E48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migration </w:t>
      </w:r>
      <w:proofErr w:type="spellStart"/>
      <w:r w:rsidRPr="001E48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assays. </w:t>
      </w:r>
      <w:proofErr w:type="spellEnd"/>
      <w:r w:rsidRPr="001E48D9">
        <w:rPr>
          <w:rFonts w:ascii="Arial" w:hAnsi="Arial" w:cs="Arial"/>
          <w:sz w:val="22"/>
          <w:szCs w:val="22"/>
        </w:rPr>
        <w:t>Cells (5 x 10</w:t>
      </w:r>
      <w:r w:rsidRPr="001E48D9">
        <w:rPr>
          <w:rFonts w:ascii="Arial" w:hAnsi="Arial" w:cs="Arial"/>
          <w:sz w:val="22"/>
          <w:szCs w:val="22"/>
          <w:vertAlign w:val="superscript"/>
        </w:rPr>
        <w:t>4</w:t>
      </w:r>
      <w:r w:rsidRPr="001E48D9">
        <w:rPr>
          <w:rFonts w:ascii="Arial" w:hAnsi="Arial" w:cs="Arial"/>
          <w:sz w:val="22"/>
          <w:szCs w:val="22"/>
        </w:rPr>
        <w:t xml:space="preserve">) were suspended in serum-free culture medium and seeded into 24-well </w:t>
      </w:r>
      <w:proofErr w:type="spellStart"/>
      <w:r w:rsidRPr="001E48D9">
        <w:rPr>
          <w:rFonts w:ascii="Arial" w:hAnsi="Arial" w:cs="Arial"/>
          <w:sz w:val="22"/>
          <w:szCs w:val="22"/>
        </w:rPr>
        <w:t>Transwell</w:t>
      </w:r>
      <w:proofErr w:type="spellEnd"/>
      <w:r w:rsidRPr="001E48D9">
        <w:rPr>
          <w:rFonts w:ascii="Arial" w:hAnsi="Arial" w:cs="Arial"/>
          <w:sz w:val="22"/>
          <w:szCs w:val="22"/>
        </w:rPr>
        <w:t xml:space="preserve"> inserts (8 µm). After 24 hours, inserts were </w:t>
      </w:r>
      <w:proofErr w:type="gramStart"/>
      <w:r w:rsidRPr="001E48D9">
        <w:rPr>
          <w:rFonts w:ascii="Arial" w:hAnsi="Arial" w:cs="Arial"/>
          <w:sz w:val="22"/>
          <w:szCs w:val="22"/>
        </w:rPr>
        <w:t>removed</w:t>
      </w:r>
      <w:proofErr w:type="gramEnd"/>
      <w:r w:rsidRPr="001E48D9">
        <w:rPr>
          <w:rFonts w:ascii="Arial" w:hAnsi="Arial" w:cs="Arial"/>
          <w:sz w:val="22"/>
          <w:szCs w:val="22"/>
        </w:rPr>
        <w:t xml:space="preserve"> and the top of each insert was swabbed to remove non-migrated cells. Remaining cells attached to the bottom of the insert were fixed using 4% paraformaldehyde. Membranes were excised from the inserts and mounted to microscope </w:t>
      </w:r>
      <w:r w:rsidRPr="001E48D9">
        <w:rPr>
          <w:rFonts w:ascii="Arial" w:hAnsi="Arial" w:cs="Arial"/>
          <w:color w:val="000000" w:themeColor="text1"/>
          <w:sz w:val="22"/>
          <w:szCs w:val="22"/>
        </w:rPr>
        <w:t xml:space="preserve">slides using mounting medium containing </w:t>
      </w:r>
      <w:r w:rsidRPr="001E48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4′,6- diamidino-2-phenylindole (DAPI</w:t>
      </w:r>
      <w:r w:rsidRPr="001E48D9">
        <w:rPr>
          <w:rFonts w:ascii="Arial" w:hAnsi="Arial" w:cs="Arial"/>
          <w:color w:val="000000" w:themeColor="text1"/>
          <w:sz w:val="22"/>
          <w:szCs w:val="22"/>
        </w:rPr>
        <w:t xml:space="preserve">). Nine photographs were taken per membrane, with three technical replicates per experiment, using a brightfield microscope (Leica, DM5000 B). Cells were identified by positive DAPI immunoreactivity and </w:t>
      </w:r>
      <w:proofErr w:type="spellStart"/>
      <w:r w:rsidRPr="001E48D9">
        <w:rPr>
          <w:rFonts w:ascii="Arial" w:hAnsi="Arial" w:cs="Arial"/>
          <w:color w:val="000000" w:themeColor="text1"/>
          <w:sz w:val="22"/>
          <w:szCs w:val="22"/>
        </w:rPr>
        <w:t>quanitfied</w:t>
      </w:r>
      <w:proofErr w:type="spellEnd"/>
      <w:r w:rsidRPr="001E48D9">
        <w:rPr>
          <w:rFonts w:ascii="Arial" w:hAnsi="Arial" w:cs="Arial"/>
          <w:color w:val="000000" w:themeColor="text1"/>
          <w:sz w:val="22"/>
          <w:szCs w:val="22"/>
        </w:rPr>
        <w:t xml:space="preserve"> via an ImageJ custom macro. </w:t>
      </w:r>
      <w:r w:rsidRPr="001E48D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Three independent experiments were performed. </w:t>
      </w:r>
    </w:p>
    <w:p w14:paraId="34383D76" w14:textId="77777777" w:rsidR="009118FD" w:rsidRDefault="009118FD" w:rsidP="006C7E18">
      <w:pPr>
        <w:snapToGrid w:val="0"/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05A8DE0B" w14:textId="21599758" w:rsidR="009118FD" w:rsidRDefault="009118FD" w:rsidP="006C7E18">
      <w:pPr>
        <w:snapToGrid w:val="0"/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529A20EE" w14:textId="050FDD65" w:rsidR="009118FD" w:rsidRPr="009118FD" w:rsidRDefault="009118FD" w:rsidP="009118FD">
      <w:pPr>
        <w:snapToGrid w:val="0"/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</w:pPr>
      <w:r>
        <w:rPr>
          <w:rFonts w:cs="Arial"/>
        </w:rPr>
        <w:t>.</w:t>
      </w:r>
    </w:p>
    <w:p w14:paraId="34B6E6DA" w14:textId="77777777" w:rsidR="009118FD" w:rsidRDefault="009118FD" w:rsidP="006C7E18">
      <w:pPr>
        <w:snapToGrid w:val="0"/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3FF226A2" w14:textId="77777777" w:rsidR="009118FD" w:rsidRDefault="009118FD" w:rsidP="006C7E18">
      <w:pPr>
        <w:snapToGrid w:val="0"/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50948255" w14:textId="77777777" w:rsidR="009118FD" w:rsidRDefault="009118FD" w:rsidP="006C7E18">
      <w:pPr>
        <w:snapToGrid w:val="0"/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28235F4F" w14:textId="77777777" w:rsidR="009118FD" w:rsidRDefault="009118FD" w:rsidP="006C7E18">
      <w:pPr>
        <w:snapToGrid w:val="0"/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1B8A3031" w14:textId="77777777" w:rsidR="009118FD" w:rsidRDefault="009118FD" w:rsidP="006C7E18">
      <w:pPr>
        <w:snapToGrid w:val="0"/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620D8C26" w14:textId="77777777" w:rsidR="009118FD" w:rsidRDefault="009118FD" w:rsidP="006C7E18">
      <w:pPr>
        <w:snapToGrid w:val="0"/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2712021C" w14:textId="77777777" w:rsidR="009118FD" w:rsidRDefault="009118FD" w:rsidP="006C7E18">
      <w:pPr>
        <w:snapToGrid w:val="0"/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6B0C5C25" w14:textId="77777777" w:rsidR="009118FD" w:rsidRDefault="009118FD" w:rsidP="006C7E18">
      <w:pPr>
        <w:snapToGrid w:val="0"/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4FF2FCBF" w14:textId="77777777" w:rsidR="009118FD" w:rsidRDefault="009118FD" w:rsidP="006C7E18">
      <w:pPr>
        <w:snapToGrid w:val="0"/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7752C78A" w14:textId="77777777" w:rsidR="009118FD" w:rsidRPr="006C7E18" w:rsidRDefault="009118FD" w:rsidP="006C7E18">
      <w:pPr>
        <w:snapToGrid w:val="0"/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sectPr w:rsidR="009118FD" w:rsidRPr="006C7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B2"/>
    <w:rsid w:val="00042715"/>
    <w:rsid w:val="00074A91"/>
    <w:rsid w:val="0009667E"/>
    <w:rsid w:val="000D2437"/>
    <w:rsid w:val="001E48D9"/>
    <w:rsid w:val="00210D83"/>
    <w:rsid w:val="002455C3"/>
    <w:rsid w:val="002B75F0"/>
    <w:rsid w:val="002E26B5"/>
    <w:rsid w:val="00314970"/>
    <w:rsid w:val="003826C3"/>
    <w:rsid w:val="003C4AB8"/>
    <w:rsid w:val="003F2F08"/>
    <w:rsid w:val="00405BE1"/>
    <w:rsid w:val="0043297D"/>
    <w:rsid w:val="004936B9"/>
    <w:rsid w:val="004F4746"/>
    <w:rsid w:val="004F55B2"/>
    <w:rsid w:val="00534238"/>
    <w:rsid w:val="005778D9"/>
    <w:rsid w:val="005A7EC9"/>
    <w:rsid w:val="00632B7B"/>
    <w:rsid w:val="00687B78"/>
    <w:rsid w:val="006C7E18"/>
    <w:rsid w:val="007501DD"/>
    <w:rsid w:val="00765B9F"/>
    <w:rsid w:val="00787A4C"/>
    <w:rsid w:val="007B64B2"/>
    <w:rsid w:val="007E0B5D"/>
    <w:rsid w:val="008F5706"/>
    <w:rsid w:val="009118FD"/>
    <w:rsid w:val="0095421E"/>
    <w:rsid w:val="009D0C07"/>
    <w:rsid w:val="009E37B8"/>
    <w:rsid w:val="00A24D9C"/>
    <w:rsid w:val="00A74933"/>
    <w:rsid w:val="00B42D53"/>
    <w:rsid w:val="00B55AAC"/>
    <w:rsid w:val="00B85745"/>
    <w:rsid w:val="00C66315"/>
    <w:rsid w:val="00D82EB3"/>
    <w:rsid w:val="00D938A3"/>
    <w:rsid w:val="00DE079D"/>
    <w:rsid w:val="00E2711A"/>
    <w:rsid w:val="00E50032"/>
    <w:rsid w:val="00EB1C4A"/>
    <w:rsid w:val="00EE006D"/>
    <w:rsid w:val="00F129E0"/>
    <w:rsid w:val="00FA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B8877"/>
  <w15:chartTrackingRefBased/>
  <w15:docId w15:val="{A68BBB7D-5868-974D-A820-616E506A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5B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C7E1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118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3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bi.nlm.nih.gov/tools/primer-blast/index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 Toedebusch</dc:creator>
  <cp:keywords/>
  <dc:description/>
  <cp:lastModifiedBy>Christine M Toedebusch</cp:lastModifiedBy>
  <cp:revision>3</cp:revision>
  <dcterms:created xsi:type="dcterms:W3CDTF">2024-06-04T14:59:00Z</dcterms:created>
  <dcterms:modified xsi:type="dcterms:W3CDTF">2024-06-04T15:25:00Z</dcterms:modified>
</cp:coreProperties>
</file>