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15" w:type="dxa"/>
          <w:left w:w="70" w:type="dxa"/>
          <w:bottom w:w="15" w:type="dxa"/>
          <w:right w:w="70" w:type="dxa"/>
        </w:tblCellMar>
        <w:tblLook w:val="04A0" w:firstRow="1" w:lastRow="0" w:firstColumn="1" w:lastColumn="0" w:noHBand="0" w:noVBand="1"/>
      </w:tblPr>
      <w:tblGrid>
        <w:gridCol w:w="426"/>
        <w:gridCol w:w="708"/>
        <w:gridCol w:w="2976"/>
        <w:gridCol w:w="994"/>
        <w:gridCol w:w="7902"/>
      </w:tblGrid>
      <w:tr w:rsidR="00187C59" w:rsidRPr="005E5191" w14:paraId="0690B4DA" w14:textId="77777777" w:rsidTr="00187C59">
        <w:trPr>
          <w:trHeight w:val="300"/>
        </w:trPr>
        <w:tc>
          <w:tcPr>
            <w:tcW w:w="5000" w:type="pct"/>
            <w:gridSpan w:val="5"/>
            <w:tcBorders>
              <w:top w:val="nil"/>
              <w:left w:val="nil"/>
              <w:bottom w:val="single" w:sz="4" w:space="0" w:color="000000"/>
              <w:right w:val="nil"/>
            </w:tcBorders>
            <w:noWrap/>
            <w:vAlign w:val="bottom"/>
            <w:hideMark/>
          </w:tcPr>
          <w:p w14:paraId="324B1C7D" w14:textId="04C1D48E" w:rsidR="00187C59" w:rsidRPr="00F84BB2" w:rsidRDefault="00187C59" w:rsidP="00F84BB2">
            <w:pPr>
              <w:rPr>
                <w:rFonts w:ascii="Times New Roman" w:eastAsia="Times New Roman" w:hAnsi="Times New Roman" w:cs="Times New Roman"/>
                <w:kern w:val="0"/>
                <w:sz w:val="20"/>
                <w:szCs w:val="20"/>
                <w:lang w:eastAsia="es-MX"/>
                <w14:ligatures w14:val="none"/>
              </w:rPr>
            </w:pPr>
            <w:bookmarkStart w:id="0" w:name="_GoBack"/>
            <w:bookmarkEnd w:id="0"/>
            <w:r w:rsidRPr="00F84BB2">
              <w:rPr>
                <w:rFonts w:ascii="Calibri" w:eastAsia="Times New Roman" w:hAnsi="Calibri" w:cs="Calibri"/>
                <w:b/>
                <w:bCs/>
                <w:color w:val="000000"/>
                <w:kern w:val="0"/>
                <w:sz w:val="22"/>
                <w:szCs w:val="22"/>
                <w:lang w:eastAsia="es-MX"/>
                <w14:ligatures w14:val="none"/>
              </w:rPr>
              <w:t>Additional File 3. Aims of health policy documents included</w:t>
            </w:r>
          </w:p>
        </w:tc>
      </w:tr>
      <w:tr w:rsidR="00C71FAE" w:rsidRPr="005E5191" w14:paraId="051DBD35" w14:textId="77777777" w:rsidTr="00C71FAE">
        <w:trPr>
          <w:trHeight w:val="80"/>
        </w:trPr>
        <w:tc>
          <w:tcPr>
            <w:tcW w:w="164" w:type="pct"/>
            <w:tcBorders>
              <w:top w:val="nil"/>
              <w:left w:val="nil"/>
              <w:bottom w:val="single" w:sz="4" w:space="0" w:color="000000"/>
              <w:right w:val="nil"/>
            </w:tcBorders>
            <w:noWrap/>
            <w:hideMark/>
          </w:tcPr>
          <w:p w14:paraId="7876CB52"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Nº</w:t>
            </w:r>
          </w:p>
        </w:tc>
        <w:tc>
          <w:tcPr>
            <w:tcW w:w="272" w:type="pct"/>
            <w:tcBorders>
              <w:top w:val="nil"/>
              <w:left w:val="nil"/>
              <w:bottom w:val="single" w:sz="4" w:space="0" w:color="000000"/>
              <w:right w:val="nil"/>
            </w:tcBorders>
            <w:noWrap/>
            <w:hideMark/>
          </w:tcPr>
          <w:p w14:paraId="00631339"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Year</w:t>
            </w:r>
          </w:p>
        </w:tc>
        <w:tc>
          <w:tcPr>
            <w:tcW w:w="1144" w:type="pct"/>
            <w:tcBorders>
              <w:top w:val="nil"/>
              <w:left w:val="nil"/>
              <w:bottom w:val="single" w:sz="4" w:space="0" w:color="000000"/>
              <w:right w:val="nil"/>
            </w:tcBorders>
            <w:noWrap/>
            <w:hideMark/>
          </w:tcPr>
          <w:p w14:paraId="73E52854"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Title</w:t>
            </w:r>
          </w:p>
        </w:tc>
        <w:tc>
          <w:tcPr>
            <w:tcW w:w="382" w:type="pct"/>
            <w:tcBorders>
              <w:top w:val="nil"/>
              <w:left w:val="nil"/>
              <w:bottom w:val="single" w:sz="4" w:space="0" w:color="000000"/>
              <w:right w:val="nil"/>
            </w:tcBorders>
            <w:hideMark/>
          </w:tcPr>
          <w:p w14:paraId="39490851" w14:textId="2E725FEE" w:rsidR="00F84BB2" w:rsidRPr="00F84BB2" w:rsidRDefault="00C71FAE" w:rsidP="00C71FAE">
            <w:pPr>
              <w:rPr>
                <w:rFonts w:ascii="Calibri" w:eastAsia="Times New Roman" w:hAnsi="Calibri" w:cs="Calibri"/>
                <w:b/>
                <w:bCs/>
                <w:color w:val="000000"/>
                <w:kern w:val="0"/>
                <w:sz w:val="22"/>
                <w:szCs w:val="22"/>
                <w:lang w:eastAsia="es-MX"/>
                <w14:ligatures w14:val="none"/>
              </w:rPr>
            </w:pPr>
            <w:r>
              <w:rPr>
                <w:rFonts w:ascii="Calibri" w:eastAsia="Times New Roman" w:hAnsi="Calibri" w:cs="Calibri"/>
                <w:b/>
                <w:bCs/>
                <w:color w:val="000000"/>
                <w:kern w:val="0"/>
                <w:sz w:val="22"/>
                <w:szCs w:val="22"/>
                <w:lang w:eastAsia="es-MX"/>
                <w14:ligatures w14:val="none"/>
              </w:rPr>
              <w:t>T</w:t>
            </w:r>
            <w:r w:rsidR="00F84BB2" w:rsidRPr="00F84BB2">
              <w:rPr>
                <w:rFonts w:ascii="Calibri" w:eastAsia="Times New Roman" w:hAnsi="Calibri" w:cs="Calibri"/>
                <w:b/>
                <w:bCs/>
                <w:color w:val="000000"/>
                <w:kern w:val="0"/>
                <w:sz w:val="22"/>
                <w:szCs w:val="22"/>
                <w:lang w:eastAsia="es-MX"/>
                <w14:ligatures w14:val="none"/>
              </w:rPr>
              <w:t>ype</w:t>
            </w:r>
          </w:p>
        </w:tc>
        <w:tc>
          <w:tcPr>
            <w:tcW w:w="3038" w:type="pct"/>
            <w:tcBorders>
              <w:top w:val="nil"/>
              <w:left w:val="nil"/>
              <w:bottom w:val="single" w:sz="4" w:space="0" w:color="000000"/>
              <w:right w:val="nil"/>
            </w:tcBorders>
            <w:hideMark/>
          </w:tcPr>
          <w:p w14:paraId="41D0DF92" w14:textId="77777777" w:rsidR="00F84BB2" w:rsidRPr="00F84BB2" w:rsidRDefault="00F84BB2" w:rsidP="00C71FAE">
            <w:pPr>
              <w:rPr>
                <w:rFonts w:ascii="Calibri" w:eastAsia="Times New Roman" w:hAnsi="Calibri" w:cs="Calibri"/>
                <w:b/>
                <w:bCs/>
                <w:color w:val="000000"/>
                <w:kern w:val="0"/>
                <w:sz w:val="22"/>
                <w:szCs w:val="22"/>
                <w:lang w:eastAsia="es-MX"/>
                <w14:ligatures w14:val="none"/>
              </w:rPr>
            </w:pPr>
            <w:r w:rsidRPr="00F84BB2">
              <w:rPr>
                <w:rFonts w:ascii="Calibri" w:eastAsia="Times New Roman" w:hAnsi="Calibri" w:cs="Calibri"/>
                <w:b/>
                <w:bCs/>
                <w:color w:val="000000"/>
                <w:kern w:val="0"/>
                <w:sz w:val="22"/>
                <w:szCs w:val="22"/>
                <w:lang w:eastAsia="es-MX"/>
                <w14:ligatures w14:val="none"/>
              </w:rPr>
              <w:t>Health policy aim</w:t>
            </w:r>
          </w:p>
        </w:tc>
      </w:tr>
      <w:tr w:rsidR="005B1022" w:rsidRPr="005E5191" w14:paraId="62720BB8" w14:textId="77777777" w:rsidTr="00C71FAE">
        <w:trPr>
          <w:trHeight w:val="429"/>
        </w:trPr>
        <w:tc>
          <w:tcPr>
            <w:tcW w:w="164" w:type="pct"/>
            <w:tcBorders>
              <w:top w:val="single" w:sz="4" w:space="0" w:color="000000"/>
              <w:left w:val="nil"/>
              <w:bottom w:val="single" w:sz="4" w:space="0" w:color="auto"/>
              <w:right w:val="nil"/>
            </w:tcBorders>
            <w:hideMark/>
          </w:tcPr>
          <w:p w14:paraId="60F0539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w:t>
            </w:r>
          </w:p>
        </w:tc>
        <w:tc>
          <w:tcPr>
            <w:tcW w:w="272" w:type="pct"/>
            <w:tcBorders>
              <w:top w:val="single" w:sz="4" w:space="0" w:color="000000"/>
              <w:left w:val="nil"/>
              <w:bottom w:val="single" w:sz="4" w:space="0" w:color="auto"/>
              <w:right w:val="nil"/>
            </w:tcBorders>
            <w:hideMark/>
          </w:tcPr>
          <w:p w14:paraId="7EC3068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2016</w:t>
            </w:r>
          </w:p>
        </w:tc>
        <w:tc>
          <w:tcPr>
            <w:tcW w:w="1144" w:type="pct"/>
            <w:tcBorders>
              <w:top w:val="single" w:sz="4" w:space="0" w:color="000000"/>
              <w:left w:val="nil"/>
              <w:bottom w:val="single" w:sz="4" w:space="0" w:color="auto"/>
              <w:right w:val="nil"/>
            </w:tcBorders>
            <w:hideMark/>
          </w:tcPr>
          <w:p w14:paraId="1ADDE72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Childhood and Adolescence 2015-2025</w:t>
            </w:r>
          </w:p>
        </w:tc>
        <w:tc>
          <w:tcPr>
            <w:tcW w:w="382" w:type="pct"/>
            <w:tcBorders>
              <w:top w:val="single" w:sz="4" w:space="0" w:color="000000"/>
              <w:left w:val="nil"/>
              <w:bottom w:val="single" w:sz="4" w:space="0" w:color="auto"/>
              <w:right w:val="nil"/>
            </w:tcBorders>
            <w:hideMark/>
          </w:tcPr>
          <w:p w14:paraId="4DFA482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000000"/>
              <w:left w:val="nil"/>
              <w:bottom w:val="single" w:sz="4" w:space="0" w:color="auto"/>
              <w:right w:val="nil"/>
            </w:tcBorders>
            <w:hideMark/>
          </w:tcPr>
          <w:p w14:paraId="15AE800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progressively install an institutional system of rights guarantees for children and adolescents and public policy guidance.</w:t>
            </w:r>
          </w:p>
        </w:tc>
      </w:tr>
      <w:tr w:rsidR="005B1022" w:rsidRPr="005E5191" w14:paraId="45046CEC" w14:textId="77777777" w:rsidTr="00C71FAE">
        <w:trPr>
          <w:trHeight w:val="565"/>
        </w:trPr>
        <w:tc>
          <w:tcPr>
            <w:tcW w:w="164" w:type="pct"/>
            <w:tcBorders>
              <w:top w:val="single" w:sz="4" w:space="0" w:color="auto"/>
              <w:left w:val="nil"/>
              <w:bottom w:val="single" w:sz="4" w:space="0" w:color="auto"/>
              <w:right w:val="nil"/>
            </w:tcBorders>
            <w:hideMark/>
          </w:tcPr>
          <w:p w14:paraId="4C386BC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w:t>
            </w:r>
          </w:p>
        </w:tc>
        <w:tc>
          <w:tcPr>
            <w:tcW w:w="272" w:type="pct"/>
            <w:tcBorders>
              <w:top w:val="single" w:sz="4" w:space="0" w:color="auto"/>
              <w:left w:val="nil"/>
              <w:bottom w:val="single" w:sz="4" w:space="0" w:color="auto"/>
              <w:right w:val="nil"/>
            </w:tcBorders>
            <w:hideMark/>
          </w:tcPr>
          <w:p w14:paraId="2B8ACA1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0678B62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Dementia</w:t>
            </w:r>
          </w:p>
        </w:tc>
        <w:tc>
          <w:tcPr>
            <w:tcW w:w="382" w:type="pct"/>
            <w:tcBorders>
              <w:top w:val="single" w:sz="4" w:space="0" w:color="auto"/>
              <w:left w:val="nil"/>
              <w:bottom w:val="single" w:sz="4" w:space="0" w:color="auto"/>
              <w:right w:val="nil"/>
            </w:tcBorders>
            <w:hideMark/>
          </w:tcPr>
          <w:p w14:paraId="5FF15E3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49B878F0" w14:textId="0B10064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address dementias at different levels of healthcare and to reduce its impact on </w:t>
            </w:r>
            <w:r w:rsidR="006D39D3" w:rsidRPr="00F84BB2">
              <w:rPr>
                <w:rFonts w:ascii="Calibri" w:eastAsia="Times New Roman" w:hAnsi="Calibri" w:cs="Calibri"/>
                <w:color w:val="000000"/>
                <w:kern w:val="0"/>
                <w:sz w:val="22"/>
                <w:szCs w:val="22"/>
                <w:lang w:eastAsia="es-MX"/>
                <w14:ligatures w14:val="none"/>
              </w:rPr>
              <w:t>society, as well as</w:t>
            </w:r>
            <w:r w:rsidRPr="00F84BB2">
              <w:rPr>
                <w:rFonts w:ascii="Calibri" w:eastAsia="Times New Roman" w:hAnsi="Calibri" w:cs="Calibri"/>
                <w:color w:val="000000"/>
                <w:kern w:val="0"/>
                <w:sz w:val="22"/>
                <w:szCs w:val="22"/>
                <w:lang w:eastAsia="es-MX"/>
                <w14:ligatures w14:val="none"/>
              </w:rPr>
              <w:t xml:space="preserve"> to improve the care and quality of life of people living with dementia and their immediate environment.</w:t>
            </w:r>
          </w:p>
        </w:tc>
      </w:tr>
      <w:tr w:rsidR="005B1022" w:rsidRPr="005E5191" w14:paraId="237101F7" w14:textId="77777777" w:rsidTr="00C71FAE">
        <w:trPr>
          <w:trHeight w:val="860"/>
        </w:trPr>
        <w:tc>
          <w:tcPr>
            <w:tcW w:w="164" w:type="pct"/>
            <w:tcBorders>
              <w:top w:val="single" w:sz="4" w:space="0" w:color="auto"/>
              <w:left w:val="nil"/>
              <w:bottom w:val="single" w:sz="4" w:space="0" w:color="auto"/>
              <w:right w:val="nil"/>
            </w:tcBorders>
            <w:hideMark/>
          </w:tcPr>
          <w:p w14:paraId="55D37C7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3</w:t>
            </w:r>
          </w:p>
        </w:tc>
        <w:tc>
          <w:tcPr>
            <w:tcW w:w="272" w:type="pct"/>
            <w:tcBorders>
              <w:top w:val="single" w:sz="4" w:space="0" w:color="auto"/>
              <w:left w:val="nil"/>
              <w:bottom w:val="single" w:sz="4" w:space="0" w:color="auto"/>
              <w:right w:val="nil"/>
            </w:tcBorders>
            <w:hideMark/>
          </w:tcPr>
          <w:p w14:paraId="2D5BB0B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31960B4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Mental Health 2017-2025</w:t>
            </w:r>
          </w:p>
        </w:tc>
        <w:tc>
          <w:tcPr>
            <w:tcW w:w="382" w:type="pct"/>
            <w:tcBorders>
              <w:top w:val="single" w:sz="4" w:space="0" w:color="auto"/>
              <w:left w:val="nil"/>
              <w:bottom w:val="single" w:sz="4" w:space="0" w:color="auto"/>
              <w:right w:val="nil"/>
            </w:tcBorders>
            <w:hideMark/>
          </w:tcPr>
          <w:p w14:paraId="643B9D9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E19EB9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contribute to improving people's mental health, through sectoral and intersectoral strategies for the promotion of mental health, prevention of mental disorders, guaranteed mental health care and social inclusion, within the framework of the comprehensive health model with a family and community approach.</w:t>
            </w:r>
          </w:p>
        </w:tc>
      </w:tr>
      <w:tr w:rsidR="005B1022" w:rsidRPr="005E5191" w14:paraId="7A99CD59" w14:textId="77777777" w:rsidTr="00C71FAE">
        <w:trPr>
          <w:trHeight w:val="41"/>
        </w:trPr>
        <w:tc>
          <w:tcPr>
            <w:tcW w:w="164" w:type="pct"/>
            <w:tcBorders>
              <w:top w:val="single" w:sz="4" w:space="0" w:color="auto"/>
              <w:left w:val="nil"/>
              <w:bottom w:val="single" w:sz="4" w:space="0" w:color="auto"/>
              <w:right w:val="nil"/>
            </w:tcBorders>
            <w:hideMark/>
          </w:tcPr>
          <w:p w14:paraId="416513FB"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4</w:t>
            </w:r>
          </w:p>
        </w:tc>
        <w:tc>
          <w:tcPr>
            <w:tcW w:w="272" w:type="pct"/>
            <w:tcBorders>
              <w:top w:val="single" w:sz="4" w:space="0" w:color="auto"/>
              <w:left w:val="nil"/>
              <w:bottom w:val="single" w:sz="4" w:space="0" w:color="auto"/>
              <w:right w:val="nil"/>
            </w:tcBorders>
            <w:hideMark/>
          </w:tcPr>
          <w:p w14:paraId="5DBC675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2017</w:t>
            </w:r>
          </w:p>
        </w:tc>
        <w:tc>
          <w:tcPr>
            <w:tcW w:w="1144" w:type="pct"/>
            <w:tcBorders>
              <w:top w:val="single" w:sz="4" w:space="0" w:color="auto"/>
              <w:left w:val="nil"/>
              <w:bottom w:val="single" w:sz="4" w:space="0" w:color="auto"/>
              <w:right w:val="nil"/>
            </w:tcBorders>
            <w:hideMark/>
          </w:tcPr>
          <w:p w14:paraId="1FD44DD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Food and Nutrition</w:t>
            </w:r>
          </w:p>
        </w:tc>
        <w:tc>
          <w:tcPr>
            <w:tcW w:w="382" w:type="pct"/>
            <w:tcBorders>
              <w:top w:val="single" w:sz="4" w:space="0" w:color="auto"/>
              <w:left w:val="nil"/>
              <w:bottom w:val="single" w:sz="4" w:space="0" w:color="auto"/>
              <w:right w:val="nil"/>
            </w:tcBorders>
            <w:hideMark/>
          </w:tcPr>
          <w:p w14:paraId="2EBA180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34389AD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provide the framework for the development of food and nutrition regulations, strategies, plans, programmes and projects.</w:t>
            </w:r>
          </w:p>
        </w:tc>
      </w:tr>
      <w:tr w:rsidR="005E5191" w:rsidRPr="005E5191" w14:paraId="39E0FA43" w14:textId="77777777" w:rsidTr="00C71FAE">
        <w:trPr>
          <w:trHeight w:val="334"/>
        </w:trPr>
        <w:tc>
          <w:tcPr>
            <w:tcW w:w="164" w:type="pct"/>
            <w:tcBorders>
              <w:top w:val="single" w:sz="4" w:space="0" w:color="auto"/>
              <w:left w:val="nil"/>
              <w:bottom w:val="single" w:sz="4" w:space="0" w:color="auto"/>
              <w:right w:val="nil"/>
            </w:tcBorders>
            <w:noWrap/>
            <w:hideMark/>
          </w:tcPr>
          <w:p w14:paraId="7967D0F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5</w:t>
            </w:r>
          </w:p>
        </w:tc>
        <w:tc>
          <w:tcPr>
            <w:tcW w:w="272" w:type="pct"/>
            <w:tcBorders>
              <w:top w:val="single" w:sz="4" w:space="0" w:color="auto"/>
              <w:left w:val="nil"/>
              <w:bottom w:val="single" w:sz="4" w:space="0" w:color="auto"/>
              <w:right w:val="nil"/>
            </w:tcBorders>
            <w:noWrap/>
            <w:hideMark/>
          </w:tcPr>
          <w:p w14:paraId="1EC829F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2018</w:t>
            </w:r>
          </w:p>
        </w:tc>
        <w:tc>
          <w:tcPr>
            <w:tcW w:w="1144" w:type="pct"/>
            <w:tcBorders>
              <w:top w:val="single" w:sz="4" w:space="0" w:color="auto"/>
              <w:left w:val="nil"/>
              <w:bottom w:val="single" w:sz="4" w:space="0" w:color="auto"/>
              <w:right w:val="nil"/>
            </w:tcBorders>
            <w:hideMark/>
          </w:tcPr>
          <w:p w14:paraId="7FFF806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Policy on Sexual and Reproductive Health</w:t>
            </w:r>
          </w:p>
        </w:tc>
        <w:tc>
          <w:tcPr>
            <w:tcW w:w="382" w:type="pct"/>
            <w:tcBorders>
              <w:top w:val="single" w:sz="4" w:space="0" w:color="auto"/>
              <w:left w:val="nil"/>
              <w:bottom w:val="single" w:sz="4" w:space="0" w:color="auto"/>
              <w:right w:val="nil"/>
            </w:tcBorders>
            <w:noWrap/>
            <w:hideMark/>
          </w:tcPr>
          <w:p w14:paraId="07EF250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7C6B427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constitute a national reference framework that defines priorities and guides resources for the implementation of sectoral and intersectoral interventions that contribute to improving the sexual and reproductive health of the population.</w:t>
            </w:r>
          </w:p>
        </w:tc>
      </w:tr>
      <w:tr w:rsidR="005E5191" w:rsidRPr="005E5191" w14:paraId="2E7A02A8" w14:textId="77777777" w:rsidTr="00C71FAE">
        <w:trPr>
          <w:trHeight w:val="648"/>
        </w:trPr>
        <w:tc>
          <w:tcPr>
            <w:tcW w:w="164" w:type="pct"/>
            <w:tcBorders>
              <w:top w:val="single" w:sz="4" w:space="0" w:color="auto"/>
              <w:left w:val="nil"/>
              <w:bottom w:val="single" w:sz="4" w:space="0" w:color="auto"/>
              <w:right w:val="nil"/>
            </w:tcBorders>
            <w:noWrap/>
            <w:hideMark/>
          </w:tcPr>
          <w:p w14:paraId="06EDB6E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6</w:t>
            </w:r>
          </w:p>
        </w:tc>
        <w:tc>
          <w:tcPr>
            <w:tcW w:w="272" w:type="pct"/>
            <w:tcBorders>
              <w:top w:val="single" w:sz="4" w:space="0" w:color="auto"/>
              <w:left w:val="nil"/>
              <w:bottom w:val="single" w:sz="4" w:space="0" w:color="auto"/>
              <w:right w:val="nil"/>
            </w:tcBorders>
            <w:noWrap/>
            <w:hideMark/>
          </w:tcPr>
          <w:p w14:paraId="688F9316"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2018</w:t>
            </w:r>
          </w:p>
        </w:tc>
        <w:tc>
          <w:tcPr>
            <w:tcW w:w="1144" w:type="pct"/>
            <w:tcBorders>
              <w:top w:val="single" w:sz="4" w:space="0" w:color="auto"/>
              <w:left w:val="nil"/>
              <w:bottom w:val="single" w:sz="4" w:space="0" w:color="auto"/>
              <w:right w:val="nil"/>
            </w:tcBorders>
            <w:hideMark/>
          </w:tcPr>
          <w:p w14:paraId="670AAFE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Cancer 2018-2028</w:t>
            </w:r>
          </w:p>
        </w:tc>
        <w:tc>
          <w:tcPr>
            <w:tcW w:w="382" w:type="pct"/>
            <w:tcBorders>
              <w:top w:val="single" w:sz="4" w:space="0" w:color="auto"/>
              <w:left w:val="nil"/>
              <w:bottom w:val="single" w:sz="4" w:space="0" w:color="auto"/>
              <w:right w:val="nil"/>
            </w:tcBorders>
            <w:noWrap/>
            <w:hideMark/>
          </w:tcPr>
          <w:p w14:paraId="200ADC8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BBAF5F1"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reduce the incidence and morbidity and mortality attributable to cancer through strategies and actions that facilitate the promotion, prevention, early diagnosis, treatment, palliative care and follow-up of people, improving the survival of people with cancer, favouring their quality of life and that of their families and communities.</w:t>
            </w:r>
          </w:p>
        </w:tc>
      </w:tr>
      <w:tr w:rsidR="005E5191" w:rsidRPr="005E5191" w14:paraId="699C5F2B" w14:textId="77777777" w:rsidTr="00C71FAE">
        <w:trPr>
          <w:trHeight w:val="41"/>
        </w:trPr>
        <w:tc>
          <w:tcPr>
            <w:tcW w:w="164" w:type="pct"/>
            <w:tcBorders>
              <w:top w:val="single" w:sz="4" w:space="0" w:color="auto"/>
              <w:left w:val="nil"/>
              <w:bottom w:val="single" w:sz="4" w:space="0" w:color="auto"/>
              <w:right w:val="nil"/>
            </w:tcBorders>
            <w:hideMark/>
          </w:tcPr>
          <w:p w14:paraId="19C4B44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7</w:t>
            </w:r>
          </w:p>
        </w:tc>
        <w:tc>
          <w:tcPr>
            <w:tcW w:w="272" w:type="pct"/>
            <w:tcBorders>
              <w:top w:val="single" w:sz="4" w:space="0" w:color="auto"/>
              <w:left w:val="nil"/>
              <w:bottom w:val="single" w:sz="4" w:space="0" w:color="auto"/>
              <w:right w:val="nil"/>
            </w:tcBorders>
            <w:hideMark/>
          </w:tcPr>
          <w:p w14:paraId="2A451269"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36E0215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Policy to address Gender-Based Violence</w:t>
            </w:r>
          </w:p>
        </w:tc>
        <w:tc>
          <w:tcPr>
            <w:tcW w:w="382" w:type="pct"/>
            <w:tcBorders>
              <w:top w:val="single" w:sz="4" w:space="0" w:color="auto"/>
              <w:left w:val="nil"/>
              <w:bottom w:val="single" w:sz="4" w:space="0" w:color="auto"/>
              <w:right w:val="nil"/>
            </w:tcBorders>
            <w:hideMark/>
          </w:tcPr>
          <w:p w14:paraId="4F6B95E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Policy</w:t>
            </w:r>
          </w:p>
        </w:tc>
        <w:tc>
          <w:tcPr>
            <w:tcW w:w="3038" w:type="pct"/>
            <w:tcBorders>
              <w:top w:val="single" w:sz="4" w:space="0" w:color="auto"/>
              <w:left w:val="nil"/>
              <w:bottom w:val="single" w:sz="4" w:space="0" w:color="auto"/>
              <w:right w:val="nil"/>
            </w:tcBorders>
            <w:hideMark/>
          </w:tcPr>
          <w:p w14:paraId="6D6227C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That the plans, programmes, guidelines, norms and benefits of the different levels of the health system design, implement and sustain strategies for the promotion, prevention, care, provision of support services, recovery and comprehensive rehabilitation of survivors, victims and their families, as well as people at risk of suffering gender-based violence.</w:t>
            </w:r>
          </w:p>
        </w:tc>
      </w:tr>
      <w:tr w:rsidR="005E5191" w:rsidRPr="005E5191" w14:paraId="0AD3F349" w14:textId="77777777" w:rsidTr="00C71FAE">
        <w:trPr>
          <w:trHeight w:val="118"/>
        </w:trPr>
        <w:tc>
          <w:tcPr>
            <w:tcW w:w="164" w:type="pct"/>
            <w:tcBorders>
              <w:top w:val="single" w:sz="4" w:space="0" w:color="auto"/>
              <w:left w:val="nil"/>
              <w:bottom w:val="single" w:sz="4" w:space="0" w:color="auto"/>
              <w:right w:val="nil"/>
            </w:tcBorders>
            <w:noWrap/>
            <w:hideMark/>
          </w:tcPr>
          <w:p w14:paraId="2EFBF41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8</w:t>
            </w:r>
          </w:p>
        </w:tc>
        <w:tc>
          <w:tcPr>
            <w:tcW w:w="272" w:type="pct"/>
            <w:tcBorders>
              <w:top w:val="single" w:sz="4" w:space="0" w:color="auto"/>
              <w:left w:val="nil"/>
              <w:bottom w:val="single" w:sz="4" w:space="0" w:color="auto"/>
              <w:right w:val="nil"/>
            </w:tcBorders>
            <w:noWrap/>
            <w:hideMark/>
          </w:tcPr>
          <w:p w14:paraId="12CF559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37146AA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Plan for the Elderly and its Action Plan 2020-2030</w:t>
            </w:r>
          </w:p>
        </w:tc>
        <w:tc>
          <w:tcPr>
            <w:tcW w:w="382" w:type="pct"/>
            <w:tcBorders>
              <w:top w:val="single" w:sz="4" w:space="0" w:color="auto"/>
              <w:left w:val="nil"/>
              <w:bottom w:val="single" w:sz="4" w:space="0" w:color="auto"/>
              <w:right w:val="nil"/>
            </w:tcBorders>
            <w:noWrap/>
            <w:hideMark/>
          </w:tcPr>
          <w:p w14:paraId="254BB9B2"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651FAA4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improve the functional capacity of the elderly, through a long-term National Integrated Health Plan with Strategic Lines and intervention strategies, thus improving subjective well-being and social participation.</w:t>
            </w:r>
          </w:p>
        </w:tc>
      </w:tr>
      <w:tr w:rsidR="005B1022" w:rsidRPr="005E5191" w14:paraId="1EA16CC2" w14:textId="77777777" w:rsidTr="00C71FAE">
        <w:trPr>
          <w:trHeight w:val="413"/>
        </w:trPr>
        <w:tc>
          <w:tcPr>
            <w:tcW w:w="164" w:type="pct"/>
            <w:tcBorders>
              <w:top w:val="single" w:sz="4" w:space="0" w:color="auto"/>
              <w:left w:val="nil"/>
              <w:bottom w:val="single" w:sz="4" w:space="0" w:color="auto"/>
              <w:right w:val="nil"/>
            </w:tcBorders>
            <w:noWrap/>
            <w:hideMark/>
          </w:tcPr>
          <w:p w14:paraId="0028DF50"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9</w:t>
            </w:r>
          </w:p>
        </w:tc>
        <w:tc>
          <w:tcPr>
            <w:tcW w:w="272" w:type="pct"/>
            <w:tcBorders>
              <w:top w:val="single" w:sz="4" w:space="0" w:color="auto"/>
              <w:left w:val="nil"/>
              <w:bottom w:val="single" w:sz="4" w:space="0" w:color="auto"/>
              <w:right w:val="nil"/>
            </w:tcBorders>
            <w:noWrap/>
            <w:hideMark/>
          </w:tcPr>
          <w:p w14:paraId="3B0B9E7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2021</w:t>
            </w:r>
          </w:p>
        </w:tc>
        <w:tc>
          <w:tcPr>
            <w:tcW w:w="1144" w:type="pct"/>
            <w:tcBorders>
              <w:top w:val="single" w:sz="4" w:space="0" w:color="auto"/>
              <w:left w:val="nil"/>
              <w:bottom w:val="single" w:sz="4" w:space="0" w:color="auto"/>
              <w:right w:val="nil"/>
            </w:tcBorders>
            <w:hideMark/>
          </w:tcPr>
          <w:p w14:paraId="47CBCB26"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Action Plan on Mental Health 2019-2025</w:t>
            </w:r>
          </w:p>
        </w:tc>
        <w:tc>
          <w:tcPr>
            <w:tcW w:w="382" w:type="pct"/>
            <w:tcBorders>
              <w:top w:val="single" w:sz="4" w:space="0" w:color="auto"/>
              <w:left w:val="nil"/>
              <w:bottom w:val="single" w:sz="4" w:space="0" w:color="auto"/>
              <w:right w:val="nil"/>
            </w:tcBorders>
            <w:noWrap/>
            <w:hideMark/>
          </w:tcPr>
          <w:p w14:paraId="703D395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77CD6B7C"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strengthen the implementation and management of the National Mental Health Plan 2017-2025, as well as the government's 2018-2022 proposal for mental health, </w:t>
            </w:r>
            <w:r w:rsidRPr="00F84BB2">
              <w:rPr>
                <w:rFonts w:ascii="Calibri" w:eastAsia="Times New Roman" w:hAnsi="Calibri" w:cs="Calibri"/>
                <w:color w:val="000000"/>
                <w:kern w:val="0"/>
                <w:sz w:val="22"/>
                <w:szCs w:val="22"/>
                <w:lang w:eastAsia="es-MX"/>
                <w14:ligatures w14:val="none"/>
              </w:rPr>
              <w:lastRenderedPageBreak/>
              <w:t>providing a consensual route, with defined strategies, actions and indicators, which facilitate the monitoring of mental health actions and their financing.</w:t>
            </w:r>
          </w:p>
        </w:tc>
      </w:tr>
      <w:tr w:rsidR="005B1022" w:rsidRPr="005E5191" w14:paraId="5FDCFFD8" w14:textId="77777777" w:rsidTr="00C71FAE">
        <w:trPr>
          <w:trHeight w:val="474"/>
        </w:trPr>
        <w:tc>
          <w:tcPr>
            <w:tcW w:w="164" w:type="pct"/>
            <w:tcBorders>
              <w:top w:val="single" w:sz="4" w:space="0" w:color="auto"/>
              <w:left w:val="nil"/>
              <w:bottom w:val="single" w:sz="4" w:space="0" w:color="auto"/>
              <w:right w:val="nil"/>
            </w:tcBorders>
            <w:noWrap/>
            <w:hideMark/>
          </w:tcPr>
          <w:p w14:paraId="31D619EE"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lastRenderedPageBreak/>
              <w:t>10</w:t>
            </w:r>
          </w:p>
        </w:tc>
        <w:tc>
          <w:tcPr>
            <w:tcW w:w="272" w:type="pct"/>
            <w:tcBorders>
              <w:top w:val="single" w:sz="4" w:space="0" w:color="auto"/>
              <w:left w:val="nil"/>
              <w:bottom w:val="single" w:sz="4" w:space="0" w:color="auto"/>
              <w:right w:val="nil"/>
            </w:tcBorders>
            <w:noWrap/>
            <w:hideMark/>
          </w:tcPr>
          <w:p w14:paraId="7DAD95E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auto"/>
              <w:right w:val="nil"/>
            </w:tcBorders>
            <w:hideMark/>
          </w:tcPr>
          <w:p w14:paraId="075D9678"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Health Strategy for the 2030 Health Goals</w:t>
            </w:r>
          </w:p>
        </w:tc>
        <w:tc>
          <w:tcPr>
            <w:tcW w:w="382" w:type="pct"/>
            <w:tcBorders>
              <w:top w:val="single" w:sz="4" w:space="0" w:color="auto"/>
              <w:left w:val="nil"/>
              <w:bottom w:val="single" w:sz="4" w:space="0" w:color="auto"/>
              <w:right w:val="nil"/>
            </w:tcBorders>
            <w:noWrap/>
            <w:hideMark/>
          </w:tcPr>
          <w:p w14:paraId="2C62265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Strategy</w:t>
            </w:r>
          </w:p>
        </w:tc>
        <w:tc>
          <w:tcPr>
            <w:tcW w:w="3038" w:type="pct"/>
            <w:tcBorders>
              <w:top w:val="single" w:sz="4" w:space="0" w:color="auto"/>
              <w:left w:val="nil"/>
              <w:bottom w:val="single" w:sz="4" w:space="0" w:color="auto"/>
              <w:right w:val="nil"/>
            </w:tcBorders>
            <w:hideMark/>
          </w:tcPr>
          <w:p w14:paraId="4C6528DA" w14:textId="107D1B58"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establish the Health Objectives for the Decade 2021-2030, and its consequent National Health Plan, which seeks to ensure health rights, achieve universal coverage and reduce health inequities in the population, and whose </w:t>
            </w:r>
            <w:r w:rsidR="00C71FAE" w:rsidRPr="00F84BB2">
              <w:rPr>
                <w:rFonts w:ascii="Calibri" w:eastAsia="Times New Roman" w:hAnsi="Calibri" w:cs="Calibri"/>
                <w:color w:val="000000"/>
                <w:kern w:val="0"/>
                <w:sz w:val="22"/>
                <w:szCs w:val="22"/>
                <w:lang w:eastAsia="es-MX"/>
                <w14:ligatures w14:val="none"/>
              </w:rPr>
              <w:t>goal</w:t>
            </w:r>
            <w:r w:rsidRPr="00F84BB2">
              <w:rPr>
                <w:rFonts w:ascii="Calibri" w:eastAsia="Times New Roman" w:hAnsi="Calibri" w:cs="Calibri"/>
                <w:color w:val="000000"/>
                <w:kern w:val="0"/>
                <w:sz w:val="22"/>
                <w:szCs w:val="22"/>
                <w:lang w:eastAsia="es-MX"/>
                <w14:ligatures w14:val="none"/>
              </w:rPr>
              <w:t xml:space="preserve"> is to achieve high levels of health for the entire population.</w:t>
            </w:r>
          </w:p>
        </w:tc>
      </w:tr>
      <w:tr w:rsidR="00C71FAE" w:rsidRPr="005E5191" w14:paraId="766982F0" w14:textId="77777777" w:rsidTr="00C71FAE">
        <w:trPr>
          <w:trHeight w:val="645"/>
        </w:trPr>
        <w:tc>
          <w:tcPr>
            <w:tcW w:w="164" w:type="pct"/>
            <w:tcBorders>
              <w:top w:val="single" w:sz="4" w:space="0" w:color="auto"/>
              <w:left w:val="nil"/>
              <w:bottom w:val="single" w:sz="4" w:space="0" w:color="auto"/>
              <w:right w:val="nil"/>
            </w:tcBorders>
            <w:noWrap/>
            <w:hideMark/>
          </w:tcPr>
          <w:p w14:paraId="3C4FFAB4"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11</w:t>
            </w:r>
          </w:p>
        </w:tc>
        <w:tc>
          <w:tcPr>
            <w:tcW w:w="272" w:type="pct"/>
            <w:tcBorders>
              <w:top w:val="single" w:sz="4" w:space="0" w:color="auto"/>
              <w:left w:val="nil"/>
              <w:bottom w:val="single" w:sz="4" w:space="0" w:color="auto"/>
              <w:right w:val="nil"/>
            </w:tcBorders>
            <w:noWrap/>
            <w:hideMark/>
          </w:tcPr>
          <w:p w14:paraId="6351A12F"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auto"/>
              <w:right w:val="nil"/>
            </w:tcBorders>
            <w:hideMark/>
          </w:tcPr>
          <w:p w14:paraId="4DA16117"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Non-Communicable Diseases</w:t>
            </w:r>
          </w:p>
        </w:tc>
        <w:tc>
          <w:tcPr>
            <w:tcW w:w="382" w:type="pct"/>
            <w:tcBorders>
              <w:top w:val="single" w:sz="4" w:space="0" w:color="auto"/>
              <w:left w:val="nil"/>
              <w:bottom w:val="single" w:sz="4" w:space="0" w:color="auto"/>
              <w:right w:val="nil"/>
            </w:tcBorders>
            <w:noWrap/>
            <w:hideMark/>
          </w:tcPr>
          <w:p w14:paraId="4316811A"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auto"/>
              <w:right w:val="nil"/>
            </w:tcBorders>
            <w:hideMark/>
          </w:tcPr>
          <w:p w14:paraId="5163A2C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 xml:space="preserve">To build a ‘Situation Analysis of Non-Communicable Diseases (NCDs)’, which gathers the updated scientific evidence on NCDs at international and national level and exposes the main epidemiological data, as well as the strategies and policies in place to address NCDs. </w:t>
            </w:r>
          </w:p>
        </w:tc>
      </w:tr>
      <w:tr w:rsidR="00C71FAE" w:rsidRPr="005E5191" w14:paraId="1C2D2A94" w14:textId="77777777" w:rsidTr="00C71FAE">
        <w:trPr>
          <w:trHeight w:val="236"/>
        </w:trPr>
        <w:tc>
          <w:tcPr>
            <w:tcW w:w="164" w:type="pct"/>
            <w:tcBorders>
              <w:top w:val="single" w:sz="4" w:space="0" w:color="auto"/>
              <w:left w:val="nil"/>
              <w:bottom w:val="single" w:sz="4" w:space="0" w:color="000000"/>
              <w:right w:val="nil"/>
            </w:tcBorders>
            <w:noWrap/>
            <w:hideMark/>
          </w:tcPr>
          <w:p w14:paraId="48D123AD"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12</w:t>
            </w:r>
          </w:p>
        </w:tc>
        <w:tc>
          <w:tcPr>
            <w:tcW w:w="272" w:type="pct"/>
            <w:tcBorders>
              <w:top w:val="single" w:sz="4" w:space="0" w:color="auto"/>
              <w:left w:val="nil"/>
              <w:bottom w:val="single" w:sz="4" w:space="0" w:color="000000"/>
              <w:right w:val="nil"/>
            </w:tcBorders>
            <w:noWrap/>
            <w:hideMark/>
          </w:tcPr>
          <w:p w14:paraId="1A5292AB"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2022</w:t>
            </w:r>
          </w:p>
        </w:tc>
        <w:tc>
          <w:tcPr>
            <w:tcW w:w="1144" w:type="pct"/>
            <w:tcBorders>
              <w:top w:val="single" w:sz="4" w:space="0" w:color="auto"/>
              <w:left w:val="nil"/>
              <w:bottom w:val="single" w:sz="4" w:space="0" w:color="000000"/>
              <w:right w:val="nil"/>
            </w:tcBorders>
            <w:hideMark/>
          </w:tcPr>
          <w:p w14:paraId="6CD17665"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National Plan on Oral Health 2021-2030</w:t>
            </w:r>
          </w:p>
        </w:tc>
        <w:tc>
          <w:tcPr>
            <w:tcW w:w="382" w:type="pct"/>
            <w:tcBorders>
              <w:top w:val="single" w:sz="4" w:space="0" w:color="auto"/>
              <w:left w:val="nil"/>
              <w:bottom w:val="single" w:sz="4" w:space="0" w:color="000000"/>
              <w:right w:val="nil"/>
            </w:tcBorders>
            <w:noWrap/>
            <w:hideMark/>
          </w:tcPr>
          <w:p w14:paraId="3AB7FD7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Plan</w:t>
            </w:r>
          </w:p>
        </w:tc>
        <w:tc>
          <w:tcPr>
            <w:tcW w:w="3038" w:type="pct"/>
            <w:tcBorders>
              <w:top w:val="single" w:sz="4" w:space="0" w:color="auto"/>
              <w:left w:val="nil"/>
              <w:bottom w:val="single" w:sz="4" w:space="0" w:color="000000"/>
              <w:right w:val="nil"/>
            </w:tcBorders>
            <w:hideMark/>
          </w:tcPr>
          <w:p w14:paraId="3F82E8E3" w14:textId="77777777" w:rsidR="00F84BB2" w:rsidRPr="00F84BB2" w:rsidRDefault="00F84BB2" w:rsidP="00F84BB2">
            <w:pPr>
              <w:rPr>
                <w:rFonts w:ascii="Calibri" w:eastAsia="Times New Roman" w:hAnsi="Calibri" w:cs="Calibri"/>
                <w:color w:val="000000"/>
                <w:kern w:val="0"/>
                <w:sz w:val="22"/>
                <w:szCs w:val="22"/>
                <w:lang w:eastAsia="es-MX"/>
                <w14:ligatures w14:val="none"/>
              </w:rPr>
            </w:pPr>
            <w:r w:rsidRPr="00F84BB2">
              <w:rPr>
                <w:rFonts w:ascii="Calibri" w:eastAsia="Times New Roman" w:hAnsi="Calibri" w:cs="Calibri"/>
                <w:color w:val="000000"/>
                <w:kern w:val="0"/>
                <w:sz w:val="22"/>
                <w:szCs w:val="22"/>
                <w:lang w:eastAsia="es-MX"/>
                <w14:ligatures w14:val="none"/>
              </w:rPr>
              <w:t>To improve the oral health status of the population throughout the life course with a focus on health equity.</w:t>
            </w:r>
          </w:p>
        </w:tc>
      </w:tr>
      <w:tr w:rsidR="00187C59" w:rsidRPr="005E5191" w14:paraId="111578C2" w14:textId="77777777" w:rsidTr="00187C59">
        <w:trPr>
          <w:trHeight w:val="300"/>
        </w:trPr>
        <w:tc>
          <w:tcPr>
            <w:tcW w:w="5000" w:type="pct"/>
            <w:gridSpan w:val="5"/>
            <w:tcBorders>
              <w:top w:val="nil"/>
              <w:left w:val="nil"/>
              <w:bottom w:val="nil"/>
              <w:right w:val="nil"/>
            </w:tcBorders>
            <w:noWrap/>
            <w:vAlign w:val="bottom"/>
            <w:hideMark/>
          </w:tcPr>
          <w:p w14:paraId="0629EA7D" w14:textId="3D3F15B7" w:rsidR="00187C59" w:rsidRPr="00F84BB2" w:rsidRDefault="00187C59" w:rsidP="00F84BB2">
            <w:pPr>
              <w:rPr>
                <w:rFonts w:ascii="Times New Roman" w:eastAsia="Times New Roman" w:hAnsi="Times New Roman" w:cs="Times New Roman"/>
                <w:kern w:val="0"/>
                <w:sz w:val="20"/>
                <w:szCs w:val="20"/>
                <w:lang w:eastAsia="es-MX"/>
                <w14:ligatures w14:val="none"/>
              </w:rPr>
            </w:pPr>
            <w:r w:rsidRPr="00F84BB2">
              <w:rPr>
                <w:rFonts w:ascii="Calibri" w:eastAsia="Times New Roman" w:hAnsi="Calibri" w:cs="Calibri"/>
                <w:b/>
                <w:bCs/>
                <w:color w:val="000000"/>
                <w:kern w:val="0"/>
                <w:sz w:val="22"/>
                <w:szCs w:val="22"/>
                <w:lang w:eastAsia="es-MX"/>
                <w14:ligatures w14:val="none"/>
              </w:rPr>
              <w:t>Note:</w:t>
            </w:r>
            <w:r w:rsidRPr="00F84BB2">
              <w:rPr>
                <w:rFonts w:ascii="Calibri" w:eastAsia="Times New Roman" w:hAnsi="Calibri" w:cs="Calibri"/>
                <w:color w:val="000000"/>
                <w:kern w:val="0"/>
                <w:sz w:val="22"/>
                <w:szCs w:val="22"/>
                <w:lang w:eastAsia="es-MX"/>
                <w14:ligatures w14:val="none"/>
              </w:rPr>
              <w:t xml:space="preserve"> The documents were published by the Ministry of Health, except for the National Policy on Childhood and Adolescence, which was published by the Ministry General Secretariat of the Presidency, which led a council of ministers, including the Ministry of Health. </w:t>
            </w:r>
          </w:p>
        </w:tc>
      </w:tr>
    </w:tbl>
    <w:p w14:paraId="7B8272B1" w14:textId="77777777" w:rsidR="004D7483" w:rsidRDefault="004D7483"/>
    <w:sectPr w:rsidR="004D7483" w:rsidSect="00187C5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4C"/>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494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E266C"/>
    <w:rsid w:val="000E33DD"/>
    <w:rsid w:val="000E6454"/>
    <w:rsid w:val="000E73A1"/>
    <w:rsid w:val="000F15C8"/>
    <w:rsid w:val="000F2B04"/>
    <w:rsid w:val="000F2DB5"/>
    <w:rsid w:val="000F69EA"/>
    <w:rsid w:val="00101F1B"/>
    <w:rsid w:val="00102744"/>
    <w:rsid w:val="00103176"/>
    <w:rsid w:val="00104D0A"/>
    <w:rsid w:val="0010512E"/>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87C59"/>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58CE"/>
    <w:rsid w:val="0040767C"/>
    <w:rsid w:val="0041581E"/>
    <w:rsid w:val="00415F24"/>
    <w:rsid w:val="00423C85"/>
    <w:rsid w:val="004254EA"/>
    <w:rsid w:val="00425ADF"/>
    <w:rsid w:val="00425D41"/>
    <w:rsid w:val="004320EB"/>
    <w:rsid w:val="00435060"/>
    <w:rsid w:val="00435CA8"/>
    <w:rsid w:val="00436FDB"/>
    <w:rsid w:val="00441242"/>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6C1"/>
    <w:rsid w:val="0052744C"/>
    <w:rsid w:val="00532F97"/>
    <w:rsid w:val="0053511E"/>
    <w:rsid w:val="00535F49"/>
    <w:rsid w:val="00540D70"/>
    <w:rsid w:val="005429E0"/>
    <w:rsid w:val="005435FD"/>
    <w:rsid w:val="00545192"/>
    <w:rsid w:val="00546AEF"/>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022"/>
    <w:rsid w:val="005B1C3E"/>
    <w:rsid w:val="005B7DD6"/>
    <w:rsid w:val="005C1C5B"/>
    <w:rsid w:val="005C4F08"/>
    <w:rsid w:val="005D1FB8"/>
    <w:rsid w:val="005D2481"/>
    <w:rsid w:val="005D3206"/>
    <w:rsid w:val="005D55ED"/>
    <w:rsid w:val="005D57D5"/>
    <w:rsid w:val="005E3467"/>
    <w:rsid w:val="005E4B66"/>
    <w:rsid w:val="005E5191"/>
    <w:rsid w:val="005F26EB"/>
    <w:rsid w:val="005F2E9B"/>
    <w:rsid w:val="005F3D24"/>
    <w:rsid w:val="005F59D3"/>
    <w:rsid w:val="00601A99"/>
    <w:rsid w:val="00601D47"/>
    <w:rsid w:val="00604614"/>
    <w:rsid w:val="00604E4C"/>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9D3"/>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1FAE"/>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4BB2"/>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D617810"/>
  <w15:chartTrackingRefBased/>
  <w15:docId w15:val="{FE641AD5-5255-5A41-80DD-391EF3C9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60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0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04E4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04E4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04E4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04E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4E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4E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4E4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604E4C"/>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604E4C"/>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604E4C"/>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604E4C"/>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604E4C"/>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604E4C"/>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604E4C"/>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604E4C"/>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604E4C"/>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604E4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4E4C"/>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604E4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4E4C"/>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604E4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04E4C"/>
    <w:rPr>
      <w:i/>
      <w:iCs/>
      <w:color w:val="404040" w:themeColor="text1" w:themeTint="BF"/>
      <w:lang w:val="en-GB"/>
    </w:rPr>
  </w:style>
  <w:style w:type="paragraph" w:styleId="Prrafodelista">
    <w:name w:val="List Paragraph"/>
    <w:basedOn w:val="Normal"/>
    <w:uiPriority w:val="34"/>
    <w:qFormat/>
    <w:rsid w:val="00604E4C"/>
    <w:pPr>
      <w:ind w:left="720"/>
      <w:contextualSpacing/>
    </w:pPr>
  </w:style>
  <w:style w:type="character" w:styleId="nfasisintenso">
    <w:name w:val="Intense Emphasis"/>
    <w:basedOn w:val="Fuentedeprrafopredeter"/>
    <w:uiPriority w:val="21"/>
    <w:qFormat/>
    <w:rsid w:val="00604E4C"/>
    <w:rPr>
      <w:i/>
      <w:iCs/>
      <w:color w:val="0F4761" w:themeColor="accent1" w:themeShade="BF"/>
    </w:rPr>
  </w:style>
  <w:style w:type="paragraph" w:styleId="Citadestacada">
    <w:name w:val="Intense Quote"/>
    <w:basedOn w:val="Normal"/>
    <w:next w:val="Normal"/>
    <w:link w:val="CitadestacadaCar"/>
    <w:uiPriority w:val="30"/>
    <w:qFormat/>
    <w:rsid w:val="0060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04E4C"/>
    <w:rPr>
      <w:i/>
      <w:iCs/>
      <w:color w:val="0F4761" w:themeColor="accent1" w:themeShade="BF"/>
      <w:lang w:val="en-GB"/>
    </w:rPr>
  </w:style>
  <w:style w:type="character" w:styleId="Referenciaintensa">
    <w:name w:val="Intense Reference"/>
    <w:basedOn w:val="Fuentedeprrafopredeter"/>
    <w:uiPriority w:val="32"/>
    <w:qFormat/>
    <w:rsid w:val="00604E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20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8</TotalTime>
  <Pages>2</Pages>
  <Words>614</Words>
  <Characters>3383</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8</cp:revision>
  <dcterms:created xsi:type="dcterms:W3CDTF">2024-06-03T14:12:00Z</dcterms:created>
  <dcterms:modified xsi:type="dcterms:W3CDTF">2024-06-03T14:25:00Z</dcterms:modified>
</cp:coreProperties>
</file>