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84D79" w14:textId="77777777" w:rsidR="00732734" w:rsidRDefault="00732734" w:rsidP="0073273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APPENDIX A: Search Strategy</w:t>
      </w:r>
    </w:p>
    <w:p w14:paraId="40F106C7" w14:textId="77777777" w:rsidR="00732734" w:rsidRPr="000D3B36" w:rsidRDefault="00732734" w:rsidP="00732734">
      <w:pPr>
        <w:rPr>
          <w:rFonts w:ascii="Times New Roman" w:hAnsi="Times New Roman" w:cs="Times New Roman"/>
          <w:b/>
          <w:bCs/>
          <w:sz w:val="24"/>
          <w:szCs w:val="24"/>
        </w:rPr>
      </w:pPr>
      <w:r w:rsidRPr="000D3B36">
        <w:rPr>
          <w:rFonts w:ascii="Times New Roman" w:hAnsi="Times New Roman" w:cs="Times New Roman"/>
          <w:b/>
          <w:bCs/>
          <w:sz w:val="24"/>
          <w:szCs w:val="24"/>
        </w:rPr>
        <w:t>PubMed</w:t>
      </w:r>
    </w:p>
    <w:p w14:paraId="799DE8BD" w14:textId="77777777" w:rsidR="00732734" w:rsidRDefault="00732734" w:rsidP="00732734">
      <w:pPr>
        <w:jc w:val="both"/>
        <w:rPr>
          <w:rFonts w:ascii="Times New Roman" w:hAnsi="Times New Roman" w:cs="Times New Roman"/>
          <w:sz w:val="24"/>
          <w:szCs w:val="24"/>
        </w:rPr>
      </w:pPr>
      <w:r w:rsidRPr="00DD39D6">
        <w:rPr>
          <w:rFonts w:ascii="Times New Roman" w:hAnsi="Times New Roman" w:cs="Times New Roman"/>
          <w:b/>
          <w:bCs/>
          <w:sz w:val="24"/>
          <w:szCs w:val="24"/>
        </w:rPr>
        <w:t>[All fields]</w:t>
      </w:r>
      <w:r>
        <w:rPr>
          <w:rFonts w:ascii="Times New Roman" w:hAnsi="Times New Roman" w:cs="Times New Roman"/>
          <w:sz w:val="24"/>
          <w:szCs w:val="24"/>
        </w:rPr>
        <w:t xml:space="preserve"> </w:t>
      </w:r>
      <w:r w:rsidRPr="00F90D18">
        <w:rPr>
          <w:rFonts w:ascii="Times New Roman" w:hAnsi="Times New Roman" w:cs="Times New Roman"/>
          <w:sz w:val="24"/>
          <w:szCs w:val="24"/>
        </w:rPr>
        <w:t>(Artificial intelligence OR AI or machine learning OR machine learning algorithm OR deep learning OR neural network OR artificial neural network OR grade boosting machine learning OR simplified artificial neural network OR random forest OR support vector machine OR fuzzy logic OR K-nearest neighbors OR decision tree) AND (anesthesia OR anesthesiology OR anaesthesia OR anaesthesiology OR anesthesia department OR anesthesia field OR anesthesiologist)</w:t>
      </w:r>
    </w:p>
    <w:p w14:paraId="39F6A2CE" w14:textId="77777777" w:rsidR="00732734" w:rsidRDefault="00732734" w:rsidP="00732734">
      <w:pPr>
        <w:jc w:val="both"/>
        <w:rPr>
          <w:rFonts w:ascii="Times New Roman" w:hAnsi="Times New Roman" w:cs="Times New Roman"/>
          <w:sz w:val="24"/>
          <w:szCs w:val="24"/>
        </w:rPr>
      </w:pPr>
      <w:r w:rsidRPr="00DD39D6">
        <w:rPr>
          <w:rFonts w:ascii="Times New Roman" w:hAnsi="Times New Roman" w:cs="Times New Roman"/>
          <w:b/>
          <w:bCs/>
          <w:sz w:val="24"/>
          <w:szCs w:val="24"/>
        </w:rPr>
        <w:t>[Titles/Abstract]</w:t>
      </w:r>
      <w:r>
        <w:rPr>
          <w:rFonts w:ascii="Times New Roman" w:hAnsi="Times New Roman" w:cs="Times New Roman"/>
          <w:sz w:val="24"/>
          <w:szCs w:val="24"/>
        </w:rPr>
        <w:t xml:space="preserve"> </w:t>
      </w:r>
      <w:r w:rsidRPr="00570980">
        <w:rPr>
          <w:rFonts w:ascii="Times New Roman" w:hAnsi="Times New Roman" w:cs="Times New Roman"/>
          <w:sz w:val="24"/>
          <w:szCs w:val="24"/>
        </w:rPr>
        <w:t>(Artificial intelligence OR AI or machine learning OR machine learning algorithm OR deep learning OR neural network OR artificial neural network OR  grade boosting machine learning OR simplified artificial neural network OR random forest OR support vector machine OR fuzzy logic OR K-nearest neighbors OR  decision tree) AND (anesthesia OR anesthesiology OR anaesthesia OR anaesthesiology OR anesthesia department OR anesthesia field OR anesthesiologist)</w:t>
      </w:r>
    </w:p>
    <w:p w14:paraId="45D09453" w14:textId="77777777" w:rsidR="00732734" w:rsidRDefault="00732734" w:rsidP="00732734">
      <w:pPr>
        <w:rPr>
          <w:rFonts w:ascii="Times New Roman" w:hAnsi="Times New Roman" w:cs="Times New Roman"/>
          <w:b/>
          <w:bCs/>
          <w:sz w:val="24"/>
          <w:szCs w:val="24"/>
        </w:rPr>
      </w:pPr>
      <w:r w:rsidRPr="00261B62">
        <w:rPr>
          <w:rFonts w:ascii="Times New Roman" w:hAnsi="Times New Roman" w:cs="Times New Roman"/>
          <w:b/>
          <w:bCs/>
          <w:sz w:val="24"/>
          <w:szCs w:val="24"/>
        </w:rPr>
        <w:t>Google Scholar</w:t>
      </w:r>
    </w:p>
    <w:p w14:paraId="6DD705AC" w14:textId="77777777" w:rsidR="00732734" w:rsidRDefault="00732734" w:rsidP="00732734">
      <w:pPr>
        <w:jc w:val="both"/>
        <w:rPr>
          <w:rFonts w:ascii="Times New Roman" w:hAnsi="Times New Roman" w:cs="Times New Roman"/>
          <w:sz w:val="24"/>
          <w:szCs w:val="24"/>
        </w:rPr>
      </w:pPr>
      <w:r>
        <w:rPr>
          <w:rFonts w:ascii="Times New Roman" w:hAnsi="Times New Roman" w:cs="Times New Roman"/>
          <w:b/>
          <w:bCs/>
          <w:sz w:val="24"/>
          <w:szCs w:val="24"/>
        </w:rPr>
        <w:t>[with all of the words] (</w:t>
      </w:r>
      <w:r w:rsidRPr="00F90D18">
        <w:rPr>
          <w:rFonts w:ascii="Times New Roman" w:hAnsi="Times New Roman" w:cs="Times New Roman"/>
          <w:sz w:val="24"/>
          <w:szCs w:val="24"/>
        </w:rPr>
        <w:t>Artificial intelligence OR AI or machine learning OR machine learning algorithm</w:t>
      </w:r>
      <w:r>
        <w:rPr>
          <w:rFonts w:ascii="Times New Roman" w:hAnsi="Times New Roman" w:cs="Times New Roman"/>
          <w:sz w:val="24"/>
          <w:szCs w:val="24"/>
        </w:rPr>
        <w:t>) AND (</w:t>
      </w:r>
      <w:r w:rsidRPr="00570980">
        <w:rPr>
          <w:rFonts w:ascii="Times New Roman" w:hAnsi="Times New Roman" w:cs="Times New Roman"/>
          <w:sz w:val="24"/>
          <w:szCs w:val="24"/>
        </w:rPr>
        <w:t>anesthesia OR anesthesiology OR anaesthesia OR anaesthesiology OR anesthesia department OR anesthesia field OR anesthesiologist</w:t>
      </w:r>
      <w:r>
        <w:rPr>
          <w:rFonts w:ascii="Times New Roman" w:hAnsi="Times New Roman" w:cs="Times New Roman"/>
          <w:sz w:val="24"/>
          <w:szCs w:val="24"/>
        </w:rPr>
        <w:t>)</w:t>
      </w:r>
    </w:p>
    <w:p w14:paraId="6D01894C" w14:textId="77777777" w:rsidR="00732734" w:rsidRDefault="00732734" w:rsidP="00732734">
      <w:pPr>
        <w:jc w:val="both"/>
        <w:rPr>
          <w:rFonts w:ascii="Times New Roman" w:hAnsi="Times New Roman" w:cs="Times New Roman"/>
          <w:sz w:val="24"/>
          <w:szCs w:val="24"/>
        </w:rPr>
      </w:pPr>
      <w:r w:rsidRPr="00DD39D6">
        <w:rPr>
          <w:rFonts w:ascii="Times New Roman" w:hAnsi="Times New Roman" w:cs="Times New Roman"/>
          <w:b/>
          <w:bCs/>
          <w:sz w:val="24"/>
          <w:szCs w:val="24"/>
        </w:rPr>
        <w:t>[with at least one of the words]</w:t>
      </w:r>
      <w:r>
        <w:rPr>
          <w:rFonts w:ascii="Times New Roman" w:hAnsi="Times New Roman" w:cs="Times New Roman"/>
          <w:sz w:val="24"/>
          <w:szCs w:val="24"/>
        </w:rPr>
        <w:t xml:space="preserve"> </w:t>
      </w:r>
      <w:r w:rsidRPr="00570980">
        <w:rPr>
          <w:rFonts w:ascii="Times New Roman" w:hAnsi="Times New Roman" w:cs="Times New Roman"/>
          <w:sz w:val="24"/>
          <w:szCs w:val="24"/>
        </w:rPr>
        <w:t>machine learning algorithm OR deep learning OR neural network OR artificial neural network OR  grade boosting machine learning OR simplified artificial neural network OR random forest OR support vector machine OR fuzzy logic OR K-nearest neighbors OR  decision tree)</w:t>
      </w:r>
      <w:r>
        <w:rPr>
          <w:rFonts w:ascii="Times New Roman" w:hAnsi="Times New Roman" w:cs="Times New Roman"/>
          <w:sz w:val="24"/>
          <w:szCs w:val="24"/>
        </w:rPr>
        <w:t xml:space="preserve"> AND (intubations OR tracheal intubation OR predicting events OR hypotension OR hypoxemia OR postoperative vomiting OR postoperative nausea and vomiting OR nerve block OR ultrasound guided nerve block)</w:t>
      </w:r>
    </w:p>
    <w:p w14:paraId="6EFD2583" w14:textId="77777777" w:rsidR="00732734" w:rsidRPr="009E3518" w:rsidRDefault="00732734" w:rsidP="00732734">
      <w:pPr>
        <w:rPr>
          <w:rFonts w:ascii="Times New Roman" w:hAnsi="Times New Roman" w:cs="Times New Roman"/>
          <w:b/>
          <w:bCs/>
          <w:sz w:val="24"/>
          <w:szCs w:val="24"/>
        </w:rPr>
      </w:pPr>
      <w:r w:rsidRPr="009E3518">
        <w:rPr>
          <w:rFonts w:ascii="Times New Roman" w:hAnsi="Times New Roman" w:cs="Times New Roman"/>
          <w:b/>
          <w:bCs/>
          <w:sz w:val="24"/>
          <w:szCs w:val="24"/>
        </w:rPr>
        <w:t>Web of Science</w:t>
      </w:r>
    </w:p>
    <w:p w14:paraId="00950B01" w14:textId="77777777" w:rsidR="00732734" w:rsidRDefault="00732734" w:rsidP="00732734">
      <w:pPr>
        <w:jc w:val="both"/>
        <w:rPr>
          <w:rFonts w:ascii="Times New Roman" w:hAnsi="Times New Roman" w:cs="Times New Roman"/>
          <w:sz w:val="24"/>
          <w:szCs w:val="24"/>
        </w:rPr>
      </w:pPr>
      <w:r w:rsidRPr="00570980">
        <w:rPr>
          <w:rFonts w:ascii="Times New Roman" w:hAnsi="Times New Roman" w:cs="Times New Roman"/>
          <w:sz w:val="24"/>
          <w:szCs w:val="24"/>
        </w:rPr>
        <w:t>(Artificial intelligence OR AI or machine learning OR machine learning algorithm OR deep learning OR neural network OR artificial neural network OR  grade boosting machine learning OR simplified artificial neural network OR random forest OR support vector machine OR fuzzy logic OR K-nearest neighbors OR  decision tree) AND (anesthesia OR anesthesiology OR anaesthesia OR anaesthesiology OR anesthesia department OR anesthesia field OR anesthesiologist)</w:t>
      </w:r>
      <w:r>
        <w:rPr>
          <w:rFonts w:ascii="Times New Roman" w:hAnsi="Times New Roman" w:cs="Times New Roman"/>
          <w:sz w:val="24"/>
          <w:szCs w:val="24"/>
        </w:rPr>
        <w:t xml:space="preserve"> AND (intubations OR tracheal intubation OR predicting events OR hypotension OR hypoxemia OR postoperative vomiting OR postoperative nausea and vomiting OR nerve block OR ultrasound guided nerve block)</w:t>
      </w:r>
    </w:p>
    <w:p w14:paraId="70D3D4F1" w14:textId="77777777" w:rsidR="00732734" w:rsidRDefault="00732734" w:rsidP="00732734">
      <w:pPr>
        <w:rPr>
          <w:rFonts w:ascii="Times New Roman" w:hAnsi="Times New Roman" w:cs="Times New Roman"/>
          <w:sz w:val="24"/>
          <w:szCs w:val="24"/>
        </w:rPr>
      </w:pPr>
      <w:r>
        <w:rPr>
          <w:rFonts w:ascii="Times New Roman" w:hAnsi="Times New Roman" w:cs="Times New Roman"/>
          <w:sz w:val="24"/>
          <w:szCs w:val="24"/>
        </w:rPr>
        <w:t>IEEE Xplore</w:t>
      </w:r>
    </w:p>
    <w:p w14:paraId="099D0882" w14:textId="77777777" w:rsidR="00732734" w:rsidRDefault="00732734" w:rsidP="0073273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[All Metadata] </w:t>
      </w:r>
      <w:r w:rsidRPr="00570980">
        <w:rPr>
          <w:rFonts w:ascii="Times New Roman" w:hAnsi="Times New Roman" w:cs="Times New Roman"/>
          <w:sz w:val="24"/>
          <w:szCs w:val="24"/>
        </w:rPr>
        <w:t>(Artificial intelligence OR AI or machine learning OR machine learning algorithm OR deep learning OR neural network OR artificial neural network OR  grade boosting machine learning OR simplified artificial neural network OR random forest OR support vector machine OR fuzzy logic OR K-nearest neighbors OR  decision tree) AND (anesthesia OR anesthesiology OR anaesthesia OR anaesthesiology OR anesthesia department OR anesthesia field OR anesthesiologist)</w:t>
      </w:r>
      <w:r>
        <w:rPr>
          <w:rFonts w:ascii="Times New Roman" w:hAnsi="Times New Roman" w:cs="Times New Roman"/>
          <w:sz w:val="24"/>
          <w:szCs w:val="24"/>
        </w:rPr>
        <w:t xml:space="preserve"> AND (intubations OR tracheal intubation OR predicting events OR hypotension OR hypoxemia OR postoperative vomiting OR postoperative nausea and vomiting OR nerve block OR ultrasound guided nerve block)</w:t>
      </w:r>
    </w:p>
    <w:p w14:paraId="685C11E8" w14:textId="77777777" w:rsidR="00732734" w:rsidRDefault="00732734" w:rsidP="00732734">
      <w:pPr>
        <w:rPr>
          <w:rFonts w:ascii="Times New Roman" w:hAnsi="Times New Roman" w:cs="Times New Roman"/>
          <w:sz w:val="24"/>
          <w:szCs w:val="24"/>
        </w:rPr>
      </w:pPr>
    </w:p>
    <w:p w14:paraId="2F27D157" w14:textId="77777777" w:rsidR="00732734" w:rsidRDefault="00732734" w:rsidP="00732734">
      <w:pPr>
        <w:rPr>
          <w:rFonts w:ascii="Times New Roman" w:hAnsi="Times New Roman" w:cs="Times New Roman"/>
          <w:sz w:val="24"/>
          <w:szCs w:val="24"/>
        </w:rPr>
      </w:pPr>
    </w:p>
    <w:p w14:paraId="2596CB34" w14:textId="77777777" w:rsidR="00732734" w:rsidRDefault="00732734" w:rsidP="00732734">
      <w:pPr>
        <w:rPr>
          <w:rFonts w:ascii="Times New Roman" w:hAnsi="Times New Roman" w:cs="Times New Roman"/>
          <w:sz w:val="24"/>
          <w:szCs w:val="24"/>
        </w:rPr>
      </w:pPr>
    </w:p>
    <w:p w14:paraId="24FE4024" w14:textId="77777777" w:rsidR="00732734" w:rsidRDefault="00732734" w:rsidP="00732734">
      <w:pPr>
        <w:rPr>
          <w:rFonts w:ascii="Times New Roman" w:hAnsi="Times New Roman" w:cs="Times New Roman"/>
          <w:sz w:val="24"/>
          <w:szCs w:val="24"/>
        </w:rPr>
      </w:pPr>
    </w:p>
    <w:p w14:paraId="48EF6C09" w14:textId="77777777" w:rsidR="00732734" w:rsidRDefault="00732734" w:rsidP="00732734">
      <w:pPr>
        <w:rPr>
          <w:rFonts w:ascii="Times New Roman" w:hAnsi="Times New Roman" w:cs="Times New Roman"/>
          <w:sz w:val="24"/>
          <w:szCs w:val="24"/>
        </w:rPr>
      </w:pPr>
    </w:p>
    <w:p w14:paraId="24106FA3" w14:textId="77777777" w:rsidR="00732734" w:rsidRDefault="00732734" w:rsidP="00732734">
      <w:pPr>
        <w:rPr>
          <w:rFonts w:ascii="Times New Roman" w:hAnsi="Times New Roman" w:cs="Times New Roman"/>
          <w:sz w:val="24"/>
          <w:szCs w:val="24"/>
        </w:rPr>
      </w:pPr>
    </w:p>
    <w:p w14:paraId="259775F1" w14:textId="77777777" w:rsidR="00732734" w:rsidRDefault="00732734" w:rsidP="00732734">
      <w:pPr>
        <w:rPr>
          <w:rFonts w:ascii="Times New Roman" w:hAnsi="Times New Roman" w:cs="Times New Roman"/>
          <w:sz w:val="24"/>
          <w:szCs w:val="24"/>
        </w:rPr>
      </w:pPr>
    </w:p>
    <w:p w14:paraId="3E945B18" w14:textId="77777777" w:rsidR="00732734" w:rsidRDefault="00732734" w:rsidP="00732734">
      <w:pPr>
        <w:rPr>
          <w:rFonts w:ascii="Times New Roman" w:hAnsi="Times New Roman" w:cs="Times New Roman"/>
          <w:sz w:val="24"/>
          <w:szCs w:val="24"/>
        </w:rPr>
      </w:pPr>
    </w:p>
    <w:p w14:paraId="5C777891" w14:textId="77777777" w:rsidR="00732734" w:rsidRDefault="00732734" w:rsidP="00732734">
      <w:pPr>
        <w:rPr>
          <w:rFonts w:ascii="Times New Roman" w:hAnsi="Times New Roman" w:cs="Times New Roman"/>
          <w:sz w:val="24"/>
          <w:szCs w:val="24"/>
        </w:rPr>
      </w:pPr>
    </w:p>
    <w:p w14:paraId="6E592C23" w14:textId="77777777" w:rsidR="00732734" w:rsidRDefault="00732734" w:rsidP="00732734">
      <w:pPr>
        <w:rPr>
          <w:rFonts w:ascii="Times New Roman" w:hAnsi="Times New Roman" w:cs="Times New Roman"/>
          <w:sz w:val="24"/>
          <w:szCs w:val="24"/>
        </w:rPr>
      </w:pPr>
    </w:p>
    <w:p w14:paraId="6DFF3645" w14:textId="77777777" w:rsidR="00732734" w:rsidRDefault="00732734" w:rsidP="00732734">
      <w:pPr>
        <w:rPr>
          <w:rFonts w:ascii="Times New Roman" w:hAnsi="Times New Roman" w:cs="Times New Roman"/>
          <w:sz w:val="24"/>
          <w:szCs w:val="24"/>
        </w:rPr>
      </w:pPr>
    </w:p>
    <w:p w14:paraId="72D1E322" w14:textId="77777777" w:rsidR="00732734" w:rsidRDefault="00732734" w:rsidP="00732734">
      <w:pPr>
        <w:rPr>
          <w:rFonts w:ascii="Times New Roman" w:hAnsi="Times New Roman" w:cs="Times New Roman"/>
          <w:sz w:val="24"/>
          <w:szCs w:val="24"/>
        </w:rPr>
      </w:pPr>
    </w:p>
    <w:p w14:paraId="7903891B" w14:textId="77777777" w:rsidR="00732734" w:rsidRDefault="00732734" w:rsidP="00732734">
      <w:pPr>
        <w:rPr>
          <w:rFonts w:ascii="Times New Roman" w:hAnsi="Times New Roman" w:cs="Times New Roman"/>
          <w:sz w:val="24"/>
          <w:szCs w:val="24"/>
        </w:rPr>
      </w:pPr>
    </w:p>
    <w:p w14:paraId="17AFD775" w14:textId="77777777" w:rsidR="00732734" w:rsidRDefault="00732734" w:rsidP="00732734">
      <w:pPr>
        <w:rPr>
          <w:rFonts w:ascii="Times New Roman" w:hAnsi="Times New Roman" w:cs="Times New Roman"/>
          <w:sz w:val="24"/>
          <w:szCs w:val="24"/>
        </w:rPr>
      </w:pPr>
    </w:p>
    <w:p w14:paraId="4FE966B7" w14:textId="77777777" w:rsidR="00732734" w:rsidRDefault="00732734" w:rsidP="00732734">
      <w:pPr>
        <w:rPr>
          <w:rFonts w:ascii="Times New Roman" w:hAnsi="Times New Roman" w:cs="Times New Roman"/>
          <w:sz w:val="24"/>
          <w:szCs w:val="24"/>
        </w:rPr>
      </w:pPr>
    </w:p>
    <w:p w14:paraId="481651B2" w14:textId="77777777" w:rsidR="00732734" w:rsidRDefault="00732734" w:rsidP="00732734">
      <w:pPr>
        <w:rPr>
          <w:rFonts w:ascii="Times New Roman" w:hAnsi="Times New Roman" w:cs="Times New Roman"/>
          <w:sz w:val="24"/>
          <w:szCs w:val="24"/>
        </w:rPr>
      </w:pPr>
    </w:p>
    <w:p w14:paraId="1B4903FD" w14:textId="77777777" w:rsidR="00732734" w:rsidRDefault="00732734" w:rsidP="00732734">
      <w:pPr>
        <w:rPr>
          <w:rFonts w:ascii="Times New Roman" w:hAnsi="Times New Roman" w:cs="Times New Roman"/>
          <w:sz w:val="24"/>
          <w:szCs w:val="24"/>
        </w:rPr>
      </w:pPr>
    </w:p>
    <w:p w14:paraId="5B2AD115" w14:textId="77777777" w:rsidR="00732734" w:rsidRDefault="00732734" w:rsidP="00732734">
      <w:pPr>
        <w:rPr>
          <w:rFonts w:ascii="Times New Roman" w:hAnsi="Times New Roman" w:cs="Times New Roman"/>
          <w:sz w:val="24"/>
          <w:szCs w:val="24"/>
        </w:rPr>
      </w:pPr>
    </w:p>
    <w:p w14:paraId="14A3FA1C" w14:textId="77777777" w:rsidR="00732734" w:rsidRDefault="00732734" w:rsidP="00732734">
      <w:pPr>
        <w:rPr>
          <w:rFonts w:ascii="Times New Roman" w:hAnsi="Times New Roman" w:cs="Times New Roman"/>
          <w:sz w:val="24"/>
          <w:szCs w:val="24"/>
        </w:rPr>
      </w:pPr>
    </w:p>
    <w:p w14:paraId="71BEB1BA" w14:textId="77777777" w:rsidR="00732734" w:rsidRDefault="00732734" w:rsidP="00732734">
      <w:pPr>
        <w:rPr>
          <w:rFonts w:ascii="Times New Roman" w:hAnsi="Times New Roman" w:cs="Times New Roman"/>
          <w:sz w:val="24"/>
          <w:szCs w:val="24"/>
        </w:rPr>
      </w:pPr>
    </w:p>
    <w:p w14:paraId="3BB51732" w14:textId="77777777" w:rsidR="00732734" w:rsidRDefault="00732734" w:rsidP="00732734">
      <w:pPr>
        <w:rPr>
          <w:rFonts w:ascii="Times New Roman" w:hAnsi="Times New Roman" w:cs="Times New Roman"/>
          <w:sz w:val="24"/>
          <w:szCs w:val="24"/>
        </w:rPr>
      </w:pPr>
    </w:p>
    <w:p w14:paraId="2D479EEC" w14:textId="77777777" w:rsidR="00732734" w:rsidRDefault="00732734" w:rsidP="00732734">
      <w:pPr>
        <w:rPr>
          <w:rFonts w:ascii="Times New Roman" w:hAnsi="Times New Roman" w:cs="Times New Roman"/>
          <w:sz w:val="24"/>
          <w:szCs w:val="24"/>
        </w:rPr>
      </w:pPr>
    </w:p>
    <w:p w14:paraId="2FA8A1B2" w14:textId="77777777" w:rsidR="00732734" w:rsidRDefault="00732734" w:rsidP="00732734">
      <w:pPr>
        <w:rPr>
          <w:rFonts w:ascii="Times New Roman" w:hAnsi="Times New Roman" w:cs="Times New Roman"/>
          <w:sz w:val="24"/>
          <w:szCs w:val="24"/>
        </w:rPr>
      </w:pPr>
    </w:p>
    <w:p w14:paraId="734FFAF5" w14:textId="77777777" w:rsidR="00732734" w:rsidRDefault="00732734" w:rsidP="00732734">
      <w:pPr>
        <w:rPr>
          <w:rFonts w:ascii="Times New Roman" w:hAnsi="Times New Roman" w:cs="Times New Roman"/>
          <w:sz w:val="24"/>
          <w:szCs w:val="24"/>
        </w:rPr>
      </w:pPr>
    </w:p>
    <w:p w14:paraId="5E5B8C47" w14:textId="77777777" w:rsidR="00732734" w:rsidRDefault="00732734" w:rsidP="00732734">
      <w:pPr>
        <w:rPr>
          <w:rFonts w:ascii="Times New Roman" w:hAnsi="Times New Roman" w:cs="Times New Roman"/>
          <w:sz w:val="24"/>
          <w:szCs w:val="24"/>
        </w:rPr>
      </w:pPr>
    </w:p>
    <w:p w14:paraId="7921629F" w14:textId="77777777" w:rsidR="00732734" w:rsidRDefault="00732734" w:rsidP="00732734">
      <w:pPr>
        <w:rPr>
          <w:rFonts w:ascii="Times New Roman" w:eastAsia="Times New Roman" w:hAnsi="Times New Roman" w:cs="Times New Roman"/>
          <w:b/>
          <w:bCs/>
          <w:sz w:val="24"/>
          <w:szCs w:val="24"/>
        </w:rPr>
        <w:sectPr w:rsidR="00732734" w:rsidSect="00732734">
          <w:pgSz w:w="15840" w:h="12240" w:orient="landscape"/>
          <w:pgMar w:top="1440" w:right="1440" w:bottom="1440" w:left="1440" w:header="720" w:footer="720" w:gutter="0"/>
          <w:cols w:space="720"/>
          <w:docGrid w:linePitch="360"/>
        </w:sectPr>
      </w:pPr>
    </w:p>
    <w:p w14:paraId="10D15E02" w14:textId="77777777" w:rsidR="00732734" w:rsidRPr="00921408" w:rsidRDefault="00732734" w:rsidP="00732734">
      <w:pPr>
        <w:rPr>
          <w:rFonts w:ascii="Times New Roman" w:hAnsi="Times New Roman" w:cs="Times New Roman"/>
          <w:sz w:val="24"/>
          <w:szCs w:val="24"/>
        </w:rPr>
      </w:pPr>
      <w:r w:rsidRPr="005079EA">
        <w:rPr>
          <w:rFonts w:ascii="Times New Roman" w:eastAsia="Times New Roman" w:hAnsi="Times New Roman" w:cs="Times New Roman"/>
          <w:b/>
          <w:bCs/>
          <w:sz w:val="24"/>
          <w:szCs w:val="24"/>
        </w:rPr>
        <w:lastRenderedPageBreak/>
        <w:t>APPENDIX B</w:t>
      </w:r>
      <w:r>
        <w:rPr>
          <w:rFonts w:ascii="Times New Roman" w:eastAsia="Times New Roman" w:hAnsi="Times New Roman" w:cs="Times New Roman"/>
          <w:b/>
          <w:bCs/>
          <w:sz w:val="24"/>
          <w:szCs w:val="24"/>
        </w:rPr>
        <w:t>: Quality Appraisal</w:t>
      </w:r>
    </w:p>
    <w:p w14:paraId="4B102A19" w14:textId="77777777" w:rsidR="00732734" w:rsidRDefault="00732734" w:rsidP="0073273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5: Methodological quality using the Newcastle Ottawa Scale</w:t>
      </w:r>
    </w:p>
    <w:tbl>
      <w:tblPr>
        <w:tblStyle w:val="GridTable4-Accent3"/>
        <w:tblW w:w="55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2101"/>
        <w:gridCol w:w="1096"/>
        <w:gridCol w:w="1389"/>
        <w:gridCol w:w="1083"/>
        <w:gridCol w:w="1924"/>
        <w:gridCol w:w="1283"/>
        <w:gridCol w:w="1203"/>
        <w:gridCol w:w="950"/>
        <w:gridCol w:w="745"/>
        <w:gridCol w:w="990"/>
      </w:tblGrid>
      <w:tr w:rsidR="00732734" w:rsidRPr="00417083" w14:paraId="78797AAB" w14:textId="77777777" w:rsidTr="003970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Pr>
          <w:p w14:paraId="462BE3D6" w14:textId="77777777" w:rsidR="00732734" w:rsidRPr="00417083" w:rsidRDefault="00732734" w:rsidP="0039700A">
            <w:pPr>
              <w:rPr>
                <w:rFonts w:ascii="Times New Roman" w:hAnsi="Times New Roman" w:cs="Times New Roman"/>
                <w:sz w:val="24"/>
                <w:szCs w:val="32"/>
              </w:rPr>
            </w:pPr>
            <w:r w:rsidRPr="005638C4">
              <w:rPr>
                <w:rFonts w:ascii="Times New Roman" w:hAnsi="Times New Roman" w:cs="Times New Roman"/>
                <w:sz w:val="24"/>
                <w:szCs w:val="24"/>
              </w:rPr>
              <w:t>Study ID</w:t>
            </w:r>
          </w:p>
        </w:tc>
        <w:tc>
          <w:tcPr>
            <w:tcW w:w="731" w:type="pct"/>
            <w:hideMark/>
          </w:tcPr>
          <w:p w14:paraId="1CD07205" w14:textId="77777777" w:rsidR="00732734" w:rsidRPr="00417083" w:rsidRDefault="00732734" w:rsidP="003970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417083">
              <w:rPr>
                <w:rFonts w:ascii="Times New Roman" w:hAnsi="Times New Roman" w:cs="Times New Roman"/>
                <w:sz w:val="24"/>
                <w:szCs w:val="32"/>
              </w:rPr>
              <w:t xml:space="preserve">Exposed </w:t>
            </w:r>
            <w:r>
              <w:rPr>
                <w:rFonts w:ascii="Times New Roman" w:hAnsi="Times New Roman" w:cs="Times New Roman"/>
                <w:sz w:val="24"/>
                <w:szCs w:val="32"/>
              </w:rPr>
              <w:t>c</w:t>
            </w:r>
            <w:r w:rsidRPr="00417083">
              <w:rPr>
                <w:rFonts w:ascii="Times New Roman" w:hAnsi="Times New Roman" w:cs="Times New Roman"/>
                <w:sz w:val="24"/>
                <w:szCs w:val="32"/>
              </w:rPr>
              <w:t xml:space="preserve">ohort </w:t>
            </w:r>
            <w:r>
              <w:rPr>
                <w:rFonts w:ascii="Times New Roman" w:hAnsi="Times New Roman" w:cs="Times New Roman"/>
                <w:sz w:val="24"/>
                <w:szCs w:val="32"/>
              </w:rPr>
              <w:t>r</w:t>
            </w:r>
            <w:r w:rsidRPr="00417083">
              <w:rPr>
                <w:rFonts w:ascii="Times New Roman" w:hAnsi="Times New Roman" w:cs="Times New Roman"/>
                <w:sz w:val="24"/>
                <w:szCs w:val="32"/>
              </w:rPr>
              <w:t>epresentativeness</w:t>
            </w:r>
          </w:p>
        </w:tc>
        <w:tc>
          <w:tcPr>
            <w:tcW w:w="381" w:type="pct"/>
            <w:hideMark/>
          </w:tcPr>
          <w:p w14:paraId="03B2E52A" w14:textId="77777777" w:rsidR="00732734" w:rsidRPr="00417083" w:rsidRDefault="00732734" w:rsidP="003970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417083">
              <w:rPr>
                <w:rFonts w:ascii="Times New Roman" w:hAnsi="Times New Roman" w:cs="Times New Roman"/>
                <w:sz w:val="24"/>
                <w:szCs w:val="32"/>
              </w:rPr>
              <w:t xml:space="preserve">Non-exposed </w:t>
            </w:r>
            <w:r>
              <w:rPr>
                <w:rFonts w:ascii="Times New Roman" w:hAnsi="Times New Roman" w:cs="Times New Roman"/>
                <w:sz w:val="24"/>
                <w:szCs w:val="32"/>
              </w:rPr>
              <w:t>c</w:t>
            </w:r>
            <w:r w:rsidRPr="00417083">
              <w:rPr>
                <w:rFonts w:ascii="Times New Roman" w:hAnsi="Times New Roman" w:cs="Times New Roman"/>
                <w:sz w:val="24"/>
                <w:szCs w:val="32"/>
              </w:rPr>
              <w:t xml:space="preserve">ohort </w:t>
            </w:r>
            <w:r>
              <w:rPr>
                <w:rFonts w:ascii="Times New Roman" w:hAnsi="Times New Roman" w:cs="Times New Roman"/>
                <w:sz w:val="24"/>
                <w:szCs w:val="32"/>
              </w:rPr>
              <w:t>s</w:t>
            </w:r>
            <w:r w:rsidRPr="00417083">
              <w:rPr>
                <w:rFonts w:ascii="Times New Roman" w:hAnsi="Times New Roman" w:cs="Times New Roman"/>
                <w:sz w:val="24"/>
                <w:szCs w:val="32"/>
              </w:rPr>
              <w:t>election</w:t>
            </w:r>
          </w:p>
        </w:tc>
        <w:tc>
          <w:tcPr>
            <w:tcW w:w="483" w:type="pct"/>
            <w:hideMark/>
          </w:tcPr>
          <w:p w14:paraId="010E2A58" w14:textId="77777777" w:rsidR="00732734" w:rsidRPr="00417083" w:rsidRDefault="00732734" w:rsidP="003970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417083">
              <w:rPr>
                <w:rFonts w:ascii="Times New Roman" w:hAnsi="Times New Roman" w:cs="Times New Roman"/>
                <w:sz w:val="24"/>
                <w:szCs w:val="32"/>
              </w:rPr>
              <w:t xml:space="preserve">Exposure </w:t>
            </w:r>
            <w:r>
              <w:rPr>
                <w:rFonts w:ascii="Times New Roman" w:hAnsi="Times New Roman" w:cs="Times New Roman"/>
                <w:sz w:val="24"/>
                <w:szCs w:val="32"/>
              </w:rPr>
              <w:t>v</w:t>
            </w:r>
            <w:r w:rsidRPr="00417083">
              <w:rPr>
                <w:rFonts w:ascii="Times New Roman" w:hAnsi="Times New Roman" w:cs="Times New Roman"/>
                <w:sz w:val="24"/>
                <w:szCs w:val="32"/>
              </w:rPr>
              <w:t>erification</w:t>
            </w:r>
          </w:p>
        </w:tc>
        <w:tc>
          <w:tcPr>
            <w:tcW w:w="377" w:type="pct"/>
            <w:hideMark/>
          </w:tcPr>
          <w:p w14:paraId="177B1A48" w14:textId="77777777" w:rsidR="00732734" w:rsidRPr="00417083" w:rsidRDefault="00732734" w:rsidP="003970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417083">
              <w:rPr>
                <w:rFonts w:ascii="Times New Roman" w:hAnsi="Times New Roman" w:cs="Times New Roman"/>
                <w:sz w:val="24"/>
                <w:szCs w:val="32"/>
              </w:rPr>
              <w:t xml:space="preserve">Initial </w:t>
            </w:r>
            <w:r>
              <w:rPr>
                <w:rFonts w:ascii="Times New Roman" w:hAnsi="Times New Roman" w:cs="Times New Roman"/>
                <w:sz w:val="24"/>
                <w:szCs w:val="32"/>
              </w:rPr>
              <w:t>o</w:t>
            </w:r>
            <w:r w:rsidRPr="00417083">
              <w:rPr>
                <w:rFonts w:ascii="Times New Roman" w:hAnsi="Times New Roman" w:cs="Times New Roman"/>
                <w:sz w:val="24"/>
                <w:szCs w:val="32"/>
              </w:rPr>
              <w:t xml:space="preserve">utcome </w:t>
            </w:r>
            <w:r>
              <w:rPr>
                <w:rFonts w:ascii="Times New Roman" w:hAnsi="Times New Roman" w:cs="Times New Roman"/>
                <w:sz w:val="24"/>
                <w:szCs w:val="32"/>
              </w:rPr>
              <w:t>a</w:t>
            </w:r>
            <w:r w:rsidRPr="00417083">
              <w:rPr>
                <w:rFonts w:ascii="Times New Roman" w:hAnsi="Times New Roman" w:cs="Times New Roman"/>
                <w:sz w:val="24"/>
                <w:szCs w:val="32"/>
              </w:rPr>
              <w:t>bsence</w:t>
            </w:r>
          </w:p>
        </w:tc>
        <w:tc>
          <w:tcPr>
            <w:tcW w:w="669" w:type="pct"/>
            <w:hideMark/>
          </w:tcPr>
          <w:p w14:paraId="68AC0B5B" w14:textId="77777777" w:rsidR="00732734" w:rsidRPr="00417083" w:rsidRDefault="00732734" w:rsidP="003970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417083">
              <w:rPr>
                <w:rFonts w:ascii="Times New Roman" w:hAnsi="Times New Roman" w:cs="Times New Roman"/>
                <w:sz w:val="24"/>
                <w:szCs w:val="32"/>
              </w:rPr>
              <w:t xml:space="preserve">Cohort </w:t>
            </w:r>
            <w:r>
              <w:rPr>
                <w:rFonts w:ascii="Times New Roman" w:hAnsi="Times New Roman" w:cs="Times New Roman"/>
                <w:sz w:val="24"/>
                <w:szCs w:val="32"/>
              </w:rPr>
              <w:t>c</w:t>
            </w:r>
            <w:r w:rsidRPr="00417083">
              <w:rPr>
                <w:rFonts w:ascii="Times New Roman" w:hAnsi="Times New Roman" w:cs="Times New Roman"/>
                <w:sz w:val="24"/>
                <w:szCs w:val="32"/>
              </w:rPr>
              <w:t>omparability (Design/Analysis adjusted for confounders)</w:t>
            </w:r>
          </w:p>
        </w:tc>
        <w:tc>
          <w:tcPr>
            <w:tcW w:w="446" w:type="pct"/>
            <w:hideMark/>
          </w:tcPr>
          <w:p w14:paraId="2B3C872D" w14:textId="77777777" w:rsidR="00732734" w:rsidRPr="00417083" w:rsidRDefault="00732734" w:rsidP="003970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417083">
              <w:rPr>
                <w:rFonts w:ascii="Times New Roman" w:hAnsi="Times New Roman" w:cs="Times New Roman"/>
                <w:sz w:val="24"/>
                <w:szCs w:val="32"/>
              </w:rPr>
              <w:t xml:space="preserve">Outcome </w:t>
            </w:r>
            <w:r>
              <w:rPr>
                <w:rFonts w:ascii="Times New Roman" w:hAnsi="Times New Roman" w:cs="Times New Roman"/>
                <w:sz w:val="24"/>
                <w:szCs w:val="32"/>
              </w:rPr>
              <w:t>e</w:t>
            </w:r>
            <w:r w:rsidRPr="00417083">
              <w:rPr>
                <w:rFonts w:ascii="Times New Roman" w:hAnsi="Times New Roman" w:cs="Times New Roman"/>
                <w:sz w:val="24"/>
                <w:szCs w:val="32"/>
              </w:rPr>
              <w:t>valuation</w:t>
            </w:r>
          </w:p>
        </w:tc>
        <w:tc>
          <w:tcPr>
            <w:tcW w:w="418" w:type="pct"/>
            <w:hideMark/>
          </w:tcPr>
          <w:p w14:paraId="4C1A94BA" w14:textId="77777777" w:rsidR="00732734" w:rsidRPr="00417083" w:rsidRDefault="00732734" w:rsidP="003970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417083">
              <w:rPr>
                <w:rFonts w:ascii="Times New Roman" w:hAnsi="Times New Roman" w:cs="Times New Roman"/>
                <w:sz w:val="24"/>
                <w:szCs w:val="32"/>
              </w:rPr>
              <w:t xml:space="preserve">Sufficient </w:t>
            </w:r>
            <w:r>
              <w:rPr>
                <w:rFonts w:ascii="Times New Roman" w:hAnsi="Times New Roman" w:cs="Times New Roman"/>
                <w:sz w:val="24"/>
                <w:szCs w:val="32"/>
              </w:rPr>
              <w:t>f</w:t>
            </w:r>
            <w:r w:rsidRPr="00417083">
              <w:rPr>
                <w:rFonts w:ascii="Times New Roman" w:hAnsi="Times New Roman" w:cs="Times New Roman"/>
                <w:sz w:val="24"/>
                <w:szCs w:val="32"/>
              </w:rPr>
              <w:t xml:space="preserve">ollow-up </w:t>
            </w:r>
          </w:p>
        </w:tc>
        <w:tc>
          <w:tcPr>
            <w:tcW w:w="330" w:type="pct"/>
            <w:hideMark/>
          </w:tcPr>
          <w:p w14:paraId="32C87312" w14:textId="77777777" w:rsidR="00732734" w:rsidRPr="00417083" w:rsidRDefault="00732734" w:rsidP="003970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417083">
              <w:rPr>
                <w:rFonts w:ascii="Times New Roman" w:hAnsi="Times New Roman" w:cs="Times New Roman"/>
                <w:sz w:val="24"/>
                <w:szCs w:val="32"/>
              </w:rPr>
              <w:t xml:space="preserve">Cohort </w:t>
            </w:r>
            <w:r>
              <w:rPr>
                <w:rFonts w:ascii="Times New Roman" w:hAnsi="Times New Roman" w:cs="Times New Roman"/>
                <w:sz w:val="24"/>
                <w:szCs w:val="32"/>
              </w:rPr>
              <w:t>f</w:t>
            </w:r>
            <w:r w:rsidRPr="00417083">
              <w:rPr>
                <w:rFonts w:ascii="Times New Roman" w:hAnsi="Times New Roman" w:cs="Times New Roman"/>
                <w:sz w:val="24"/>
                <w:szCs w:val="32"/>
              </w:rPr>
              <w:t xml:space="preserve">ollow-up </w:t>
            </w:r>
          </w:p>
        </w:tc>
        <w:tc>
          <w:tcPr>
            <w:tcW w:w="259" w:type="pct"/>
            <w:hideMark/>
          </w:tcPr>
          <w:p w14:paraId="4EF348AA" w14:textId="77777777" w:rsidR="00732734" w:rsidRPr="00417083" w:rsidRDefault="00732734" w:rsidP="003970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417083">
              <w:rPr>
                <w:rFonts w:ascii="Times New Roman" w:hAnsi="Times New Roman" w:cs="Times New Roman"/>
                <w:sz w:val="24"/>
                <w:szCs w:val="32"/>
              </w:rPr>
              <w:t xml:space="preserve">Total </w:t>
            </w:r>
            <w:r>
              <w:rPr>
                <w:rFonts w:ascii="Times New Roman" w:hAnsi="Times New Roman" w:cs="Times New Roman"/>
                <w:sz w:val="24"/>
                <w:szCs w:val="32"/>
              </w:rPr>
              <w:t>s</w:t>
            </w:r>
            <w:r w:rsidRPr="00417083">
              <w:rPr>
                <w:rFonts w:ascii="Times New Roman" w:hAnsi="Times New Roman" w:cs="Times New Roman"/>
                <w:sz w:val="24"/>
                <w:szCs w:val="32"/>
              </w:rPr>
              <w:t>core</w:t>
            </w:r>
          </w:p>
        </w:tc>
        <w:tc>
          <w:tcPr>
            <w:tcW w:w="344" w:type="pct"/>
          </w:tcPr>
          <w:p w14:paraId="66377467" w14:textId="77777777" w:rsidR="00732734" w:rsidRPr="00417083" w:rsidRDefault="00732734" w:rsidP="0039700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Overall quality</w:t>
            </w:r>
          </w:p>
        </w:tc>
      </w:tr>
      <w:tr w:rsidR="00732734" w:rsidRPr="00417083" w14:paraId="0FB66331" w14:textId="77777777" w:rsidTr="00397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Pr>
          <w:p w14:paraId="6763D77F" w14:textId="77777777" w:rsidR="00732734" w:rsidRPr="004F16EB" w:rsidRDefault="00732734" w:rsidP="0039700A">
            <w:pPr>
              <w:rPr>
                <w:rFonts w:ascii="Times New Roman" w:hAnsi="Times New Roman" w:cs="Times New Roman"/>
                <w:sz w:val="24"/>
                <w:szCs w:val="32"/>
              </w:rPr>
            </w:pPr>
            <w:r w:rsidRPr="005638C4">
              <w:rPr>
                <w:rFonts w:ascii="Times New Roman" w:hAnsi="Times New Roman" w:cs="Times New Roman"/>
                <w:sz w:val="24"/>
                <w:szCs w:val="24"/>
              </w:rPr>
              <w:t>Palla et al.,2022</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{"citationID":"rwzbnpeA","properties":{"formattedCitation":"[16]","plainCitation":"[16]","noteIndex":0},"citationItems":[{"id":294,"uris":["http://zotero.org/users/local/lRqU69pQ/items/QF5LL4ER"],"itemData":{"id":294,"type":"article-journal","abstract":"BACKGROUND: Postoperative hypotension is associated with adverse outcomes, but intraoperative prediction of postanaesthesia care unit (PACU) hypotension is not routine in anaesthesiology workflow. Although machine learning models may support clinician prediction of PACU hypotension, clinician acceptance of prediction models is poorly understood.\nMETHODS: We developed a clinically informed gradient boosting machine learning model using preoperative and intraoperative data from 88 446 surgical patients from 2015 to 2019. Nine anaesthesiologists each made 192 predictions of PACU hypotension using a web-based visualisation tool with and without input from the machine learning model. Questionnaires and interviews were analysed using thematic content analysis for model acceptance by anaesthesiologists.\nRESULTS: The model predicted PACU hypotension in 17 029 patients (area under the receiver operating characteristic [AUROC] 0.82 [95% confidence interval {CI}: 0.81-0.83] and average precision 0.40 [95% CI: 0.38-0.42]). On a random representative subset of 192 cases, anaesthesiologist performance improved from AUROC 0.67 (95% CI: 0.60-0.73) to AUROC 0.74 (95% CI: 0.68-0.79) with model predictions and information on risk factors. Anaesthesiologists perceived more value and expressed trust in the prediction model for prospective planning, informing PACU handoffs, and drawing attention to unexpected cases of PACU hypotension, but they doubted the model when predictions and associated features were not aligned with clinical judgement. Anaesthesiologists expressed interest in patient-specific thresholds for defining and treating postoperative hypotension.\nCONCLUSIONS: The ability of anaesthesiologists to predict PACU hypotension was improved by exposure to machine learning model predictions. Clinicians acknowledged value and trust in machine learning technology. Increasing familiarity with clinical use of model predictions is needed for effective integration into perioperative workflows.","container-title":"British Journal of Anaesthesia","DOI":"10.1016/j.bja.2021.10.052","ISSN":"1471-6771","issue":"4","journalAbbreviation":"Br J Anaesth","language":"eng","note":"PMID: 34924175\nPMCID: PMC9074793","page":"623-635","source":"PubMed","title":"Intraoperative prediction of postanaesthesia care unit hypotension","volume":"128","author":[{"family":"Palla","given":"Konstantina"},{"family":"Hyland","given":"Stephanie L."},{"family":"Posner","given":"Karen"},{"family":"Ghosh","given":"Pratik"},{"family":"Nair","given":"Bala"},{"family":"Bristow","given":"Melissa"},{"family":"Paleva","given":"Yoana"},{"family":"Williams","given":"Ben"},{"family":"Fong","given":"Christine"},{"family":"Van Cleve","given":"Wil"},{"family":"Long","given":"Dustin R."},{"family":"Pauldine","given":"Ronald"},{"family":"O'Hara","given":"Kenton"},{"family":"Takeda","given":"Kenji"},{"family":"Vavilala","given":"Monica S."}],"issued":{"date-parts":[["2022",4]]}}}],"schema":"https://github.com/citation-style-language/schema/raw/master/csl-citation.json"}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[16]</w:t>
            </w:r>
            <w:r w:rsidRPr="005638C4">
              <w:rPr>
                <w:rFonts w:ascii="Times New Roman" w:hAnsi="Times New Roman" w:cs="Times New Roman"/>
                <w:sz w:val="24"/>
                <w:szCs w:val="24"/>
              </w:rPr>
              <w:fldChar w:fldCharType="end"/>
            </w:r>
          </w:p>
        </w:tc>
        <w:tc>
          <w:tcPr>
            <w:tcW w:w="731" w:type="pct"/>
          </w:tcPr>
          <w:p w14:paraId="7C4F1A32"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81" w:type="pct"/>
          </w:tcPr>
          <w:p w14:paraId="01ACE20F"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60691085"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39ABAB91"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09E19DB7"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2</w:t>
            </w:r>
          </w:p>
        </w:tc>
        <w:tc>
          <w:tcPr>
            <w:tcW w:w="446" w:type="pct"/>
          </w:tcPr>
          <w:p w14:paraId="2F6C2643"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63049554"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41E1B22C"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0A7D2917"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7</w:t>
            </w:r>
          </w:p>
        </w:tc>
        <w:tc>
          <w:tcPr>
            <w:tcW w:w="344" w:type="pct"/>
          </w:tcPr>
          <w:p w14:paraId="7E9E086E"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Good</w:t>
            </w:r>
          </w:p>
        </w:tc>
      </w:tr>
      <w:tr w:rsidR="00732734" w:rsidRPr="00417083" w14:paraId="1483CE1E" w14:textId="77777777" w:rsidTr="0039700A">
        <w:tc>
          <w:tcPr>
            <w:cnfStyle w:val="001000000000" w:firstRow="0" w:lastRow="0" w:firstColumn="1" w:lastColumn="0" w:oddVBand="0" w:evenVBand="0" w:oddHBand="0" w:evenHBand="0" w:firstRowFirstColumn="0" w:firstRowLastColumn="0" w:lastRowFirstColumn="0" w:lastRowLastColumn="0"/>
            <w:tcW w:w="562" w:type="pct"/>
          </w:tcPr>
          <w:p w14:paraId="630812C2" w14:textId="77777777" w:rsidR="00732734" w:rsidRPr="004F16EB" w:rsidRDefault="00732734" w:rsidP="0039700A">
            <w:pPr>
              <w:rPr>
                <w:rFonts w:ascii="Times New Roman" w:hAnsi="Times New Roman" w:cs="Times New Roman"/>
                <w:sz w:val="24"/>
                <w:szCs w:val="32"/>
              </w:rPr>
            </w:pPr>
            <w:r w:rsidRPr="005638C4">
              <w:rPr>
                <w:rFonts w:ascii="Times New Roman" w:hAnsi="Times New Roman" w:cs="Times New Roman"/>
                <w:sz w:val="24"/>
                <w:szCs w:val="24"/>
              </w:rPr>
              <w:t>Hatib et al.,2018</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{"citationID":"IG51vyjf","properties":{"formattedCitation":"[17]","plainCitation":"[17]","noteIndex":0},"citationItems":[{"id":292,"uris":["http://zotero.org/users/local/lRqU69pQ/items/9KCDSCCM"],"itemData":{"id":292,"type":"article-journal","abstract":"WHAT WE ALREADY KNOW ABOUT THIS TOPIC: WHAT THIS ARTICLE TELLS US THAT IS NEW: BACKGROUND:: With appropriate algorithms, computers can learn to detect patterns and associations in large data sets. The authors' goal was to apply machine learning to arterial pressure waveforms and create an algorithm to predict hypotension. The algorithm detects early alteration in waveforms that can herald the weakening of cardiovascular compensatory mechanisms affecting preload, afterload, and contractility.\nMETHODS: The algorithm was developed with two different data sources: (1) a retrospective cohort, used for training, consisting of 1,334 patients' records with 545,959 min of arterial waveform recording and 25,461 episodes of hypotension; and (2) a prospective, local hospital cohort used for external validation, consisting of 204 patients' records with 33,236 min of arterial waveform recording and 1,923 episodes of hypotension. The algorithm relates a large set of features calculated from the high-fidelity arterial pressure waveform to the prediction of an upcoming hypotensive event (mean arterial pressure &lt; 65 mmHg). Receiver-operating characteristic curve analysis evaluated the algorithm's success in predicting hypotension, defined as mean arterial pressure less than 65 mmHg.\nRESULTS: Using 3,022 individual features per cardiac cycle, the algorithm predicted arterial hypotension with a sensitivity and specificity of 88% (85 to 90%) and 87% (85 to 90%) 15 min before a hypotensive event (area under the curve, 0.95 [0.94 to 0.95]); 89% (87 to 91%) and 90% (87 to 92%) 10 min before (area under the curve, 0.95 [0.95 to 0.96]); 92% (90 to 94%) and 92% (90 to 94%) 5 min before (area under the curve, 0.97 [0.97 to 0.98]).\nCONCLUSIONS: The results demonstrate that a machine-learning algorithm can be trained, with large data sets of high-fidelity arterial waveforms, to predict hypotension in surgical patients' records.","container-title":"Anesthesiology","DOI":"10.1097/ALN.0000000000002300","ISSN":"1528-1175","issue":"4","journalAbbreviation":"Anesthesiology","language":"eng","note":"PMID: 29894315","page":"663-674","source":"PubMed","title":"Machine-learning Algorithm to Predict Hypotension Based on High-fidelity Arterial Pressure Waveform Analysis","volume":"129","author":[{"family":"Hatib","given":"Feras"},{"family":"Jian","given":"Zhongping"},{"family":"Buddi","given":"Sai"},{"family":"Lee","given":"Christine"},{"family":"Settels","given":"Jos"},{"family":"Sibert","given":"Karen"},{"family":"Rinehart","given":"Joseph"},{"family":"Cannesson","given":"Maxime"}],"issued":{"date-parts":[["2018",10]]}}}],"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[17]</w:t>
            </w:r>
            <w:r w:rsidRPr="005638C4">
              <w:rPr>
                <w:rFonts w:ascii="Times New Roman" w:hAnsi="Times New Roman" w:cs="Times New Roman"/>
                <w:sz w:val="24"/>
                <w:szCs w:val="24"/>
              </w:rPr>
              <w:fldChar w:fldCharType="end"/>
            </w:r>
          </w:p>
        </w:tc>
        <w:tc>
          <w:tcPr>
            <w:tcW w:w="731" w:type="pct"/>
          </w:tcPr>
          <w:p w14:paraId="47C49303"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5B48C191"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1136AB99"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7961D0D7"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3895B427"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46" w:type="pct"/>
          </w:tcPr>
          <w:p w14:paraId="622D134F"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764AA10D"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28116A62"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3F2AF26A"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5</w:t>
            </w:r>
          </w:p>
        </w:tc>
        <w:tc>
          <w:tcPr>
            <w:tcW w:w="344" w:type="pct"/>
          </w:tcPr>
          <w:p w14:paraId="6DA2AAEA"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36284CBA" w14:textId="77777777" w:rsidTr="00397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Pr>
          <w:p w14:paraId="1F871929" w14:textId="77777777" w:rsidR="00732734" w:rsidRPr="004F16EB" w:rsidRDefault="00732734" w:rsidP="0039700A">
            <w:pPr>
              <w:rPr>
                <w:rFonts w:ascii="Times New Roman" w:hAnsi="Times New Roman" w:cs="Times New Roman"/>
                <w:sz w:val="24"/>
                <w:szCs w:val="32"/>
              </w:rPr>
            </w:pPr>
            <w:r w:rsidRPr="005638C4">
              <w:rPr>
                <w:rFonts w:ascii="Times New Roman" w:hAnsi="Times New Roman" w:cs="Times New Roman"/>
                <w:sz w:val="24"/>
                <w:szCs w:val="24"/>
              </w:rPr>
              <w:t>Wijnberge et al.,2021</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{"citationID":"nyfSAfkl","properties":{"formattedCitation":"[18]","plainCitation":"[18]","noteIndex":0},"citationItems":[{"id":290,"uris":["http://zotero.org/users/local/lRqU69pQ/items/WG7JNXDF"],"itemData":{"id":290,"type":"article-journal","abstract":"BACKGROUND: Intra-operative hypotension is associated with adverse postoperative outcomes. A machine-learning-derived algorithm developed to predict hypotension based on arterial blood pressure (ABP) waveforms significantly reduced intra-operative hypotension. The algorithm calculates the likelihood of hypotension occurring within minutes, expressed as the Hypotension Prediction Index (HPI) which ranges from 0 to 100. Currently, HPI is only available for patients monitored with invasive ABP, which is restricted to high-risk procedures and patients. In this study, the performance of HPI, employing noninvasive continuous ABP measurements, is assessed.\nOBJECTIVES: The first aim was to compare the performance of the HPI algorithm, using noninvasive versus invasive ABP measurements, at a mathematically optimal HPI alarm threshold (Youden index). The second aim was to assess the performance of the algorithm using a HPI alarm threshold of 85 that is currently used in clinical trials. Hypotension was defined as a mean arterial pressure (MAP) below 65 mmHg for at least 1 min. The predictive performance of the algorithm at different HPI alarm thresholds (75 and 95) was studied.\nDESIGN: Observational cohort study.\nSETTING: Tertiary academic medical centre.\nPATIENTS: Five hundred and seven adult patients undergoing general surgery.\nRESULTS: The performance of the algorithm with invasive and noninvasive ABP input was similar. A HPI alarm threshold of 85 showed a median [IQR] time from alarm to hypotension of 2.7 [1.0 to 7.0] min with a sensitivity of 92.7 (95% confidence interval [CI], 91.2 to 94.3), specificity of 87.6 (95% CI, 86.2 to 89.0), positive predictive value of 79.9 (95% CI, 77.7 to 82.1) and negative predictive value of 95.8 (95% CI, 94.9 to 96.7). A HPI alarm threshold of 75 provided a lower positive predictive value but a prolonged time from prediction to actual hypotension.\nCONCLUSION: This study demonstrated that the algorithm can be employed using continuous noninvasive ABP waveforms. This opens up the potential to predict and prevent hypotension in a larger patient population.\nTRIAL REGISTRATION: Clinical trials registration number NCT03533205.","container-title":"European Journal of Anaesthesiology","DOI":"10.1097/EJA.0000000000001521","ISSN":"1365-2346","issue":"6","journalAbbreviation":"Eur J Anaesthesiol","language":"eng","note":"PMID: 33927105","page":"609-615","source":"PubMed","title":"Clinical performance of a machine-learning algorithm to predict intra-operative hypotension with noninvasive arterial pressure waveforms: A cohort study","title-short":"Clinical performance of a machine-learning algorithm to predict intra-operative hypotension with noninvasive arterial pressure waveforms","volume":"38","author":[{"family":"Wijnberge","given":"Marije"},{"family":"Ster","given":"Björn J. P.","non-dropping-particle":"van der"},{"family":"Geerts","given":"Bart F."},{"family":"Beer","given":"Friso","non-dropping-particle":"de"},{"family":"Beurskens","given":"Charlotte"},{"family":"Emal","given":"Dina"},{"family":"Hollmann","given":"Markus W."},{"family":"Vlaar","given":"Alexander P. J."},{"family":"Veelo","given":"Denise P."}],"issued":{"date-parts":[["2021",6,1]]}}}],"schema":"https://github.com/citation-style-language/schema/raw/master/csl-citation.json"}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[18]</w:t>
            </w:r>
            <w:r w:rsidRPr="005638C4">
              <w:rPr>
                <w:rFonts w:ascii="Times New Roman" w:hAnsi="Times New Roman" w:cs="Times New Roman"/>
                <w:sz w:val="24"/>
                <w:szCs w:val="24"/>
              </w:rPr>
              <w:fldChar w:fldCharType="end"/>
            </w:r>
          </w:p>
        </w:tc>
        <w:tc>
          <w:tcPr>
            <w:tcW w:w="731" w:type="pct"/>
          </w:tcPr>
          <w:p w14:paraId="1CDCFF95"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6545A7C1"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3C4192E5"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3AAD37BA"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223FC0ED"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46" w:type="pct"/>
          </w:tcPr>
          <w:p w14:paraId="02D8FC39"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5950CC0E"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0BB11B85"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24796D0C"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5</w:t>
            </w:r>
          </w:p>
        </w:tc>
        <w:tc>
          <w:tcPr>
            <w:tcW w:w="344" w:type="pct"/>
          </w:tcPr>
          <w:p w14:paraId="615933E2"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78092379" w14:textId="77777777" w:rsidTr="0039700A">
        <w:tc>
          <w:tcPr>
            <w:cnfStyle w:val="001000000000" w:firstRow="0" w:lastRow="0" w:firstColumn="1" w:lastColumn="0" w:oddVBand="0" w:evenVBand="0" w:oddHBand="0" w:evenHBand="0" w:firstRowFirstColumn="0" w:firstRowLastColumn="0" w:lastRowFirstColumn="0" w:lastRowLastColumn="0"/>
            <w:tcW w:w="562" w:type="pct"/>
          </w:tcPr>
          <w:p w14:paraId="43145D6D" w14:textId="77777777" w:rsidR="00732734" w:rsidRPr="004F16EB" w:rsidRDefault="00732734" w:rsidP="0039700A">
            <w:pPr>
              <w:rPr>
                <w:rFonts w:ascii="Times New Roman" w:hAnsi="Times New Roman" w:cs="Times New Roman"/>
                <w:sz w:val="24"/>
                <w:szCs w:val="32"/>
              </w:rPr>
            </w:pPr>
            <w:r w:rsidRPr="005638C4">
              <w:rPr>
                <w:rFonts w:ascii="Times New Roman" w:hAnsi="Times New Roman" w:cs="Times New Roman"/>
                <w:sz w:val="24"/>
                <w:szCs w:val="24"/>
              </w:rPr>
              <w:t>Lin et al.,2008</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{"citationID":"JeZ6NnvT","properties":{"formattedCitation":"[19]","plainCitation":"[19]","noteIndex":0},"citationItems":[{"id":288,"uris":["http://zotero.org/users/local/lRqU69pQ/items/EW2EKQ2M"],"itemData":{"id":288,"type":"article-journal","abstract":"Hypotension is one of the most frequent adverse effects of spinal anesthesia. Several factors might be related to the occurrence of hypotension. Predictions of the hypotensive event, however, had been addressed by only a few authors using logistic regression (LR) models. Artificial neural networks (ANN) are pattern-recognition tools that can be used to detect complex patterns within data sets. The purpose of this study was to develop the ANN-based predictive model to identify patients with high risk of hypotension during spinal anesthesia. From September 2004 to December 2006, the anesthesia records of 1501 patients receiving surgery under spinal anesthesia were used to develop the ANN and LR models. By random selection 75% of data were used for training and the remaining 25% of data were used as test set for validating the predictive performance. Five senior anesthesiologists were asked to review the data of test set and to make predictions of hypotensive event during spinal anesthesia by clinical experience. The ANN model had a sensitivity of 75.9% and specificity of 76.0%. The LR model had a sensitivity of 68.1% and specificity of 73.5%. The area under receiver operating characteristic curves were 0.796 and 0.748. The ANN model performed significantly better than the LR model. The prediction of clinicians had the lowest sensitivity of 28.7%, 22.2%, 21.3%, 16.1%, and 36.1%, and specificity of 76.8%, 84.3%, 83.1%, 87.0%, and 64.0%. The computer-based predictive model should be useful in increasing vigilance in those patients most at risk for hypotension during spinal anesthesia, in allowing for patient-specific therapeutic intervention, or even in suggesting the use of alternative methods of anesthesia.","container-title":"Computer Methods and Programs in Biomedicine","DOI":"10.1016/j.cmpb.2008.06.013","ISSN":"0169-2607","issue":"2","journalAbbreviation":"Comput Methods Programs Biomed","language":"eng","note":"PMID: 18760495","page":"193-197","source":"PubMed","title":"Predicting hypotensive episodes during spinal anesthesia with the application of artificial neural networks","volume":"92","author":[{"family":"Lin","given":"Chao-Shun"},{"family":"Chiu","given":"Jainn-Shiun"},{"family":"Hsieh","given":"Ming-Hui"},{"family":"Mok","given":"Martin S."},{"family":"Li","given":"Yu-Chuan"},{"family":"Chiu","given":"Hung-Wen"}],"issued":{"date-parts":[["2008",11]]}}}],"schema":"https://github.com/citation-style-language/schema/raw/master/csl-citation.json"}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[19]</w:t>
            </w:r>
            <w:r w:rsidRPr="005638C4">
              <w:rPr>
                <w:rFonts w:ascii="Times New Roman" w:hAnsi="Times New Roman" w:cs="Times New Roman"/>
                <w:sz w:val="24"/>
                <w:szCs w:val="24"/>
              </w:rPr>
              <w:fldChar w:fldCharType="end"/>
            </w:r>
          </w:p>
        </w:tc>
        <w:tc>
          <w:tcPr>
            <w:tcW w:w="731" w:type="pct"/>
          </w:tcPr>
          <w:p w14:paraId="7F5100FA"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619F639D"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3ABD7459"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11254CE8"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5F041A33"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2</w:t>
            </w:r>
          </w:p>
        </w:tc>
        <w:tc>
          <w:tcPr>
            <w:tcW w:w="446" w:type="pct"/>
          </w:tcPr>
          <w:p w14:paraId="3B6E0007"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0603DCCC"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5D3A1FD3"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19E3D7D1"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6</w:t>
            </w:r>
          </w:p>
        </w:tc>
        <w:tc>
          <w:tcPr>
            <w:tcW w:w="344" w:type="pct"/>
          </w:tcPr>
          <w:p w14:paraId="54DB318F"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0C91B6FD" w14:textId="77777777" w:rsidTr="00397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Pr>
          <w:p w14:paraId="11A2C1B6" w14:textId="77777777" w:rsidR="00732734" w:rsidRPr="004F16EB" w:rsidRDefault="00732734" w:rsidP="0039700A">
            <w:pPr>
              <w:rPr>
                <w:rFonts w:ascii="Times New Roman" w:hAnsi="Times New Roman" w:cs="Times New Roman"/>
                <w:sz w:val="24"/>
                <w:szCs w:val="32"/>
              </w:rPr>
            </w:pPr>
            <w:r w:rsidRPr="005638C4">
              <w:rPr>
                <w:rFonts w:ascii="Times New Roman" w:hAnsi="Times New Roman" w:cs="Times New Roman"/>
                <w:sz w:val="24"/>
                <w:szCs w:val="24"/>
              </w:rPr>
              <w:t>Lin et al.,2011</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{"citationID":"U1C6nMsh","properties":{"formattedCitation":"[20]","plainCitation":"[20]","noteIndex":0},"citationItems":[{"id":286,"uris":["http://zotero.org/users/local/lRqU69pQ/items/MHTDI3UJ"],"itemData":{"id":286,"type":"article-journal","abstract":"BACKGROUND: Perioperative hypotension is associated with adverse outcomes in patients undergoing surgery. A computer-based model that integrates related factors and predicts the risk of hypotension would be helpful in clinical anesthesia. The purpose of this study was to develop artificial neural network (ANN) models to identify patients at high risk for postinduction hypotension during general anesthesia.\nMETHODS: Anesthesia records for March through November 2007 were reviewed, and 1017 records were analyzed. Eleven patient-related, 2 surgical, and 5 anesthetic variables were used to develop the ANN and logistic regression (LR) models. The quality of the models was evaluated by an external validation data set. Three clinicians were asked to make predictions of the same validation data set on a case-by-case basis.\nRESULTS: The ANN model had an accuracy of 82.3%, sensitivity of 76.4%, and specificity of 85.6%. The accuracy of the LR model was 76.5%, the sensitivity was 74.5%, and specificity was 77.7%. The area under the receiver operating characteristic curve for the ANN and LR models was 0.893 and 0.840. The clinicians had the lowest predictive accuracy and sensitivity compared with the ANN and LR models.\nCONCLUSIONS: The ANN model developed in this study had good discrimination and calibration and would provide decision support to clinicians and increase vigilance for patients at high risk of postinduction hypotension during general anesthesia.","container-title":"Medical Decision Making: An International Journal of the Society for Medical Decision Making","DOI":"10.1177/0272989X10379648","ISSN":"1552-681X","issue":"2","journalAbbreviation":"Med Decis Making","language":"eng","note":"PMID: 20876347","page":"308-314","source":"PubMed","title":"Application of an artificial neural network to predict postinduction hypotension during general anesthesia","volume":"31","author":[{"family":"Lin","given":"Chao-Shun"},{"family":"Chang","given":"Chuen-Chau"},{"family":"Chiu","given":"Jainn-Shiun"},{"family":"Lee","given":"Yuan-Wen"},{"family":"Lin","given":"Jui-An"},{"family":"Mok","given":"Martin S."},{"family":"Chiu","given":"Hung-Wen"},{"family":"Li","given":"Yu-Chuan"}],"issued":{"date-parts":[["2011"]]}}}],"schema":"https://github.com/citation-style-language/schema/raw/master/csl-citation.json"}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[20]</w:t>
            </w:r>
            <w:r w:rsidRPr="005638C4">
              <w:rPr>
                <w:rFonts w:ascii="Times New Roman" w:hAnsi="Times New Roman" w:cs="Times New Roman"/>
                <w:sz w:val="24"/>
                <w:szCs w:val="24"/>
              </w:rPr>
              <w:fldChar w:fldCharType="end"/>
            </w:r>
          </w:p>
        </w:tc>
        <w:tc>
          <w:tcPr>
            <w:tcW w:w="731" w:type="pct"/>
          </w:tcPr>
          <w:p w14:paraId="2BEE1432"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67899B07"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250D45B8"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09386616"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53B0FCFC"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2</w:t>
            </w:r>
          </w:p>
        </w:tc>
        <w:tc>
          <w:tcPr>
            <w:tcW w:w="446" w:type="pct"/>
          </w:tcPr>
          <w:p w14:paraId="47E622B8"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62CEB825"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2F7B5256"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2912807D"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6</w:t>
            </w:r>
          </w:p>
        </w:tc>
        <w:tc>
          <w:tcPr>
            <w:tcW w:w="344" w:type="pct"/>
          </w:tcPr>
          <w:p w14:paraId="45D80DAE"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3820F454" w14:textId="77777777" w:rsidTr="0039700A">
        <w:tc>
          <w:tcPr>
            <w:cnfStyle w:val="001000000000" w:firstRow="0" w:lastRow="0" w:firstColumn="1" w:lastColumn="0" w:oddVBand="0" w:evenVBand="0" w:oddHBand="0" w:evenHBand="0" w:firstRowFirstColumn="0" w:firstRowLastColumn="0" w:lastRowFirstColumn="0" w:lastRowLastColumn="0"/>
            <w:tcW w:w="562" w:type="pct"/>
          </w:tcPr>
          <w:p w14:paraId="4D25B52B" w14:textId="77777777" w:rsidR="00732734" w:rsidRPr="004F16EB" w:rsidRDefault="00732734" w:rsidP="0039700A">
            <w:pPr>
              <w:rPr>
                <w:rFonts w:ascii="Times New Roman" w:hAnsi="Times New Roman" w:cs="Times New Roman"/>
                <w:sz w:val="24"/>
                <w:szCs w:val="32"/>
              </w:rPr>
            </w:pPr>
            <w:r w:rsidRPr="005638C4">
              <w:rPr>
                <w:rFonts w:ascii="Times New Roman" w:hAnsi="Times New Roman" w:cs="Times New Roman"/>
                <w:sz w:val="24"/>
                <w:szCs w:val="24"/>
              </w:rPr>
              <w:t>Gratz et al.,2020</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{"citationID":"GCZkbsOo","properties":{"formattedCitation":"[21]","plainCitation":"[21]","noteIndex":0},"citationItems":[{"id":282,"uris":["http://zotero.org/users/local/lRqU69pQ/items/BQKWQJMU"],"itemData":{"id":282,"type":"article-journal","abstract":"BACKGROUND: Neural networks are increasingly used to assess physiological processes or pathologies, as well as to predict the increased likelihood of an impending medical crisis, such as hypotension.\nMETHOD: We compared the capabilities of a single hidden layer neural network of 12 nodes to those of a discrete-feature discrimination approach with the goal being to predict the likelihood of a given patient developing significant hypotension under spinal anesthesia when undergoing a Cesarean section (C/S). Physiological input information was derived from a non-invasive blood pressure device (Caretaker [CT]) that utilizes a finger cuff to measure blood pressure and other hemodynamic parameters via pulse contour analysis. Receiver-operator-curve/area-under-curve analyses were used to compare performance.\nRESULTS: The results presented here suggest that a neural network approach (Area Under Curve [AUC] = 0.89 [p &lt; 0.001]), at least at the implementation level of a clinically relevant prediction algorithm, may be superior to a discrete feature quantification approach (AUC = 0.87 [p &lt; 0.001]), providing implicit access to a plurality of features and combinations thereof. In addition, the expansion of the approach to include the submission of other physiological data signals, such as heart rate variability, to the network can be readily envisioned.\nCONCLUSION: This pilot study has demonstrated that increased coherence in Arterial Stiffness (AS) variability obtained from the pulse wave analysis of a continuous non-invasive blood pressure device appears to be an effective predictor of hypotension after spinal anesthesia in the obstetrics population undergoing C/S. This allowed us to predict specific dosing thresholds of phenylephrine required to maintain systolic blood pressure above 90 mmHg.","container-title":"BMC anesthesiology","DOI":"10.1186/s12871-020-01015-9","ISSN":"1471-2253","issue":"1","journalAbbreviation":"BMC Anesthesiol","language":"eng","note":"PMID: 32357833\nPMCID: PMC7195764","page":"98","source":"PubMed","title":"The application of a neural network to predict hypotension and vasopressor requirements non-invasively in obstetric patients having spinal anesthesia for elective cesarean section (C/S)","volume":"20","author":[{"family":"Gratz","given":"Irwin"},{"family":"Baruch","given":"Martin"},{"family":"Takla","given":"Magdy"},{"family":"Seaman","given":"Julia"},{"family":"Allen","given":"Isabel"},{"family":"McEniry","given":"Brian"},{"family":"Deal","given":"Edward"}],"issued":{"date-parts":[["2020",5,1]]}}}],"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[21]</w:t>
            </w:r>
            <w:r w:rsidRPr="005638C4">
              <w:rPr>
                <w:rFonts w:ascii="Times New Roman" w:hAnsi="Times New Roman" w:cs="Times New Roman"/>
                <w:sz w:val="24"/>
                <w:szCs w:val="24"/>
              </w:rPr>
              <w:fldChar w:fldCharType="end"/>
            </w:r>
          </w:p>
        </w:tc>
        <w:tc>
          <w:tcPr>
            <w:tcW w:w="731" w:type="pct"/>
          </w:tcPr>
          <w:p w14:paraId="3AA4015F"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40D56FAE"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572A3BB4"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0A414BE6"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0609726D"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46" w:type="pct"/>
          </w:tcPr>
          <w:p w14:paraId="33777818"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094708EA"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052DA478"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430B508F"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5</w:t>
            </w:r>
          </w:p>
        </w:tc>
        <w:tc>
          <w:tcPr>
            <w:tcW w:w="344" w:type="pct"/>
          </w:tcPr>
          <w:p w14:paraId="241E43EF" w14:textId="77777777" w:rsidR="00732734" w:rsidRPr="00417083"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29B0323D" w14:textId="77777777" w:rsidTr="00397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Pr>
          <w:p w14:paraId="6349FF73" w14:textId="77777777" w:rsidR="00732734" w:rsidRDefault="00732734" w:rsidP="0039700A">
            <w:pPr>
              <w:rPr>
                <w:rFonts w:ascii="Times New Roman" w:hAnsi="Times New Roman" w:cs="Times New Roman"/>
                <w:sz w:val="24"/>
                <w:szCs w:val="32"/>
              </w:rPr>
            </w:pPr>
            <w:r w:rsidRPr="005638C4">
              <w:rPr>
                <w:rFonts w:ascii="Times New Roman" w:hAnsi="Times New Roman" w:cs="Times New Roman"/>
                <w:sz w:val="24"/>
                <w:szCs w:val="24"/>
              </w:rPr>
              <w:t>Kendale et al.,2018</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{"citationID":"RNlxQTB9","properties":{"formattedCitation":"[22]","plainCitation":"[22]","noteIndex":0},"citationItems":[{"id":280,"uris":["http://zotero.org/users/local/lRqU69pQ/items/LAZ6VC6S"],"itemData":{"id":280,"type":"article-journal","abstract":"WHAT WE ALREADY KNOW ABOUT THIS TOPIC: WHAT THIS ARTICLE TELLS US THAT IS NEW: BACKGROUND:: Hypotension is a risk factor for adverse perioperative outcomes. Machine-learning methods allow large amounts of data for development of robust predictive analytics. The authors hypothesized that machine-learning methods can provide prediction for the risk of postinduction hypotension.\nMETHODS: Data was extracted from the electronic health record of a single quaternary care center from November 2015 to May 2016 for patients over age 12 that underwent general anesthesia, without procedure exclusions. Multiple supervised machine-learning classification techniques were attempted, with postinduction hypotension (mean arterial pressure less than 55 mmHg within 10 min of induction by any measurement) as primary outcome, and preoperative medications, medical comorbidities, induction medications, and intraoperative vital signs as features. Discrimination was assessed using cross-validated area under the receiver operating characteristic curve. The best performing model was tuned and final performance assessed using split-set validation.\nRESULTS: Out of 13,323 cases, 1,185 (8.9%) experienced postinduction hypotension. Area under the receiver operating characteristic curve using logistic regression was 0.71 (95% CI, 0.70 to 0.72), support vector machines was 0.63 (95% CI, 0.58 to 0.60), naive Bayes was 0.69 (95% CI, 0.67 to 0.69), k-nearest neighbor was 0.64 (95% CI, 0.63 to 0.65), linear discriminant analysis was 0.72 (95% CI, 0.71 to 0.73), random forest was 0.74 (95% CI, 0.73 to 0.75), neural nets 0.71 (95% CI, 0.69 to 0.71), and gradient boosting machine 0.76 (95% CI, 0.75 to 0.77). Test set area for the gradient boosting machine was 0.74 (95% CI, 0.72 to 0.77).\nCONCLUSIONS: The success of this technique in predicting postinduction hypotension demonstrates feasibility of machine-learning models for predictive analytics in the field of anesthesiology, with performance dependent on model selection and appropriate tuning.","container-title":"Anesthesiology","DOI":"10.1097/ALN.0000000000002374","ISSN":"1528-1175","issue":"4","journalAbbreviation":"Anesthesiology","language":"eng","note":"PMID: 30074930","page":"675-688","source":"PubMed","title":"Supervised Machine-learning Predictive Analytics for Prediction of Postinduction Hypotension","volume":"129","author":[{"family":"Kendale","given":"Samir"},{"family":"Kulkarni","given":"Prathamesh"},{"family":"Rosenberg","given":"Andrew D."},{"family":"Wang","given":"Jing"}],"issued":{"date-parts":[["2018",10]]}}}],"schema":"https://github.com/citation-style-language/schema/raw/master/csl-citation.json"}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[22]</w:t>
            </w:r>
            <w:r w:rsidRPr="005638C4">
              <w:rPr>
                <w:rFonts w:ascii="Times New Roman" w:hAnsi="Times New Roman" w:cs="Times New Roman"/>
                <w:sz w:val="24"/>
                <w:szCs w:val="24"/>
              </w:rPr>
              <w:fldChar w:fldCharType="end"/>
            </w:r>
          </w:p>
        </w:tc>
        <w:tc>
          <w:tcPr>
            <w:tcW w:w="731" w:type="pct"/>
          </w:tcPr>
          <w:p w14:paraId="28D9BCD0"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81" w:type="pct"/>
          </w:tcPr>
          <w:p w14:paraId="442D4FD4"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195C50CF"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0594D20B"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394AB65B"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46" w:type="pct"/>
          </w:tcPr>
          <w:p w14:paraId="02428A0B"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4DB67853"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6C32E80F"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77FD8B78" w14:textId="77777777" w:rsidR="00732734" w:rsidRPr="00417083"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6</w:t>
            </w:r>
          </w:p>
        </w:tc>
        <w:tc>
          <w:tcPr>
            <w:tcW w:w="344" w:type="pct"/>
          </w:tcPr>
          <w:p w14:paraId="54DC7CE5"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32C0163E" w14:textId="77777777" w:rsidTr="0039700A">
        <w:tc>
          <w:tcPr>
            <w:cnfStyle w:val="001000000000" w:firstRow="0" w:lastRow="0" w:firstColumn="1" w:lastColumn="0" w:oddVBand="0" w:evenVBand="0" w:oddHBand="0" w:evenHBand="0" w:firstRowFirstColumn="0" w:firstRowLastColumn="0" w:lastRowFirstColumn="0" w:lastRowLastColumn="0"/>
            <w:tcW w:w="562" w:type="pct"/>
          </w:tcPr>
          <w:p w14:paraId="678407DA" w14:textId="77777777" w:rsidR="00732734" w:rsidRPr="005638C4" w:rsidRDefault="00732734" w:rsidP="0039700A">
            <w:pPr>
              <w:rPr>
                <w:rFonts w:ascii="Times New Roman" w:hAnsi="Times New Roman" w:cs="Times New Roman"/>
                <w:sz w:val="24"/>
                <w:szCs w:val="24"/>
              </w:rPr>
            </w:pPr>
            <w:r w:rsidRPr="005638C4">
              <w:rPr>
                <w:rFonts w:ascii="Times New Roman" w:hAnsi="Times New Roman" w:cs="Times New Roman"/>
                <w:sz w:val="24"/>
                <w:szCs w:val="24"/>
              </w:rPr>
              <w:t>Li et al.,2021</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{"citationID":"YHv2Fyl1","properties":{"formattedCitation":"[23]","plainCitation":"[23]","noteIndex":0},"citationItems":[{"id":277,"uris":["http://zotero.org/users/local/lRqU69pQ/items/EI3DZH7X"],"itemData":{"id":277,"type":"article-journal","abstract":"BACKGROUND\nHypotension after the induction of anesthesia is known to be associated with various adverse events. The involvement of a series of factors makes the prediction of hypotension during anesthesia quite challenging.\n\nAIM\nTo explore the ability and effectiveness of a random forest (RF) model in the prediction of post-induction hypotension (PIH) in patients undergoing cardiac surgery.\n\nMETHODS\nPatient information was obtained from the electronic health records of the Second Affiliated Hospital of Hainan Medical University. The study included patients, ≥ 18 years of age, who underwent cardiac surgery from December 2007 to January 2018. An RF algorithm, which is a supervised machine learning technique, was employed to predict PIH. Model performance was assessed by the area under the curve (AUC) of the receiver operating characteristic. Mean decrease in the Gini index was used to rank various features based on their importance.\n\nRESULTS\nOf the 3030 patients included in the study, 1578 (52.1%) experienced hypotension after the induction of anesthesia. The RF model performed effectively, with an AUC of 0.843 (0.808-0.877) and identified mean blood pressure as the most important predictor of PIH after anesthesia. Age and body mass index also had a significant impact.\n\nCONCLUSION\nThe generated RF model had high discrimination ability for the identification of individuals at high risk for a hypotensive event during cardiac surgery. The study results highlighted that machine learning tools confer unique advantages for the prediction of adverse post-anesthesia events.","container-title":"World Journal of Clinical Cases","DOI":"10.12998/wjcc.v9.i29.8729","ISSN":"2307-8960","issue":"29","journalAbbreviation":"World J Clin Cases","note":"PMID: 34734051\nPMCID: PMC8546817","page":"8729-8739","source":"PubMed Central","title":"Development of a random forest model for hypotension prediction after anesthesia induction for cardiac surgery","volume":"9","author":[{"family":"Li","given":"Xuan-Fa"},{"family":"Huang","given":"Yong-Zhen"},{"family":"Tang","given":"Jing-Ying"},{"family":"Li","given":"Rui-Chen"},{"family":"Wang","given":"Xiao-Qi"}],"issued":{"date-parts":[["2021",10,16]]}}}],"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[23]</w:t>
            </w:r>
            <w:r w:rsidRPr="005638C4">
              <w:rPr>
                <w:rFonts w:ascii="Times New Roman" w:hAnsi="Times New Roman" w:cs="Times New Roman"/>
                <w:sz w:val="24"/>
                <w:szCs w:val="24"/>
              </w:rPr>
              <w:fldChar w:fldCharType="end"/>
            </w:r>
          </w:p>
        </w:tc>
        <w:tc>
          <w:tcPr>
            <w:tcW w:w="731" w:type="pct"/>
          </w:tcPr>
          <w:p w14:paraId="4F2E3127"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3A2081C8"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0C1F9C9E"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33C80D66"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1CB6DE25"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2</w:t>
            </w:r>
          </w:p>
        </w:tc>
        <w:tc>
          <w:tcPr>
            <w:tcW w:w="446" w:type="pct"/>
          </w:tcPr>
          <w:p w14:paraId="2E74EDFC"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56DAAD65"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1E3AD528"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521034B9"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6</w:t>
            </w:r>
          </w:p>
        </w:tc>
        <w:tc>
          <w:tcPr>
            <w:tcW w:w="344" w:type="pct"/>
          </w:tcPr>
          <w:p w14:paraId="52C38B33"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70288FB3" w14:textId="77777777" w:rsidTr="00397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Pr>
          <w:p w14:paraId="0E2225E3" w14:textId="77777777" w:rsidR="00732734" w:rsidRPr="005638C4" w:rsidRDefault="00732734" w:rsidP="0039700A">
            <w:pPr>
              <w:rPr>
                <w:rFonts w:ascii="Times New Roman" w:hAnsi="Times New Roman" w:cs="Times New Roman"/>
                <w:b w:val="0"/>
                <w:bCs w:val="0"/>
                <w:sz w:val="24"/>
                <w:szCs w:val="24"/>
              </w:rPr>
            </w:pPr>
            <w:r w:rsidRPr="005638C4">
              <w:rPr>
                <w:rFonts w:ascii="Times New Roman" w:hAnsi="Times New Roman" w:cs="Times New Roman"/>
                <w:sz w:val="24"/>
                <w:szCs w:val="24"/>
              </w:rPr>
              <w:t>Geng et al.,2019</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{"citationID":"5YZku2jo","properties":{"formattedCitation":"[24]","plainCitation":"[24]","noteIndex":0},"citationItems":[{"id":297,"uris":["http://zotero.org/users/local/lRqU69pQ/items/CXX572V6"],"itemData":{"id":297,"type":"article-journal","abstract":"OBJECTIVE: This study was designed to assess clinical predictors of hypoxemia and develop an artificial neural network (ANN) model for prediction of hypoxemia during sedation for gastrointestinal endoscopy examination.\nMETHODS: A total of 220 patients were enrolled in this prospective observational study. Data on demographics, chronic concomitant disease information, neck circumference, thyromental distance and anaesthetic dose were collected and statistically analysed.\nRESULTS: Univariate analysis indicated that body mass index (BMI), habitual snoring and neck circumference were associated with hypoxemia. An ANN model was developed with three variables (BMI, habitual snoring and neck circumference). The area under the receiver operating characteristic curve for the ANN model was 0.80.\nCONCLUSIONS: The ANN model developed here, comprising BMI, habitual snoring and neck circumference, was useful for prediction of hypoxemia during sedation for gastrointestinal endoscopy.","container-title":"The Journal of International Medical Research","DOI":"10.1177/0300060519834459","ISSN":"1473-2300","issue":"5","journalAbbreviation":"J Int Med Res","language":"eng","note":"PMID: 30913936\nPMCID: PMC6567776","page":"2097-2103","source":"PubMed","title":"An artificial neural network model for prediction of hypoxemia during sedation for gastrointestinal endoscopy","volume":"47","author":[{"family":"Geng","given":"Wujun"},{"family":"Tang","given":"Hongli"},{"family":"Sharma","given":"Apurb"},{"family":"Zhao","given":"Yizhou"},{"family":"Yan","given":"Ye"},{"family":"Hong","given":"Wandong"}],"issued":{"date-parts":[["2019",5]]}}}],"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[24]</w:t>
            </w:r>
            <w:r w:rsidRPr="005638C4">
              <w:rPr>
                <w:rFonts w:ascii="Times New Roman" w:hAnsi="Times New Roman" w:cs="Times New Roman"/>
                <w:sz w:val="24"/>
                <w:szCs w:val="24"/>
              </w:rPr>
              <w:fldChar w:fldCharType="end"/>
            </w:r>
          </w:p>
        </w:tc>
        <w:tc>
          <w:tcPr>
            <w:tcW w:w="731" w:type="pct"/>
          </w:tcPr>
          <w:p w14:paraId="4F143561"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5550A1C1"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115A48F3"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4FAD51F7"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472E59B4"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46" w:type="pct"/>
          </w:tcPr>
          <w:p w14:paraId="58343A96"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66B8716B"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4CE40969"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6349DE6E"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5</w:t>
            </w:r>
          </w:p>
        </w:tc>
        <w:tc>
          <w:tcPr>
            <w:tcW w:w="344" w:type="pct"/>
          </w:tcPr>
          <w:p w14:paraId="23E70146"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72716FAF" w14:textId="77777777" w:rsidTr="0039700A">
        <w:tc>
          <w:tcPr>
            <w:cnfStyle w:val="001000000000" w:firstRow="0" w:lastRow="0" w:firstColumn="1" w:lastColumn="0" w:oddVBand="0" w:evenVBand="0" w:oddHBand="0" w:evenHBand="0" w:firstRowFirstColumn="0" w:firstRowLastColumn="0" w:lastRowFirstColumn="0" w:lastRowLastColumn="0"/>
            <w:tcW w:w="562" w:type="pct"/>
          </w:tcPr>
          <w:p w14:paraId="5F1DCBD9" w14:textId="77777777" w:rsidR="00732734" w:rsidRPr="005638C4" w:rsidRDefault="00732734" w:rsidP="0039700A">
            <w:pPr>
              <w:rPr>
                <w:rFonts w:ascii="Times New Roman" w:hAnsi="Times New Roman" w:cs="Times New Roman"/>
                <w:sz w:val="24"/>
                <w:szCs w:val="24"/>
              </w:rPr>
            </w:pPr>
            <w:r w:rsidRPr="005638C4">
              <w:rPr>
                <w:rFonts w:ascii="Times New Roman" w:hAnsi="Times New Roman" w:cs="Times New Roman"/>
                <w:sz w:val="24"/>
                <w:szCs w:val="24"/>
              </w:rPr>
              <w:t>Lundberg et al.,2018</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{"citationID":"ek6Wb2lr","properties":{"formattedCitation":"[25]","plainCitation":"[25]","noteIndex":0},"citationItems":[{"id":300,"uris":["http://zotero.org/users/local/lRqU69pQ/items/LJNARXAV"],"itemData":{"id":300,"type":"article-journal","abstract":"Although anaesthesiologists strive to avoid hypoxaemia during surgery, reliably predicting future intraoperative hypoxaemia is not possible at present. Here, we report the development and testing of a machine-learning-based system that predicts the risk of hypoxaemia and provides explanations of the risk factors in real time during general anaesthesia. The system, which was trained on minute-by-minute data from the electronic medical records of over 50,000 surgeries, improved the performance of anaesthesiologists by providing interpretable hypoxaemia risks and contributing factors. The explanations for the predictions are broadly consistent with the literature and with prior knowledge from anaesthesiologists. Our results suggest that if anaesthesiologists currently anticipate 15% of hypoxaemia events, with the assistance of this system they could anticipate 30%, a large portion of which may benefit from early intervention because they are associated with modifiable factors. The system can help improve the clinical understanding of hypoxaemia risk during anaesthesia care by providing general insights into the exact changes in risk induced by certain characteristics of the patient or procedure.","container-title":"Nature Biomedical Engineering","DOI":"10.1038/s41551-018-0304-0","ISSN":"2157-846X","issue":"10","journalAbbreviation":"Nat Biomed Eng","language":"en","license":"2018 The Author(s), under exclusive licence to Springer Nature Limited","note":"publisher: Nature Publishing Group","page":"749-760","source":"www.nature.com","title":"Explainable machine-learning predictions for the prevention of hypoxaemia during surgery","volume":"2","author":[{"family":"Lundberg","given":"Scott M."},{"family":"Nair","given":"Bala"},{"family":"Vavilala","given":"Monica S."},{"family":"Horibe","given":"Mayumi"},{"family":"Eisses","given":"Michael J."},{"family":"Adams","given":"Trevor"},{"family":"Liston","given":"David E."},{"family":"Low","given":"Daniel King-Wai"},{"family":"Newman","given":"Shu-Fang"},{"family":"Kim","given":"Jerry"},{"family":"Lee","given":"Su-In"}],"issued":{"date-parts":[["2018",10]]}}}],"schema":"https://github.com/citation-style-language/schema/raw/master/csl-citation.json"}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[25]</w:t>
            </w:r>
            <w:r w:rsidRPr="005638C4">
              <w:rPr>
                <w:rFonts w:ascii="Times New Roman" w:hAnsi="Times New Roman" w:cs="Times New Roman"/>
                <w:sz w:val="24"/>
                <w:szCs w:val="24"/>
              </w:rPr>
              <w:fldChar w:fldCharType="end"/>
            </w:r>
          </w:p>
        </w:tc>
        <w:tc>
          <w:tcPr>
            <w:tcW w:w="731" w:type="pct"/>
          </w:tcPr>
          <w:p w14:paraId="15222D8F"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81" w:type="pct"/>
          </w:tcPr>
          <w:p w14:paraId="5B3A85BD"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6F2985BD"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26FC9AF3"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43D11659"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2</w:t>
            </w:r>
          </w:p>
        </w:tc>
        <w:tc>
          <w:tcPr>
            <w:tcW w:w="446" w:type="pct"/>
          </w:tcPr>
          <w:p w14:paraId="47532568"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5BCECEC9"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27DFE437"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5342DABC"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7</w:t>
            </w:r>
          </w:p>
        </w:tc>
        <w:tc>
          <w:tcPr>
            <w:tcW w:w="344" w:type="pct"/>
          </w:tcPr>
          <w:p w14:paraId="46CE4672"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Good</w:t>
            </w:r>
          </w:p>
        </w:tc>
      </w:tr>
      <w:tr w:rsidR="00732734" w:rsidRPr="00417083" w14:paraId="21365ADF" w14:textId="77777777" w:rsidTr="00397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Pr>
          <w:p w14:paraId="04D6787A" w14:textId="77777777" w:rsidR="00732734" w:rsidRPr="005638C4" w:rsidRDefault="00732734" w:rsidP="0039700A">
            <w:pPr>
              <w:rPr>
                <w:rFonts w:ascii="Times New Roman" w:hAnsi="Times New Roman" w:cs="Times New Roman"/>
                <w:b w:val="0"/>
                <w:bCs w:val="0"/>
                <w:sz w:val="24"/>
                <w:szCs w:val="24"/>
              </w:rPr>
            </w:pPr>
            <w:r w:rsidRPr="005638C4">
              <w:rPr>
                <w:rFonts w:ascii="Times New Roman" w:hAnsi="Times New Roman" w:cs="Times New Roman"/>
                <w:sz w:val="24"/>
                <w:szCs w:val="24"/>
              </w:rPr>
              <w:t>Kim et al.,2023</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{"citationID":"O197sfCa","properties":{"formattedCitation":"[26]","plainCitation":"[26]","noteIndex":0},"citationItems":[{"id":302,"uris":["http://zotero.org/users/local/lRqU69pQ/items/H4VNXQVE"],"itemData":{"id":302,"type":"article-journal","abstract":"Postoperative nausea and vomiting (PONV) are common complications after surgery. This study aimed to present the utilization of machine learning for predicting PONV and provide insights based on a large amount of data. This retrospective study included data on perioperative features of patients, such as patient characteristics and perioperative factors, from two hospitals. Logistic regression algorithms, random forest, light-gradient boosting machines, and multilayer perceptrons were used as machine learning algorithms to develop the models. The dataset of this study included 106,860 adult patients, with an overall incidence rate of 14.4% for PONV. The area under the receiver operating characteristic curve (AUROC) of the models was 0.60–0.67. In the prediction models that included only the known risk and mitigating factors of PONV, the AUROC of the models was 0.54–0.69. Some features were found to be associated with patient-controlled analgesia, with opioids being the most important feature in almost all models. In conclusion, machine learning provides valuable insights into PONV prediction, the selection of significant features for prediction, and feature engineering.","container-title":"Bioengineering","DOI":"10.3390/bioengineering10101152","ISSN":"2306-5354","issue":"10","language":"en","license":"http://creativecommons.org/licenses/by/3.0/","note":"number: 10\npublisher: Multidisciplinary Digital Publishing Institute","page":"1152","source":"www.mdpi.com","title":"Postoperative Nausea and Vomiting Prediction: Machine Learning Insights from a Comprehensive Analysis of Perioperative Data","title-short":"Postoperative Nausea and Vomiting Prediction","volume":"10","author":[{"family":"Kim","given":"Jong-Ho"},{"family":"Cheon","given":"Bo-Reum"},{"family":"Kim","given":"Min-Guan"},{"family":"Hwang","given":"Sung-Mi"},{"family":"Lim","given":"So-Young"},{"family":"Lee","given":"Jae-Jun"},{"family":"Kwon","given":"Young-Suk"}],"issued":{"date-parts":[["2023",10]]}}}],"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[26]</w:t>
            </w:r>
            <w:r w:rsidRPr="005638C4">
              <w:rPr>
                <w:rFonts w:ascii="Times New Roman" w:hAnsi="Times New Roman" w:cs="Times New Roman"/>
                <w:sz w:val="24"/>
                <w:szCs w:val="24"/>
              </w:rPr>
              <w:fldChar w:fldCharType="end"/>
            </w:r>
          </w:p>
        </w:tc>
        <w:tc>
          <w:tcPr>
            <w:tcW w:w="731" w:type="pct"/>
          </w:tcPr>
          <w:p w14:paraId="32D88303"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81" w:type="pct"/>
          </w:tcPr>
          <w:p w14:paraId="3726E7C0"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6A958C89"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063D512B"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795F9996"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2</w:t>
            </w:r>
          </w:p>
        </w:tc>
        <w:tc>
          <w:tcPr>
            <w:tcW w:w="446" w:type="pct"/>
          </w:tcPr>
          <w:p w14:paraId="63940DD2"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41E314B8"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3F9EB21B"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462398CA"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7</w:t>
            </w:r>
          </w:p>
        </w:tc>
        <w:tc>
          <w:tcPr>
            <w:tcW w:w="344" w:type="pct"/>
          </w:tcPr>
          <w:p w14:paraId="5EA95532"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Good</w:t>
            </w:r>
          </w:p>
        </w:tc>
      </w:tr>
      <w:tr w:rsidR="00732734" w:rsidRPr="00417083" w14:paraId="33229F17" w14:textId="77777777" w:rsidTr="0039700A">
        <w:tc>
          <w:tcPr>
            <w:cnfStyle w:val="001000000000" w:firstRow="0" w:lastRow="0" w:firstColumn="1" w:lastColumn="0" w:oddVBand="0" w:evenVBand="0" w:oddHBand="0" w:evenHBand="0" w:firstRowFirstColumn="0" w:firstRowLastColumn="0" w:lastRowFirstColumn="0" w:lastRowLastColumn="0"/>
            <w:tcW w:w="562" w:type="pct"/>
          </w:tcPr>
          <w:p w14:paraId="3D48F295" w14:textId="77777777" w:rsidR="00732734" w:rsidRPr="005638C4" w:rsidRDefault="00732734" w:rsidP="0039700A">
            <w:pPr>
              <w:rPr>
                <w:rFonts w:ascii="Times New Roman" w:hAnsi="Times New Roman" w:cs="Times New Roman"/>
                <w:sz w:val="24"/>
                <w:szCs w:val="24"/>
              </w:rPr>
            </w:pPr>
            <w:r w:rsidRPr="005638C4">
              <w:rPr>
                <w:rFonts w:ascii="Times New Roman" w:hAnsi="Times New Roman" w:cs="Times New Roman"/>
                <w:sz w:val="24"/>
                <w:szCs w:val="24"/>
              </w:rPr>
              <w:t>Gong et al.,2014</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{"citationID":"7lnxPx0E","properties":{"formattedCitation":"[27]","plainCitation":"[27]","noteIndex":0},"citationItems":[{"id":304,"uris":["http://zotero.org/users/local/lRqU69pQ/items/25N8GCFK"],"itemData":{"id":304,"type":"article-journal","abstract":"Patient-controlled epidural analgesia (PCEA) was used in many patients receiving orthopedic surgery to reduce postoperative pain but is accompanied with certain incidence of vomiting. Predictions of the vomiting event, however, were addressed by only a few authors using logistic regression (LR) models. Artificial neural networks (ANN) are pattern-recognition tools that can be used to detect complex patterns within data sets. The purpose of this study was to develop the ANN based predictive model to identify patients with high risk of vomiting during PCEA used. From January to March 2007, the PCEA records of 195 patients receiving PCEA after orthopedic surgery were used to develop the two predicting models. The ANN model had a largest area under curve (AUC) in receiver operating characteristic (ROC) curve. The areas under ROC curves of ANN and LR models were 0.900 and 0.761, respectively. The computer-based predictive model should be useful in increasing vigilance in those patients most at risk for vomiting while PCEA is used, allowing for patient-specific therapeutic intervention, or even in suggesting the use of alternative methods of analgesia.","container-title":"BioMed Research International","DOI":"10.1155/2014/786418","ISSN":"2314-6141","journalAbbreviation":"Biomed Res Int","language":"eng","note":"PMID: 25162027\nPMCID: PMC4138736","page":"786418","source":"PubMed","title":"Predicting postoperative vomiting for orthopedic patients receiving patient-controlled epidural analgesia with the application of an artificial neural network","volume":"2014","author":[{"family":"Gong","given":"Cihun-Siyong Alex"},{"family":"Yu","given":"Lu"},{"family":"Ting","given":"Chien-Kun"},{"family":"Tsou","given":"Mei-Yung"},{"family":"Chang","given":"Kuang-Yi"},{"family":"Shen","given":"Chih-Long"},{"family":"Lin","given":"Shih-Pin"}],"issued":{"date-parts":[["2014"]]}}}],"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[27]</w:t>
            </w:r>
            <w:r w:rsidRPr="005638C4">
              <w:rPr>
                <w:rFonts w:ascii="Times New Roman" w:hAnsi="Times New Roman" w:cs="Times New Roman"/>
                <w:sz w:val="24"/>
                <w:szCs w:val="24"/>
              </w:rPr>
              <w:fldChar w:fldCharType="end"/>
            </w:r>
          </w:p>
        </w:tc>
        <w:tc>
          <w:tcPr>
            <w:tcW w:w="731" w:type="pct"/>
          </w:tcPr>
          <w:p w14:paraId="328F023D"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3355BC45"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7B24824C"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42A798A4"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3297AF4F"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2</w:t>
            </w:r>
          </w:p>
        </w:tc>
        <w:tc>
          <w:tcPr>
            <w:tcW w:w="446" w:type="pct"/>
          </w:tcPr>
          <w:p w14:paraId="002D3A7A"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62290674"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5AE96975"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477F8326"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6</w:t>
            </w:r>
          </w:p>
        </w:tc>
        <w:tc>
          <w:tcPr>
            <w:tcW w:w="344" w:type="pct"/>
          </w:tcPr>
          <w:p w14:paraId="01D713E3"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0A9D0DE5" w14:textId="77777777" w:rsidTr="00397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Pr>
          <w:p w14:paraId="523E14F7" w14:textId="77777777" w:rsidR="00732734" w:rsidRPr="005638C4" w:rsidRDefault="00732734" w:rsidP="0039700A">
            <w:pPr>
              <w:rPr>
                <w:rFonts w:ascii="Times New Roman" w:hAnsi="Times New Roman" w:cs="Times New Roman"/>
                <w:sz w:val="24"/>
                <w:szCs w:val="24"/>
              </w:rPr>
            </w:pPr>
            <w:r w:rsidRPr="005638C4">
              <w:rPr>
                <w:rFonts w:ascii="Times New Roman" w:hAnsi="Times New Roman" w:cs="Times New Roman"/>
                <w:sz w:val="24"/>
                <w:szCs w:val="24"/>
              </w:rPr>
              <w:lastRenderedPageBreak/>
              <w:t>Shim et al.,2022</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{"citationID":"jvLFnrpk","properties":{"formattedCitation":"[28]","plainCitation":"[28]","noteIndex":0},"citationItems":[{"id":307,"uris":["http://zotero.org/users/local/lRqU69pQ/items/7VBP4PR5"],"itemData":{"id":307,"type":"article-journal","abstract":"BACKGROUND: Postoperative nausea and vomiting (PONV) is a still highly relevant problem and is known to be a distressing side effect in patients. The aim of this study was to develop a machine learning model to predict PONV up to 24 h with fentanyl-based intravenous patient-controlled analgesia (IV-PCA).\nMETHODS: From July 2019 and July 2020, data from 2,149 patients who received fentanyl-based IV-PCA for analgesia after non-cardiac surgery under general anesthesia were applied to develop predictive models. The rates of PONV at 1 day after surgery were measured according to patient characteristics as well as anesthetic, surgical, or PCA-related factors. All statistical analyses and computations were performed using the R software.\nRESULTS: A total of 2,149 patients were enrolled in this study, 337 of whom (15.7%) experienced PONV. After applying the machine-learning algorithm and Apfel model to the test dataset to predict PONV, we found that the area under the receiver operating characteristic curve using logistic regression was 0.576 (95% confidence interval [CI], 0.520-0.633), k-nearest neighbor was 0.597 (95% CI, 0.537-0.656), decision tree was 0.561 (95% CI, 0.498-0.625), random forest was 0.610 (95% CI, 0.552-0.668), gradient boosting machine was 0.580 (95% CI, 0.520-0.639), support vector machine was 0.649 (95% CI, 0.592-0.707), artificial neural network was 0.686 (95% CI, 0.630-0.742), and Apfel model was 0.643 (95% CI, 0.596-0.690).\nCONCLUSIONS: We developed and validated machine learning models for predicting PONV in the first 24 h. The machine learning model showed better performance than the Apfel model in predicting PONV.","container-title":"PloS One","DOI":"10.1371/journal.pone.0277957","ISSN":"1932-6203","issue":"12","journalAbbreviation":"PLoS One","language":"eng","note":"PMID: 36548346\nPMCID: PMC9778492","page":"e0277957","source":"PubMed","title":"Machine learning for prediction of postoperative nausea and vomiting in patients with intravenous patient-controlled analgesia","volume":"17","author":[{"family":"Shim","given":"Jae-Geum"},{"family":"Ryu","given":"Kyoung-Ho"},{"family":"Cho","given":"Eun-Ah"},{"family":"Ahn","given":"Jin Hee"},{"family":"Cha","given":"Yun Byeong"},{"family":"Lim","given":"Goeun"},{"family":"Lee","given":"Sung Hyun"}],"issued":{"date-parts":[["2022"]]}}}],"schema":"https://github.com/citation-style-language/schema/raw/master/csl-citation.json"}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[28]</w:t>
            </w:r>
            <w:r w:rsidRPr="005638C4">
              <w:rPr>
                <w:rFonts w:ascii="Times New Roman" w:hAnsi="Times New Roman" w:cs="Times New Roman"/>
                <w:sz w:val="24"/>
                <w:szCs w:val="24"/>
              </w:rPr>
              <w:fldChar w:fldCharType="end"/>
            </w:r>
          </w:p>
        </w:tc>
        <w:tc>
          <w:tcPr>
            <w:tcW w:w="731" w:type="pct"/>
          </w:tcPr>
          <w:p w14:paraId="32B72FE2"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81" w:type="pct"/>
          </w:tcPr>
          <w:p w14:paraId="38B4B703"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07DDB3A1"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5F40CA2E"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5399245F"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2</w:t>
            </w:r>
          </w:p>
        </w:tc>
        <w:tc>
          <w:tcPr>
            <w:tcW w:w="446" w:type="pct"/>
          </w:tcPr>
          <w:p w14:paraId="35152C4D"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08514D02"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320400B2"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5E9B84A1"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7</w:t>
            </w:r>
          </w:p>
        </w:tc>
        <w:tc>
          <w:tcPr>
            <w:tcW w:w="344" w:type="pct"/>
          </w:tcPr>
          <w:p w14:paraId="0F3BF7C6"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Good</w:t>
            </w:r>
          </w:p>
        </w:tc>
      </w:tr>
      <w:tr w:rsidR="00732734" w:rsidRPr="00417083" w14:paraId="67EFD578" w14:textId="77777777" w:rsidTr="0039700A">
        <w:tc>
          <w:tcPr>
            <w:cnfStyle w:val="001000000000" w:firstRow="0" w:lastRow="0" w:firstColumn="1" w:lastColumn="0" w:oddVBand="0" w:evenVBand="0" w:oddHBand="0" w:evenHBand="0" w:firstRowFirstColumn="0" w:firstRowLastColumn="0" w:lastRowFirstColumn="0" w:lastRowLastColumn="0"/>
            <w:tcW w:w="562" w:type="pct"/>
          </w:tcPr>
          <w:p w14:paraId="462ACF0D" w14:textId="77777777" w:rsidR="00732734" w:rsidRPr="005638C4" w:rsidRDefault="00732734" w:rsidP="0039700A">
            <w:pPr>
              <w:rPr>
                <w:rFonts w:ascii="Times New Roman" w:hAnsi="Times New Roman" w:cs="Times New Roman"/>
                <w:sz w:val="24"/>
                <w:szCs w:val="24"/>
              </w:rPr>
            </w:pPr>
            <w:r w:rsidRPr="005638C4">
              <w:rPr>
                <w:rFonts w:ascii="Times New Roman" w:hAnsi="Times New Roman" w:cs="Times New Roman"/>
                <w:sz w:val="24"/>
                <w:szCs w:val="24"/>
              </w:rPr>
              <w:t>Bassanezi et al.,2013</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{"citationID":"6Ej6elVf","properties":{"formattedCitation":"[29]","plainCitation":"[29]","noteIndex":0},"citationItems":[{"id":310,"uris":["http://zotero.org/users/local/lRqU69pQ/items/RESCHFFI"],"itemData":{"id":310,"type":"article-journal","abstract":"OBJECTIVE: To report a fuzzy logic mathematical model to predict postoperative vomiting (POV) in pediatric oncologic patients and compare with preexisting scores.\nBACKGROUND: Although POV has a high incidence in children and may decrease parental satisfaction after surgeries, there is only one specific score that predicts POV in children: the Eberhart's score. In this study, we report a fuzzy model that intends to predict the probability of POV in pediatric oncologic patients. Fuzzy logic is a mathematical theory that recognizes more than simple true and false values and takes into account levels of continuous variables such as age or duration of the surgery. The fuzzy model tries to account for subjectiveness in the variables.\nMETHODS: Preoperative potential risk factors for POV in 198 children (0-19 year old) with malignancies were collected and analyzed. Data analysis was performed with the chi-square test and logistic regression to evaluate probable risk factors for POV. A system based on fuzzy logic was developed with the risk factors found in the logistic regression, and a computational interface was created to calculate the probability of POV.\nRESULTS: The model showed a good performance in predicting POV. After the analysis, the model was compared with Eberhart's score in the same population and showed a better performance.\nCONCLUSIONS: The fuzzy score can predict the chance of POV in children with cancer with good accuracy, allowing better planning for postoperative prophylaxis of vomiting. The computational interface is available for free download at the internet and is very easy to use.","container-title":"Paediatric Anaesthesia","DOI":"10.1111/pan.12000","ISSN":"1460-9592","issue":"1","journalAbbreviation":"Paediatr Anaesth","language":"eng","note":"PMID: 22998327","page":"68-73","source":"PubMed","title":"Postoperative vomiting in pediatric oncologic patients: prediction by a fuzzy logic model","title-short":"Postoperative vomiting in pediatric oncologic patients","volume":"23","author":[{"family":"Bassanezi","given":"Betina S. B."},{"family":"Oliveira-Filho","given":"Antônio G.","non-dropping-particle":"de"},{"family":"Jafelice","given":"Rosana S. M."},{"family":"Bustorff-Silva","given":"Joaquim M."},{"family":"Udelsmann","given":"Artur"}],"issued":{"date-parts":[["2013",1]]}}}],"schema":"https://github.com/citation-style-language/schema/raw/master/csl-citation.json"}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[29]</w:t>
            </w:r>
            <w:r w:rsidRPr="005638C4">
              <w:rPr>
                <w:rFonts w:ascii="Times New Roman" w:hAnsi="Times New Roman" w:cs="Times New Roman"/>
                <w:sz w:val="24"/>
                <w:szCs w:val="24"/>
              </w:rPr>
              <w:fldChar w:fldCharType="end"/>
            </w:r>
          </w:p>
        </w:tc>
        <w:tc>
          <w:tcPr>
            <w:tcW w:w="731" w:type="pct"/>
          </w:tcPr>
          <w:p w14:paraId="7355FCC9"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44CFADC5"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6E4A370E"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302F01C8"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16642C80"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2</w:t>
            </w:r>
          </w:p>
        </w:tc>
        <w:tc>
          <w:tcPr>
            <w:tcW w:w="446" w:type="pct"/>
          </w:tcPr>
          <w:p w14:paraId="1C0BF1FC"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114F0EF7"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20FDD8F9"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4579879F"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6</w:t>
            </w:r>
          </w:p>
        </w:tc>
        <w:tc>
          <w:tcPr>
            <w:tcW w:w="344" w:type="pct"/>
          </w:tcPr>
          <w:p w14:paraId="6254BD52"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1562079D" w14:textId="77777777" w:rsidTr="00397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Pr>
          <w:p w14:paraId="76DD3EE6" w14:textId="77777777" w:rsidR="00732734" w:rsidRPr="005638C4" w:rsidRDefault="00732734" w:rsidP="0039700A">
            <w:pPr>
              <w:rPr>
                <w:rFonts w:ascii="Times New Roman" w:hAnsi="Times New Roman" w:cs="Times New Roman"/>
                <w:sz w:val="24"/>
                <w:szCs w:val="24"/>
              </w:rPr>
            </w:pPr>
            <w:r w:rsidRPr="005638C4">
              <w:rPr>
                <w:rFonts w:ascii="Times New Roman" w:hAnsi="Times New Roman" w:cs="Times New Roman"/>
                <w:sz w:val="24"/>
                <w:szCs w:val="24"/>
              </w:rPr>
              <w:t>Wu et al.,2016</w:t>
            </w:r>
            <w:r w:rsidRPr="005638C4">
              <w:rPr>
                <w:rFonts w:ascii="Times New Roman" w:hAnsi="Times New Roman" w:cs="Times New Roman"/>
                <w:sz w:val="24"/>
                <w:szCs w:val="24"/>
              </w:rPr>
              <w:fldChar w:fldCharType="begin"/>
            </w:r>
            <w:r w:rsidRPr="005638C4">
              <w:rPr>
                <w:rFonts w:ascii="Times New Roman" w:hAnsi="Times New Roman" w:cs="Times New Roman"/>
                <w:sz w:val="24"/>
                <w:szCs w:val="24"/>
              </w:rPr>
              <w:instrText xml:space="preserve"> ADDIN ZOTERO_ITEM CSL_CITATION {"citationID":"685tXyCd","properties":{"formattedCitation":"[30]","plainCitation":"[30]","noteIndex":0},"citationItems":[{"id":312,"uris":["http://zotero.org/users/local/lRqU69pQ/items/BV3NWXAP"],"itemData":{"id":312,"type":"article-journal","abstract":"Patient-controlled epidural analgesia (PCEA) has been applied to reduce postoperative pain in orthopedic surgical patients. Unfortunately, PCEA is occasionally accompanied by nausea and vomiting. The logistic regression (LR) model is widely used to predict vomiting, and recently support vector machines (SVM), a supervised machine learning method, has been used for classification and prediction. Unlike our previous work which compared Artificial Neural Networks (ANNs) with LR, this study uses a SVM-based predictive model to identify patients with high risk of vomiting during PCEA and comparing results with those derived from the LR-based model. From January to March 2007, data from 195 patients undergoing PCEA following orthopedic surgery were applied to develop two predictive models. 75% of the data were randomly selected for training, while the remainder was used for testing to validate predictive performance. The area under curve (AUC) was measured using the Receiver Operating Characteristic curve (ROC). The area under ROC curves of LR and SVM models were 0.734 and 0.929, respectively. A computer-based predictive model can be used to identify those who are at high risk for vomiting after PCEA, allowing for patient-specific therapeutic intervention or the use of alternative analgesic methods.","container-title":"Scientific Reports","DOI":"10.1038/srep27041","ISSN":"2045-2322","journalAbbreviation":"Sci Rep","language":"eng","note":"PMID: 27247165\nPMCID: PMC4887988","page":"27041","source":"PubMed","title":"Predicting postoperative vomiting among orthopedic patients receiving patient-controlled epidural analgesia using SVM and LR","volume":"6","author":[{"family":"Wu","given":"Hsin-Yun"},{"family":"Gong","given":"Cihun-Siyong Alex"},{"family":"Lin","given":"Shih-Pin"},{"family":"Chang","given":"Kuang-Yi"},{"family":"Tsou","given":"Mei-Yung"},{"family":"Ting","given":"Chien-Kun"}],"issued":{"date-parts":[["2016",6,1]]}}}],"schema":"https://github.com/citation-style-language/schema/raw/master/csl-citation.json"} </w:instrText>
            </w:r>
            <w:r w:rsidRPr="005638C4">
              <w:rPr>
                <w:rFonts w:ascii="Times New Roman" w:hAnsi="Times New Roman" w:cs="Times New Roman"/>
                <w:sz w:val="24"/>
                <w:szCs w:val="24"/>
              </w:rPr>
              <w:fldChar w:fldCharType="separate"/>
            </w:r>
            <w:r w:rsidRPr="005638C4">
              <w:rPr>
                <w:rFonts w:ascii="Times New Roman" w:hAnsi="Times New Roman" w:cs="Times New Roman"/>
                <w:sz w:val="24"/>
                <w:szCs w:val="24"/>
              </w:rPr>
              <w:t>[30]</w:t>
            </w:r>
            <w:r w:rsidRPr="005638C4">
              <w:rPr>
                <w:rFonts w:ascii="Times New Roman" w:hAnsi="Times New Roman" w:cs="Times New Roman"/>
                <w:sz w:val="24"/>
                <w:szCs w:val="24"/>
              </w:rPr>
              <w:fldChar w:fldCharType="end"/>
            </w:r>
          </w:p>
        </w:tc>
        <w:tc>
          <w:tcPr>
            <w:tcW w:w="731" w:type="pct"/>
          </w:tcPr>
          <w:p w14:paraId="20C2E362"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6F99FABE"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01354A8E"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7479E30E"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03087625"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2</w:t>
            </w:r>
          </w:p>
        </w:tc>
        <w:tc>
          <w:tcPr>
            <w:tcW w:w="446" w:type="pct"/>
          </w:tcPr>
          <w:p w14:paraId="76A9113A"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4F06C938"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52625085"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20B7DCBA"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6</w:t>
            </w:r>
          </w:p>
        </w:tc>
        <w:tc>
          <w:tcPr>
            <w:tcW w:w="344" w:type="pct"/>
          </w:tcPr>
          <w:p w14:paraId="489BA050"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26C33F3E" w14:textId="77777777" w:rsidTr="0039700A">
        <w:tc>
          <w:tcPr>
            <w:cnfStyle w:val="001000000000" w:firstRow="0" w:lastRow="0" w:firstColumn="1" w:lastColumn="0" w:oddVBand="0" w:evenVBand="0" w:oddHBand="0" w:evenHBand="0" w:firstRowFirstColumn="0" w:firstRowLastColumn="0" w:lastRowFirstColumn="0" w:lastRowLastColumn="0"/>
            <w:tcW w:w="562" w:type="pct"/>
          </w:tcPr>
          <w:p w14:paraId="6CCAD0BF" w14:textId="77777777" w:rsidR="00732734" w:rsidRPr="005638C4" w:rsidRDefault="00732734" w:rsidP="0039700A">
            <w:pPr>
              <w:rPr>
                <w:rFonts w:ascii="Times New Roman" w:hAnsi="Times New Roman" w:cs="Times New Roman"/>
                <w:sz w:val="24"/>
                <w:szCs w:val="24"/>
              </w:rPr>
            </w:pPr>
            <w:r w:rsidRPr="005638C4">
              <w:rPr>
                <w:rFonts w:ascii="Times New Roman" w:hAnsi="Times New Roman" w:cs="Times New Roman"/>
                <w:sz w:val="24"/>
                <w:szCs w:val="24"/>
              </w:rPr>
              <w:t>Hermmerling et al.,2012</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{"citationID":"v9w7Gh17","properties":{"formattedCitation":"[31]","plainCitation":"[31]","noteIndex":0},"citationItems":[{"id":365,"uris":["http://zotero.org/users/local/lRqU69pQ/items/QFCGLQKN"],"itemData":{"id":365,"type":"article-journal","abstract":"Our goal in this study was to develop a robotic intubation system and to conduct a feasibility pilot study on the use of a robotic intubation system for endotracheal intubations. The Kepler Intubation System was developed, consisting of a remote control center (joystick and intubation cockpit) linked to a standard videolaryngoscope via a robotic arm. Ninety intubations were performed by the Kepler Intubation System on an airway trainer mannequin by a single operator. The first group of 30 intubations was performed with the operator in direct view of the mannequin (direct view group). The second group of 30 intubations was performed with the operator unable to see the mannequin (indirect view group). Thirty semiautomated intubations were also performed during which the robotic system replayed a trace of a previously recorded intubation maneuver (semiautomated group). First-attempt success rates and intubation times for each trial were recorded. Trends were analyzed using linear regression. Data are presented as mean (SD). All intubations were successful at first attempt. The mean intubation times were 46 (18) seconds, 51 (19) seconds, and 41 (1) seconds for the direct view, indirect view, and semiautomated group, respectively. Both the direct and indirect view groups had a negative slope, denoting that each successive trial required less time. The semiautomated group had a slope of 0 and a low SD of 1 second, illustrating the high reproducibility of automated intubations. We concluded that a robotic intubation system has been developed that can allow remote intubations within 40 to 60 seconds.","container-title":"Anesthesia and Analgesia","DOI":"10.1213/ANE.0b013e3182410cbf","ISSN":"1526-7598","issue":"3","journalAbbreviation":"Anesth Analg","language":"eng","note":"PMID: 22190550","page":"590-594","source":"PubMed","title":"The Kepler intubation system","volume":"114","author":[{"family":"Hemmerling","given":"Thomas M."},{"family":"Wehbe","given":"Mohamad"},{"family":"Zaouter","given":"Cedrick"},{"family":"Taddei","given":"Riccardo"},{"family":"Morse","given":"Joshua"}],"issued":{"date-parts":[["2012",3]]}}}],"schema":"https://github.com/citation-style-language/schema/raw/master/csl-citation.json"} </w:instrText>
            </w:r>
            <w:r>
              <w:rPr>
                <w:rFonts w:ascii="Times New Roman" w:hAnsi="Times New Roman" w:cs="Times New Roman"/>
                <w:sz w:val="24"/>
                <w:szCs w:val="24"/>
              </w:rPr>
              <w:fldChar w:fldCharType="separate"/>
            </w:r>
            <w:r w:rsidRPr="00E74F91">
              <w:rPr>
                <w:rFonts w:ascii="Times New Roman" w:hAnsi="Times New Roman" w:cs="Times New Roman"/>
                <w:sz w:val="24"/>
              </w:rPr>
              <w:t>[31]</w:t>
            </w:r>
            <w:r>
              <w:rPr>
                <w:rFonts w:ascii="Times New Roman" w:hAnsi="Times New Roman" w:cs="Times New Roman"/>
                <w:sz w:val="24"/>
                <w:szCs w:val="24"/>
              </w:rPr>
              <w:fldChar w:fldCharType="end"/>
            </w:r>
          </w:p>
        </w:tc>
        <w:tc>
          <w:tcPr>
            <w:tcW w:w="731" w:type="pct"/>
          </w:tcPr>
          <w:p w14:paraId="3BB730DD"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7DDA6353"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3E216D93"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23757526"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6C1BF6FD"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46" w:type="pct"/>
          </w:tcPr>
          <w:p w14:paraId="07DF2CFE"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17CDC11A"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4B75B818"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7E244CA7"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4</w:t>
            </w:r>
          </w:p>
        </w:tc>
        <w:tc>
          <w:tcPr>
            <w:tcW w:w="344" w:type="pct"/>
          </w:tcPr>
          <w:p w14:paraId="519D9E00"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57AF699A" w14:textId="77777777" w:rsidTr="00397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Pr>
          <w:p w14:paraId="2B5DEDD0" w14:textId="77777777" w:rsidR="00732734" w:rsidRPr="005638C4" w:rsidRDefault="00732734" w:rsidP="0039700A">
            <w:pPr>
              <w:rPr>
                <w:rFonts w:ascii="Times New Roman" w:hAnsi="Times New Roman" w:cs="Times New Roman"/>
                <w:sz w:val="24"/>
                <w:szCs w:val="24"/>
              </w:rPr>
            </w:pPr>
            <w:r w:rsidRPr="005638C4">
              <w:rPr>
                <w:rFonts w:ascii="Times New Roman" w:hAnsi="Times New Roman" w:cs="Times New Roman"/>
                <w:sz w:val="24"/>
                <w:szCs w:val="24"/>
              </w:rPr>
              <w:t>Biro et al.,2020</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{"citationID":"cbcjdPQW","properties":{"formattedCitation":"[32]","plainCitation":"[32]","noteIndex":0},"citationItems":[{"id":362,"uris":["http://zotero.org/users/local/lRqU69pQ/items/3X5X4NJ5"],"itemData":{"id":362,"type":"article-journal","abstract":"Robotic endoscope-automated via laryngeal imaging for tracheal intubation (REALITI) has been developed to enable automated tracheal intubation. This proof-of-concept study using a convenience sample of participants, comprised of trained anaesthetists and lay participants with no medical training, assessed the performance of a robotic device for the insertion of a tracheal tube into a manikin. A prototype robotic endoscope device was inserted into the trachea of an airway manikin by seven anaesthetists and seven participants with no medical training. Each individual performed six device insertions into the trachea in manual mode and six in automated mode. The anaesthetists succeeded with 40/42 (95%) manual insertions (median (IQR [range]) 17 (12-26 [4-132]) s) and 40/42 (95%) automated insertions (15 (13-18 [7-25]) s). The non-trained participants succeeded in 41/42 (98%) manual insertions (median (IQR [range]) 18 (13-21 [8-133]) s) and 42/42 (100%) automated insertions (16 (13-23 [10-58])] s). The duration of insertion did not differ between groups. An effect of increasing experience was observed in both groups in manual mode. A Likert scale for 'ease of use' (0 = very difficult to 10 = very easy) showed similar results within the two groups; the mean (SD) was 5.9 (2.1) for the anaesthetists and 6.9 (1.3) for the non-trained participants. We have successfully performed the first automated tracheal device insertion in a manikin with comparable results in a convenience sample of anaesthetists and lay participants with no medical training.","container-title":"Anaesthesia","DOI":"10.1111/anae.14945","ISSN":"1365-2044","issue":"7","journalAbbreviation":"Anaesthesia","language":"eng","note":"PMID: 31900928","page":"881-886","source":"PubMed","title":"Automated tracheal intubation in an airway manikin using a robotic endoscope: a proof of concept study","title-short":"Automated tracheal intubation in an airway manikin using a robotic endoscope","volume":"75","author":[{"family":"Biro","given":"P."},{"family":"Hofmann","given":"P."},{"family":"Gage","given":"D."},{"family":"Boehler","given":"Q."},{"family":"Chautems","given":"C."},{"family":"Braun","given":"J."},{"family":"Spahn","given":"D. R."},{"family":"Nelson","given":"B. J."}],"issued":{"date-parts":[["2020",7]]}}}],"schema":"https://github.com/citation-style-language/schema/raw/master/csl-citation.json"} </w:instrText>
            </w:r>
            <w:r>
              <w:rPr>
                <w:rFonts w:ascii="Times New Roman" w:hAnsi="Times New Roman" w:cs="Times New Roman"/>
                <w:sz w:val="24"/>
                <w:szCs w:val="24"/>
              </w:rPr>
              <w:fldChar w:fldCharType="separate"/>
            </w:r>
            <w:r w:rsidRPr="00E74F91">
              <w:rPr>
                <w:rFonts w:ascii="Times New Roman" w:hAnsi="Times New Roman" w:cs="Times New Roman"/>
                <w:sz w:val="24"/>
              </w:rPr>
              <w:t>[32]</w:t>
            </w:r>
            <w:r>
              <w:rPr>
                <w:rFonts w:ascii="Times New Roman" w:hAnsi="Times New Roman" w:cs="Times New Roman"/>
                <w:sz w:val="24"/>
                <w:szCs w:val="24"/>
              </w:rPr>
              <w:fldChar w:fldCharType="end"/>
            </w:r>
          </w:p>
        </w:tc>
        <w:tc>
          <w:tcPr>
            <w:tcW w:w="731" w:type="pct"/>
          </w:tcPr>
          <w:p w14:paraId="4D79188E"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39AFF12E"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2DC43346"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5AEFDBCB"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3ECFF302"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46" w:type="pct"/>
          </w:tcPr>
          <w:p w14:paraId="4AAA5BA8"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048B2443"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68FAC4DA"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775EC6F8"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4</w:t>
            </w:r>
          </w:p>
        </w:tc>
        <w:tc>
          <w:tcPr>
            <w:tcW w:w="344" w:type="pct"/>
          </w:tcPr>
          <w:p w14:paraId="0A0407E4"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1B3190DB" w14:textId="77777777" w:rsidTr="0039700A">
        <w:tc>
          <w:tcPr>
            <w:cnfStyle w:val="001000000000" w:firstRow="0" w:lastRow="0" w:firstColumn="1" w:lastColumn="0" w:oddVBand="0" w:evenVBand="0" w:oddHBand="0" w:evenHBand="0" w:firstRowFirstColumn="0" w:firstRowLastColumn="0" w:lastRowFirstColumn="0" w:lastRowLastColumn="0"/>
            <w:tcW w:w="562" w:type="pct"/>
          </w:tcPr>
          <w:p w14:paraId="7F73267D" w14:textId="77777777" w:rsidR="00732734" w:rsidRPr="005638C4" w:rsidRDefault="00732734" w:rsidP="0039700A">
            <w:pPr>
              <w:rPr>
                <w:rFonts w:ascii="Times New Roman" w:hAnsi="Times New Roman" w:cs="Times New Roman"/>
                <w:sz w:val="24"/>
                <w:szCs w:val="24"/>
              </w:rPr>
            </w:pPr>
            <w:r w:rsidRPr="005638C4">
              <w:rPr>
                <w:rFonts w:ascii="Times New Roman" w:hAnsi="Times New Roman" w:cs="Times New Roman"/>
                <w:sz w:val="24"/>
                <w:szCs w:val="24"/>
              </w:rPr>
              <w:t>Hemmerling et al.,2012</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{"citationID":"qjSergL1","properties":{"formattedCitation":"[33]","plainCitation":"[33]","noteIndex":0},"citationItems":[{"id":367,"uris":["http://zotero.org/users/local/lRqU69pQ/items/9LGBHA4S"],"itemData":{"id":367,"type":"article-journal","abstract":"BACKGROUND: Intubation is one of the most important anaesthetic skills. We developed a robotic intubation system (Kepler intubation system, KIS) for oral tracheal intubation.\nMETHODS: In this pilot study, 12 patients were enrolled after approval of the local Ethics board and written informed consent. The KIS consists of four main components: a ThrustMaster T.Flight Hotas X joystick (Guillemot Inc., New York, NY, USA), a JACO robotic arm (Kinova Rehab, Montreal, QC, Canada), a Pentax AWS video laryngoscope (Ambu A/S, Ballerup, Denmark), and a software control system. The joystick allows simulation of the wrist or arm movements of a human operator. The success rate of intubation and intubation times were measured.\nRESULTS: Eleven men and one woman aged 66 yr were included in this study. Intubation was successful in all but one patient using KIS at a total time of [median (inter-quartile range; range)] 93 (87, 109; 76, 153) s; in one patient, fogging of the video laryngoscope prevented intubation using KIS.\nCONCLUSIONS: We present the first human testing of a robotic intubation system for oral tracheal intubation. The success rate was high at 91%. Future studies are needed to assess the performance and safety of such a system.","container-title":"British Journal of Anaesthesia","DOI":"10.1093/bja/aes034","ISSN":"1471-6771","issue":"6","journalAbbreviation":"Br J Anaesth","language":"eng","note":"PMID: 22457483","page":"1011-1016","source":"PubMed","title":"First robotic tracheal intubations in humans using the Kepler intubation system","volume":"108","author":[{"family":"Hemmerling","given":"T. M."},{"family":"Taddei","given":"R."},{"family":"Wehbe","given":"M."},{"family":"Zaouter","given":"C."},{"family":"Cyr","given":"S."},{"family":"Morse","given":"J."}],"issued":{"date-parts":[["2012",6]]}}}],"schema":"https://github.com/citation-style-language/schema/raw/master/csl-citation.json"} </w:instrText>
            </w:r>
            <w:r>
              <w:rPr>
                <w:rFonts w:ascii="Times New Roman" w:hAnsi="Times New Roman" w:cs="Times New Roman"/>
                <w:sz w:val="24"/>
                <w:szCs w:val="24"/>
              </w:rPr>
              <w:fldChar w:fldCharType="separate"/>
            </w:r>
            <w:r w:rsidRPr="004D7625">
              <w:rPr>
                <w:rFonts w:ascii="Times New Roman" w:hAnsi="Times New Roman" w:cs="Times New Roman"/>
                <w:sz w:val="24"/>
              </w:rPr>
              <w:t>[33]</w:t>
            </w:r>
            <w:r>
              <w:rPr>
                <w:rFonts w:ascii="Times New Roman" w:hAnsi="Times New Roman" w:cs="Times New Roman"/>
                <w:sz w:val="24"/>
                <w:szCs w:val="24"/>
              </w:rPr>
              <w:fldChar w:fldCharType="end"/>
            </w:r>
          </w:p>
        </w:tc>
        <w:tc>
          <w:tcPr>
            <w:tcW w:w="731" w:type="pct"/>
          </w:tcPr>
          <w:p w14:paraId="7F9878AD"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81" w:type="pct"/>
          </w:tcPr>
          <w:p w14:paraId="175A7B03"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052DE6CE"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4CFC0F9A"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7CEF6B92"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46" w:type="pct"/>
          </w:tcPr>
          <w:p w14:paraId="07FEBE12"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52CE8018"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57150477"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5C592AB6"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5</w:t>
            </w:r>
          </w:p>
        </w:tc>
        <w:tc>
          <w:tcPr>
            <w:tcW w:w="344" w:type="pct"/>
          </w:tcPr>
          <w:p w14:paraId="63C86E05"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51241C27" w14:textId="77777777" w:rsidTr="00397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Pr>
          <w:p w14:paraId="578EEFA2" w14:textId="77777777" w:rsidR="00732734" w:rsidRPr="005638C4" w:rsidRDefault="00732734" w:rsidP="0039700A">
            <w:pPr>
              <w:rPr>
                <w:rFonts w:ascii="Times New Roman" w:hAnsi="Times New Roman" w:cs="Times New Roman"/>
                <w:sz w:val="24"/>
                <w:szCs w:val="24"/>
              </w:rPr>
            </w:pPr>
            <w:r w:rsidRPr="005638C4">
              <w:rPr>
                <w:rFonts w:ascii="Times New Roman" w:hAnsi="Times New Roman" w:cs="Times New Roman"/>
                <w:sz w:val="24"/>
                <w:szCs w:val="24"/>
              </w:rPr>
              <w:t>Morse et al.,2014</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{"citationID":"OmTzCUzb","properties":{"formattedCitation":"[34]","plainCitation":"[34]","noteIndex":0},"citationItems":[{"id":369,"uris":["http://zotero.org/users/local/lRqU69pQ/items/5PAEUZ8Q"],"itemData":{"id":369,"type":"article-journal","abstract":"BACKGROUND: This study focuses on a recently developed robotic nerve block system and its impact on learning regional anaesthesia skills. We compared success rates, learning curves, performance times, and inter-subject performance variability of robot-assisted vs manual ultrasound (US)-guided nerve block needle guidance. The hypothesis of this study is that robot assistance will result in faster skill acquisition than manual needle guidance.\nMETHODS: Five co-authors with different experience with nerve blocks and the robotic system performed both manual and robot-assisted, US-guided nerve blocks on two different nerves of a nerve phantom. Ten trials were performed for each of the four procedures. Time taken to move from a shared starting position till the needle was inserted into the target nerve was defined as the performance time. A successful block was defined as the insertion of the needle into the target nerve. Average performance times were compared using analysis of variance. P&lt;0.05 was considered significant. Data presented as mean (standard deviation).\nRESULTS: All blocks were successful. There were significant differences in performance times between co-authors to perform the manual blocks, either superficial (P=0.001) or profound (P=0.0001); no statistical difference between co-authors was noted for the robot-assisted blocks. Linear regression indicated that the average decrease in time between consecutive trials for robot-assisted blocks of 1.8 (1.6) s was significantly (P=0.007) greater than the decrease for manual blocks of 0.3 (0.3) s.\nCONCLUSIONS: Robot assistance of nerve blocks allows for faster learning of needle guidance over manual positioning and reduces inter-subject performance variability.","container-title":"British Journal of Anaesthesia","DOI":"10.1093/bja/aet440","ISSN":"1471-6771","issue":"6","journalAbbreviation":"Br J Anaesth","language":"eng","note":"PMID: 24464610","page":"1092-1097","source":"PubMed","title":"Comparison of success rates, learning curves, and inter-subject performance variability of robot-assisted and manual ultrasound-guided nerve block needle guidance in simulation","volume":"112","author":[{"family":"Morse","given":"J."},{"family":"Terrasini","given":"N."},{"family":"Wehbe","given":"M."},{"family":"Philippona","given":"C."},{"family":"Zaouter","given":"C."},{"family":"Cyr","given":"S."},{"family":"Hemmerling","given":"T. M."}],"issued":{"date-parts":[["2014",6]]}}}],"schema":"https://github.com/citation-style-language/schema/raw/master/csl-citation.json"} </w:instrText>
            </w:r>
            <w:r>
              <w:rPr>
                <w:rFonts w:ascii="Times New Roman" w:hAnsi="Times New Roman" w:cs="Times New Roman"/>
                <w:sz w:val="24"/>
                <w:szCs w:val="24"/>
              </w:rPr>
              <w:fldChar w:fldCharType="separate"/>
            </w:r>
            <w:r w:rsidRPr="00F8564F">
              <w:rPr>
                <w:rFonts w:ascii="Times New Roman" w:hAnsi="Times New Roman" w:cs="Times New Roman"/>
                <w:sz w:val="24"/>
              </w:rPr>
              <w:t>[34]</w:t>
            </w:r>
            <w:r>
              <w:rPr>
                <w:rFonts w:ascii="Times New Roman" w:hAnsi="Times New Roman" w:cs="Times New Roman"/>
                <w:sz w:val="24"/>
                <w:szCs w:val="24"/>
              </w:rPr>
              <w:fldChar w:fldCharType="end"/>
            </w:r>
          </w:p>
        </w:tc>
        <w:tc>
          <w:tcPr>
            <w:tcW w:w="731" w:type="pct"/>
          </w:tcPr>
          <w:p w14:paraId="218BFE08"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81" w:type="pct"/>
          </w:tcPr>
          <w:p w14:paraId="129D4D21"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37A4A4C2"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4251820A"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4BF6921F"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46" w:type="pct"/>
          </w:tcPr>
          <w:p w14:paraId="4D509CF5"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28A239D9"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72920150"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66493ED7"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4</w:t>
            </w:r>
          </w:p>
        </w:tc>
        <w:tc>
          <w:tcPr>
            <w:tcW w:w="344" w:type="pct"/>
          </w:tcPr>
          <w:p w14:paraId="22FCA3C9" w14:textId="77777777" w:rsidR="00732734" w:rsidRDefault="00732734" w:rsidP="003970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r w:rsidR="00732734" w:rsidRPr="00417083" w14:paraId="24B83BE9" w14:textId="77777777" w:rsidTr="0039700A">
        <w:tc>
          <w:tcPr>
            <w:cnfStyle w:val="001000000000" w:firstRow="0" w:lastRow="0" w:firstColumn="1" w:lastColumn="0" w:oddVBand="0" w:evenVBand="0" w:oddHBand="0" w:evenHBand="0" w:firstRowFirstColumn="0" w:firstRowLastColumn="0" w:lastRowFirstColumn="0" w:lastRowLastColumn="0"/>
            <w:tcW w:w="562" w:type="pct"/>
          </w:tcPr>
          <w:p w14:paraId="7158DE9B" w14:textId="77777777" w:rsidR="00732734" w:rsidRPr="005638C4" w:rsidRDefault="00732734" w:rsidP="0039700A">
            <w:pPr>
              <w:rPr>
                <w:rFonts w:ascii="Times New Roman" w:hAnsi="Times New Roman" w:cs="Times New Roman"/>
                <w:sz w:val="24"/>
                <w:szCs w:val="24"/>
              </w:rPr>
            </w:pPr>
            <w:r w:rsidRPr="005638C4">
              <w:rPr>
                <w:rFonts w:ascii="Times New Roman" w:hAnsi="Times New Roman" w:cs="Times New Roman"/>
                <w:sz w:val="24"/>
                <w:szCs w:val="24"/>
              </w:rPr>
              <w:t>Hemmerling et al.,2013</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{"citationID":"0SpURK1n","properties":{"formattedCitation":"[35]","plainCitation":"[35]","noteIndex":0},"citationItems":[{"id":371,"uris":["http://zotero.org/users/local/lRqU69pQ/items/IGMKWTQ5"],"itemData":{"id":371,"type":"article-journal","abstract":"BACKGROUND: Ultrasound-guided nerve blocks are becoming a standard of modern anesthesia. We developed a robotic system, Magellan, to perform nerve blocks using a remote control center.\nMETHODS: Thirteen patients were enrolled in this pilot study. The Magellan system consists of 3 main components: a joystick, a robotic arm, and a software control system. The joystick allows simulation of wrist or arm movements of the proceduralist. After localization of the sciatic nerve, 35 mL of bupivacaine 0.25% was injected. The success rate of sciatic nerve blocks and block performance times (performance time=interval of time from the start of the ultrasound search for the nerve to the end of the injection of the drug; robotic time=interval of time from the identification of the nerve to the end of the injection of the drug) were determined. Data are presented as median (25th, 75th; minimal, maximal) and categorical data.\nRESULTS: Eight men and 5 women aged 34 years were included in this study. Nerve blocks were successful in all patients. A successful attempt was defined as the introduction of the needle into the nerve sheath; motor or sensory block was not used to determine the success rate. The nerve performance time was 189 seconds (150, 233; 90, 305), whereas the robotic time was 164 seconds (121, 210; 73, 271).\nCONCLUSIONS: We present the first human testing of a robotic ultrasound-guided nerve block system. The success rate was 100%. The total performance time was approximately 3 minutes to 4 minutes.","container-title":"Anesthesia and Analgesia","DOI":"10.1213/ANE.0b013e3182713b49","ISSN":"1526-7598","issue":"2","journalAbbreviation":"Anesth Analg","language":"eng","note":"PMID: 23302984","page":"491-494","source":"PubMed","title":"Technical communication: First robotic ultrasound-guided nerve blocks in humans using the Magellan system","title-short":"Technical communication","volume":"116","author":[{"family":"Hemmerling","given":"Thomas M."},{"family":"Taddei","given":"Riccardo"},{"family":"Wehbe","given":"Mohamad"},{"family":"Cyr","given":"Shantale"},{"family":"Zaouter","given":"Cedrick"},{"family":"Morse","given":"Joshua"}],"issued":{"date-parts":[["2013",2]]}}}],"schema":"https://github.com/citation-style-language/schema/raw/master/csl-citation.json"} </w:instrText>
            </w:r>
            <w:r>
              <w:rPr>
                <w:rFonts w:ascii="Times New Roman" w:hAnsi="Times New Roman" w:cs="Times New Roman"/>
                <w:sz w:val="24"/>
                <w:szCs w:val="24"/>
              </w:rPr>
              <w:fldChar w:fldCharType="separate"/>
            </w:r>
            <w:r w:rsidRPr="00F8564F">
              <w:rPr>
                <w:rFonts w:ascii="Times New Roman" w:hAnsi="Times New Roman" w:cs="Times New Roman"/>
                <w:sz w:val="24"/>
              </w:rPr>
              <w:t>[35]</w:t>
            </w:r>
            <w:r>
              <w:rPr>
                <w:rFonts w:ascii="Times New Roman" w:hAnsi="Times New Roman" w:cs="Times New Roman"/>
                <w:sz w:val="24"/>
                <w:szCs w:val="24"/>
              </w:rPr>
              <w:fldChar w:fldCharType="end"/>
            </w:r>
          </w:p>
        </w:tc>
        <w:tc>
          <w:tcPr>
            <w:tcW w:w="731" w:type="pct"/>
          </w:tcPr>
          <w:p w14:paraId="7960C35C"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81" w:type="pct"/>
          </w:tcPr>
          <w:p w14:paraId="1033A5B9"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483" w:type="pct"/>
          </w:tcPr>
          <w:p w14:paraId="28696314"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377" w:type="pct"/>
          </w:tcPr>
          <w:p w14:paraId="6E0ACAEF"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669" w:type="pct"/>
          </w:tcPr>
          <w:p w14:paraId="2F181668"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46" w:type="pct"/>
          </w:tcPr>
          <w:p w14:paraId="4A2056B1"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418" w:type="pct"/>
          </w:tcPr>
          <w:p w14:paraId="55AAA602"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0</w:t>
            </w:r>
          </w:p>
        </w:tc>
        <w:tc>
          <w:tcPr>
            <w:tcW w:w="330" w:type="pct"/>
          </w:tcPr>
          <w:p w14:paraId="0EAF6F2D"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1</w:t>
            </w:r>
          </w:p>
        </w:tc>
        <w:tc>
          <w:tcPr>
            <w:tcW w:w="259" w:type="pct"/>
          </w:tcPr>
          <w:p w14:paraId="7B48B9A8"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5</w:t>
            </w:r>
          </w:p>
        </w:tc>
        <w:tc>
          <w:tcPr>
            <w:tcW w:w="344" w:type="pct"/>
          </w:tcPr>
          <w:p w14:paraId="30075798" w14:textId="77777777" w:rsidR="00732734" w:rsidRDefault="00732734" w:rsidP="00397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Pr>
                <w:rFonts w:ascii="Times New Roman" w:hAnsi="Times New Roman" w:cs="Times New Roman"/>
                <w:sz w:val="24"/>
                <w:szCs w:val="32"/>
              </w:rPr>
              <w:t>Fair</w:t>
            </w:r>
          </w:p>
        </w:tc>
      </w:tr>
    </w:tbl>
    <w:p w14:paraId="4ADF1D61" w14:textId="77777777" w:rsidR="00732734" w:rsidRPr="000D1397" w:rsidRDefault="00732734" w:rsidP="00732734">
      <w:pPr>
        <w:rPr>
          <w:rFonts w:ascii="Times New Roman" w:hAnsi="Times New Roman" w:cs="Times New Roman"/>
          <w:sz w:val="24"/>
          <w:szCs w:val="24"/>
        </w:rPr>
      </w:pPr>
    </w:p>
    <w:p w14:paraId="399617FC" w14:textId="77777777" w:rsidR="00755780" w:rsidRDefault="00755780"/>
    <w:sectPr w:rsidR="00755780" w:rsidSect="0073273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34"/>
    <w:rsid w:val="00331A6B"/>
    <w:rsid w:val="00732734"/>
    <w:rsid w:val="00755780"/>
    <w:rsid w:val="007E61DC"/>
    <w:rsid w:val="0085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13FB6"/>
  <w15:chartTrackingRefBased/>
  <w15:docId w15:val="{BB1F1C76-FF98-4A9D-9A1C-CC3B3B8D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734"/>
  </w:style>
  <w:style w:type="paragraph" w:styleId="Heading1">
    <w:name w:val="heading 1"/>
    <w:basedOn w:val="Normal"/>
    <w:next w:val="Normal"/>
    <w:link w:val="Heading1Char"/>
    <w:uiPriority w:val="9"/>
    <w:qFormat/>
    <w:rsid w:val="00732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2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7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7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7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7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7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7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7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734"/>
    <w:rPr>
      <w:rFonts w:eastAsiaTheme="majorEastAsia" w:cstheme="majorBidi"/>
      <w:color w:val="272727" w:themeColor="text1" w:themeTint="D8"/>
    </w:rPr>
  </w:style>
  <w:style w:type="paragraph" w:styleId="Title">
    <w:name w:val="Title"/>
    <w:basedOn w:val="Normal"/>
    <w:next w:val="Normal"/>
    <w:link w:val="TitleChar"/>
    <w:uiPriority w:val="10"/>
    <w:qFormat/>
    <w:rsid w:val="00732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734"/>
    <w:pPr>
      <w:spacing w:before="160"/>
      <w:jc w:val="center"/>
    </w:pPr>
    <w:rPr>
      <w:i/>
      <w:iCs/>
      <w:color w:val="404040" w:themeColor="text1" w:themeTint="BF"/>
    </w:rPr>
  </w:style>
  <w:style w:type="character" w:customStyle="1" w:styleId="QuoteChar">
    <w:name w:val="Quote Char"/>
    <w:basedOn w:val="DefaultParagraphFont"/>
    <w:link w:val="Quote"/>
    <w:uiPriority w:val="29"/>
    <w:rsid w:val="00732734"/>
    <w:rPr>
      <w:i/>
      <w:iCs/>
      <w:color w:val="404040" w:themeColor="text1" w:themeTint="BF"/>
    </w:rPr>
  </w:style>
  <w:style w:type="paragraph" w:styleId="ListParagraph">
    <w:name w:val="List Paragraph"/>
    <w:basedOn w:val="Normal"/>
    <w:uiPriority w:val="34"/>
    <w:qFormat/>
    <w:rsid w:val="00732734"/>
    <w:pPr>
      <w:ind w:left="720"/>
      <w:contextualSpacing/>
    </w:pPr>
  </w:style>
  <w:style w:type="character" w:styleId="IntenseEmphasis">
    <w:name w:val="Intense Emphasis"/>
    <w:basedOn w:val="DefaultParagraphFont"/>
    <w:uiPriority w:val="21"/>
    <w:qFormat/>
    <w:rsid w:val="00732734"/>
    <w:rPr>
      <w:i/>
      <w:iCs/>
      <w:color w:val="0F4761" w:themeColor="accent1" w:themeShade="BF"/>
    </w:rPr>
  </w:style>
  <w:style w:type="paragraph" w:styleId="IntenseQuote">
    <w:name w:val="Intense Quote"/>
    <w:basedOn w:val="Normal"/>
    <w:next w:val="Normal"/>
    <w:link w:val="IntenseQuoteChar"/>
    <w:uiPriority w:val="30"/>
    <w:qFormat/>
    <w:rsid w:val="00732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734"/>
    <w:rPr>
      <w:i/>
      <w:iCs/>
      <w:color w:val="0F4761" w:themeColor="accent1" w:themeShade="BF"/>
    </w:rPr>
  </w:style>
  <w:style w:type="character" w:styleId="IntenseReference">
    <w:name w:val="Intense Reference"/>
    <w:basedOn w:val="DefaultParagraphFont"/>
    <w:uiPriority w:val="32"/>
    <w:qFormat/>
    <w:rsid w:val="00732734"/>
    <w:rPr>
      <w:b/>
      <w:bCs/>
      <w:smallCaps/>
      <w:color w:val="0F4761" w:themeColor="accent1" w:themeShade="BF"/>
      <w:spacing w:val="5"/>
    </w:rPr>
  </w:style>
  <w:style w:type="table" w:styleId="GridTable4-Accent3">
    <w:name w:val="Grid Table 4 Accent 3"/>
    <w:basedOn w:val="TableNormal"/>
    <w:uiPriority w:val="49"/>
    <w:rsid w:val="00732734"/>
    <w:pPr>
      <w:spacing w:after="0" w:line="240" w:lineRule="auto"/>
    </w:pPr>
    <w:rPr>
      <w:szCs w:val="28"/>
      <w:lang w:val="en-IN" w:bidi="th-TH"/>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8677</Words>
  <Characters>49465</Characters>
  <Application>Microsoft Office Word</Application>
  <DocSecurity>0</DocSecurity>
  <Lines>412</Lines>
  <Paragraphs>116</Paragraphs>
  <ScaleCrop>false</ScaleCrop>
  <Company>Springer Nature</Company>
  <LinksUpToDate>false</LinksUpToDate>
  <CharactersWithSpaces>58026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2024-06-19T13:23:00Z</dcterms:created>
  <dcterms:modified xsi:type="dcterms:W3CDTF">2024-06-19T13:24:00Z</dcterms:modified>
</cp:coreProperties>
</file>