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5A8EB8" w14:textId="70090002" w:rsidR="00C12697" w:rsidRDefault="00BE5AD0" w:rsidP="00FE211E">
      <w:pPr>
        <w:widowControl/>
        <w:spacing w:line="360" w:lineRule="auto"/>
        <w:jc w:val="left"/>
        <w:rPr>
          <w:rFonts w:ascii="Times New Roman" w:eastAsia="等线" w:hAnsi="Times New Roman" w:cs="Times New Roman"/>
          <w:b/>
          <w:bCs/>
          <w:sz w:val="24"/>
          <w:szCs w:val="24"/>
        </w:rPr>
      </w:pPr>
      <w:r>
        <w:rPr>
          <w:rFonts w:ascii="Times New Roman" w:eastAsia="等线" w:hAnsi="Times New Roman" w:cs="Times New Roman"/>
          <w:b/>
          <w:bCs/>
          <w:sz w:val="24"/>
          <w:szCs w:val="24"/>
        </w:rPr>
        <w:t>Supplemental text</w:t>
      </w:r>
    </w:p>
    <w:p w14:paraId="1BC1233D" w14:textId="5B71A483" w:rsidR="00882DAD" w:rsidRPr="00C12697" w:rsidRDefault="00C12697" w:rsidP="00C12697">
      <w:pPr>
        <w:spacing w:line="360" w:lineRule="auto"/>
        <w:jc w:val="left"/>
        <w:rPr>
          <w:rFonts w:ascii="Times New Roman" w:eastAsia="等线" w:hAnsi="Times New Roman" w:cs="Times New Roman" w:hint="eastAsia"/>
          <w:b/>
          <w:bCs/>
          <w:sz w:val="24"/>
        </w:rPr>
      </w:pPr>
      <w:r w:rsidRPr="00C12697">
        <w:rPr>
          <w:rFonts w:ascii="Times New Roman" w:eastAsia="等线" w:hAnsi="Times New Roman" w:cs="Times New Roman"/>
          <w:b/>
          <w:bCs/>
          <w:sz w:val="24"/>
        </w:rPr>
        <w:t>Dataset at each step of analyses among the healthy individuals from Guangzhou Nutrition and Health Study</w:t>
      </w:r>
    </w:p>
    <w:p w14:paraId="3D8BAB24" w14:textId="77777777" w:rsidR="00C12697" w:rsidRPr="003B3198" w:rsidRDefault="00C12697" w:rsidP="00C12697">
      <w:pPr>
        <w:spacing w:line="360" w:lineRule="auto"/>
        <w:jc w:val="left"/>
        <w:rPr>
          <w:rFonts w:ascii="Times New Roman" w:eastAsia="等线" w:hAnsi="Times New Roman" w:cs="Times New Roman"/>
          <w:sz w:val="24"/>
        </w:rPr>
      </w:pPr>
      <w:r w:rsidRPr="003B3198">
        <w:rPr>
          <w:rFonts w:ascii="Times New Roman" w:eastAsia="等线" w:hAnsi="Times New Roman" w:cs="Times New Roman" w:hint="eastAsia"/>
          <w:b/>
          <w:bCs/>
          <w:sz w:val="24"/>
        </w:rPr>
        <w:t>Dataset</w:t>
      </w:r>
      <w:r w:rsidRPr="003B3198">
        <w:rPr>
          <w:rFonts w:ascii="Times New Roman" w:eastAsia="等线" w:hAnsi="Times New Roman" w:cs="Times New Roman"/>
          <w:b/>
          <w:bCs/>
          <w:sz w:val="24"/>
        </w:rPr>
        <w:t xml:space="preserve"> </w:t>
      </w:r>
      <w:r w:rsidRPr="003B3198">
        <w:rPr>
          <w:rFonts w:ascii="Times New Roman" w:eastAsia="等线" w:hAnsi="Times New Roman" w:cs="Times New Roman" w:hint="eastAsia"/>
          <w:b/>
          <w:bCs/>
          <w:sz w:val="24"/>
        </w:rPr>
        <w:t>1 (n=</w:t>
      </w:r>
      <w:r w:rsidRPr="003B3198">
        <w:rPr>
          <w:rFonts w:ascii="Times New Roman" w:eastAsia="等线" w:hAnsi="Times New Roman" w:cs="Times New Roman"/>
          <w:b/>
          <w:bCs/>
          <w:sz w:val="24"/>
        </w:rPr>
        <w:t>990</w:t>
      </w:r>
      <w:r w:rsidRPr="003B3198">
        <w:rPr>
          <w:rFonts w:ascii="Times New Roman" w:eastAsia="等线" w:hAnsi="Times New Roman" w:cs="Times New Roman" w:hint="eastAsia"/>
          <w:b/>
          <w:bCs/>
          <w:sz w:val="24"/>
        </w:rPr>
        <w:t>):</w:t>
      </w:r>
      <w:r w:rsidRPr="003B3198">
        <w:rPr>
          <w:rFonts w:ascii="Times New Roman" w:eastAsia="等线" w:hAnsi="Times New Roman" w:cs="Times New Roman"/>
          <w:b/>
          <w:bCs/>
          <w:sz w:val="24"/>
        </w:rPr>
        <w:t xml:space="preserve"> </w:t>
      </w:r>
      <w:r w:rsidRPr="003B3198">
        <w:rPr>
          <w:rFonts w:ascii="Times New Roman" w:eastAsia="等线" w:hAnsi="Times New Roman" w:cs="Times New Roman"/>
          <w:sz w:val="24"/>
        </w:rPr>
        <w:t>data from the baseline of GNHS.</w:t>
      </w:r>
      <w:r w:rsidRPr="003B3198">
        <w:rPr>
          <w:rFonts w:ascii="Times New Roman" w:eastAsia="等线" w:hAnsi="Times New Roman" w:cs="Times New Roman" w:hint="eastAsia"/>
          <w:sz w:val="24"/>
        </w:rPr>
        <w:t xml:space="preserve"> A total of 990 subjects</w:t>
      </w:r>
      <w:r w:rsidRPr="003B3198">
        <w:rPr>
          <w:rFonts w:ascii="Times New Roman" w:eastAsia="等线" w:hAnsi="Times New Roman" w:cs="Times New Roman"/>
          <w:sz w:val="24"/>
          <w:lang w:val="en-GB"/>
        </w:rPr>
        <w:t xml:space="preserve"> </w:t>
      </w:r>
      <w:bookmarkStart w:id="0" w:name="_Hlk8302945"/>
      <w:bookmarkStart w:id="1" w:name="_Hlk13385316"/>
      <w:r w:rsidRPr="003B3198">
        <w:rPr>
          <w:rFonts w:ascii="Times New Roman" w:eastAsia="等线" w:hAnsi="Times New Roman" w:cs="Times New Roman"/>
          <w:sz w:val="24"/>
          <w:lang w:val="en-GB"/>
        </w:rPr>
        <w:t xml:space="preserve">with measurement of </w:t>
      </w:r>
      <w:r w:rsidRPr="003B3198">
        <w:rPr>
          <w:rFonts w:ascii="Times New Roman" w:eastAsia="等线" w:hAnsi="Times New Roman" w:cs="Times New Roman"/>
          <w:sz w:val="24"/>
        </w:rPr>
        <w:t>serum proteomics at baseline of the GNHS cohort were included in the initial discovery cohort. Among th</w:t>
      </w:r>
      <w:r w:rsidRPr="003B3198">
        <w:rPr>
          <w:rFonts w:ascii="Times New Roman" w:eastAsia="等线" w:hAnsi="Times New Roman" w:cs="Times New Roman" w:hint="eastAsia"/>
          <w:sz w:val="24"/>
        </w:rPr>
        <w:t>is</w:t>
      </w:r>
      <w:r w:rsidRPr="003B3198">
        <w:rPr>
          <w:rFonts w:ascii="Times New Roman" w:eastAsia="等线" w:hAnsi="Times New Roman" w:cs="Times New Roman"/>
          <w:sz w:val="24"/>
        </w:rPr>
        <w:t xml:space="preserve"> initial discovery cohort, 455 subjects had data of serum IL-1β and IL-6, 456 subjects had data of serum TNF-α, and 953 subjects had serum hsCRP data. These data were used to investigate the relationship between the PRS and host inflammatory status. </w:t>
      </w:r>
    </w:p>
    <w:p w14:paraId="3231688F" w14:textId="77777777" w:rsidR="00C12697" w:rsidRPr="003B3198" w:rsidRDefault="00C12697" w:rsidP="00C12697">
      <w:pPr>
        <w:spacing w:line="360" w:lineRule="auto"/>
        <w:jc w:val="left"/>
        <w:rPr>
          <w:rFonts w:ascii="Times New Roman" w:eastAsia="等线" w:hAnsi="Times New Roman" w:cs="Times New Roman"/>
          <w:sz w:val="24"/>
        </w:rPr>
      </w:pPr>
    </w:p>
    <w:p w14:paraId="2C84FFAE" w14:textId="77777777" w:rsidR="00C12697" w:rsidRPr="003B3198" w:rsidRDefault="00C12697" w:rsidP="00C12697">
      <w:pPr>
        <w:spacing w:line="360" w:lineRule="auto"/>
        <w:jc w:val="left"/>
        <w:rPr>
          <w:rFonts w:ascii="Times New Roman" w:eastAsia="等线" w:hAnsi="Times New Roman" w:cs="Times New Roman"/>
          <w:sz w:val="24"/>
        </w:rPr>
      </w:pPr>
      <w:r w:rsidRPr="003B3198">
        <w:rPr>
          <w:rFonts w:ascii="Times New Roman" w:eastAsia="等线" w:hAnsi="Times New Roman" w:cs="Times New Roman" w:hint="eastAsia"/>
          <w:b/>
          <w:bCs/>
          <w:sz w:val="24"/>
        </w:rPr>
        <w:t>Dataset</w:t>
      </w:r>
      <w:r w:rsidRPr="003B3198">
        <w:rPr>
          <w:rFonts w:ascii="Times New Roman" w:eastAsia="等线" w:hAnsi="Times New Roman" w:cs="Times New Roman"/>
          <w:b/>
          <w:bCs/>
          <w:sz w:val="24"/>
        </w:rPr>
        <w:t xml:space="preserve"> </w:t>
      </w:r>
      <w:r w:rsidRPr="003B3198">
        <w:rPr>
          <w:rFonts w:ascii="Times New Roman" w:eastAsia="等线" w:hAnsi="Times New Roman" w:cs="Times New Roman" w:hint="eastAsia"/>
          <w:b/>
          <w:bCs/>
          <w:sz w:val="24"/>
        </w:rPr>
        <w:t>2 (n=</w:t>
      </w:r>
      <w:r w:rsidRPr="003B3198">
        <w:rPr>
          <w:rFonts w:ascii="Times New Roman" w:eastAsia="等线" w:hAnsi="Times New Roman" w:cs="Times New Roman"/>
          <w:b/>
          <w:bCs/>
          <w:sz w:val="24"/>
        </w:rPr>
        <w:t>301</w:t>
      </w:r>
      <w:r w:rsidRPr="003B3198">
        <w:rPr>
          <w:rFonts w:ascii="Times New Roman" w:eastAsia="等线" w:hAnsi="Times New Roman" w:cs="Times New Roman" w:hint="eastAsia"/>
          <w:b/>
          <w:bCs/>
          <w:sz w:val="24"/>
        </w:rPr>
        <w:t>):</w:t>
      </w:r>
      <w:r w:rsidRPr="003B3198">
        <w:rPr>
          <w:rFonts w:ascii="Times New Roman" w:eastAsia="等线" w:hAnsi="Times New Roman" w:cs="Times New Roman" w:hint="eastAsia"/>
          <w:sz w:val="24"/>
        </w:rPr>
        <w:t xml:space="preserve"> </w:t>
      </w:r>
      <w:r w:rsidRPr="003B3198">
        <w:rPr>
          <w:rFonts w:ascii="Times New Roman" w:eastAsia="等线" w:hAnsi="Times New Roman" w:cs="Times New Roman"/>
          <w:sz w:val="24"/>
        </w:rPr>
        <w:t xml:space="preserve">data from a follow-up visit of GNHS. A </w:t>
      </w:r>
      <w:r w:rsidRPr="003B3198">
        <w:rPr>
          <w:rFonts w:ascii="Times New Roman" w:eastAsia="等线" w:hAnsi="Times New Roman" w:cs="Times New Roman" w:hint="eastAsia"/>
          <w:sz w:val="24"/>
        </w:rPr>
        <w:t>sub-cohort of 301</w:t>
      </w:r>
      <w:r w:rsidRPr="003B3198">
        <w:rPr>
          <w:rFonts w:ascii="Times New Roman" w:eastAsia="等线" w:hAnsi="Times New Roman" w:cs="Times New Roman"/>
          <w:sz w:val="24"/>
        </w:rPr>
        <w:t xml:space="preserve"> </w:t>
      </w:r>
      <w:r w:rsidRPr="003B3198">
        <w:rPr>
          <w:rFonts w:ascii="Times New Roman" w:eastAsia="等线" w:hAnsi="Times New Roman" w:cs="Times New Roman" w:hint="eastAsia"/>
          <w:sz w:val="24"/>
        </w:rPr>
        <w:t xml:space="preserve">participants </w:t>
      </w:r>
      <w:r w:rsidRPr="003B3198">
        <w:rPr>
          <w:rFonts w:ascii="Times New Roman" w:eastAsia="等线" w:hAnsi="Times New Roman" w:cs="Times New Roman"/>
          <w:sz w:val="24"/>
        </w:rPr>
        <w:t>with measurement of both gut microbiota (16s rRNA) and blood proteomics data</w:t>
      </w:r>
      <w:r w:rsidRPr="003B3198">
        <w:rPr>
          <w:rFonts w:ascii="Times New Roman" w:eastAsia="等线" w:hAnsi="Times New Roman" w:cs="Times New Roman" w:hint="eastAsia"/>
          <w:sz w:val="24"/>
        </w:rPr>
        <w:t>.</w:t>
      </w:r>
      <w:r w:rsidRPr="003B3198">
        <w:rPr>
          <w:rFonts w:ascii="Times New Roman" w:eastAsia="等线" w:hAnsi="Times New Roman" w:cs="Times New Roman"/>
          <w:sz w:val="24"/>
        </w:rPr>
        <w:t xml:space="preserve"> Gut microbiota data were collected and measured during a follow-up visit of the cohort participants, with a cross-sectional subset of the individuals (n=132) having blood proteomic data at the same time point as the stool collection and another </w:t>
      </w:r>
      <w:r w:rsidRPr="003B3198">
        <w:rPr>
          <w:rFonts w:ascii="Times New Roman" w:eastAsia="等线" w:hAnsi="Times New Roman" w:cs="Times New Roman" w:hint="eastAsia"/>
          <w:sz w:val="24"/>
        </w:rPr>
        <w:t>independent</w:t>
      </w:r>
      <w:r w:rsidRPr="003B3198">
        <w:rPr>
          <w:rFonts w:ascii="Times New Roman" w:eastAsia="等线" w:hAnsi="Times New Roman" w:cs="Times New Roman"/>
          <w:sz w:val="24"/>
        </w:rPr>
        <w:t xml:space="preserve"> prospective subset of the individuals (n=169) having proteomic data at </w:t>
      </w:r>
      <w:r w:rsidRPr="003B3198">
        <w:rPr>
          <w:rFonts w:ascii="Times New Roman" w:eastAsia="等线" w:hAnsi="Times New Roman" w:cs="Times New Roman" w:hint="eastAsia"/>
          <w:sz w:val="24"/>
        </w:rPr>
        <w:t>a</w:t>
      </w:r>
      <w:r w:rsidRPr="003B3198">
        <w:rPr>
          <w:rFonts w:ascii="Times New Roman" w:eastAsia="等线" w:hAnsi="Times New Roman" w:cs="Times New Roman"/>
          <w:sz w:val="24"/>
        </w:rPr>
        <w:t xml:space="preserve"> next follow-up visit ~3 years later than the stool collection. Data from these subjects were used to explore the predictive capacity of the gut microbiota for PRS.</w:t>
      </w:r>
    </w:p>
    <w:p w14:paraId="055185DD" w14:textId="77777777" w:rsidR="00C12697" w:rsidRPr="003B3198" w:rsidRDefault="00C12697" w:rsidP="00C12697">
      <w:pPr>
        <w:spacing w:line="360" w:lineRule="auto"/>
        <w:jc w:val="left"/>
        <w:rPr>
          <w:rFonts w:ascii="Times New Roman" w:eastAsia="等线" w:hAnsi="Times New Roman" w:cs="Times New Roman"/>
          <w:sz w:val="24"/>
        </w:rPr>
      </w:pPr>
    </w:p>
    <w:p w14:paraId="238925FC" w14:textId="77777777" w:rsidR="00C12697" w:rsidRPr="003B3198" w:rsidRDefault="00C12697" w:rsidP="00C12697">
      <w:pPr>
        <w:spacing w:line="360" w:lineRule="auto"/>
        <w:jc w:val="left"/>
        <w:rPr>
          <w:rFonts w:ascii="Times New Roman" w:eastAsia="等线" w:hAnsi="Times New Roman" w:cs="Times New Roman"/>
          <w:sz w:val="24"/>
        </w:rPr>
      </w:pPr>
      <w:r w:rsidRPr="003B3198">
        <w:rPr>
          <w:rFonts w:ascii="Times New Roman" w:eastAsia="等线" w:hAnsi="Times New Roman" w:cs="Times New Roman" w:hint="eastAsia"/>
          <w:b/>
          <w:bCs/>
          <w:sz w:val="24"/>
        </w:rPr>
        <w:t>Dataset</w:t>
      </w:r>
      <w:r w:rsidRPr="003B3198">
        <w:rPr>
          <w:rFonts w:ascii="Times New Roman" w:eastAsia="等线" w:hAnsi="Times New Roman" w:cs="Times New Roman"/>
          <w:b/>
          <w:bCs/>
          <w:sz w:val="24"/>
        </w:rPr>
        <w:t xml:space="preserve"> </w:t>
      </w:r>
      <w:r w:rsidRPr="003B3198">
        <w:rPr>
          <w:rFonts w:ascii="Times New Roman" w:eastAsia="等线" w:hAnsi="Times New Roman" w:cs="Times New Roman" w:hint="eastAsia"/>
          <w:b/>
          <w:bCs/>
          <w:sz w:val="24"/>
        </w:rPr>
        <w:t>3 (n=3</w:t>
      </w:r>
      <w:r w:rsidRPr="003B3198">
        <w:rPr>
          <w:rFonts w:ascii="Times New Roman" w:eastAsia="等线" w:hAnsi="Times New Roman" w:cs="Times New Roman"/>
          <w:b/>
          <w:bCs/>
          <w:sz w:val="24"/>
        </w:rPr>
        <w:t>6</w:t>
      </w:r>
      <w:r w:rsidRPr="003B3198">
        <w:rPr>
          <w:rFonts w:ascii="Times New Roman" w:eastAsia="等线" w:hAnsi="Times New Roman" w:cs="Times New Roman" w:hint="eastAsia"/>
          <w:b/>
          <w:bCs/>
          <w:sz w:val="24"/>
        </w:rPr>
        <w:t xml:space="preserve">6): </w:t>
      </w:r>
      <w:r w:rsidRPr="003B3198">
        <w:rPr>
          <w:rFonts w:ascii="Times New Roman" w:eastAsia="等线" w:hAnsi="Times New Roman" w:cs="Times New Roman"/>
          <w:sz w:val="24"/>
        </w:rPr>
        <w:t>data from a follow-up visit of GNHS. Independent from</w:t>
      </w:r>
      <w:r w:rsidRPr="003B3198">
        <w:rPr>
          <w:rFonts w:ascii="Times New Roman" w:eastAsia="等线" w:hAnsi="Times New Roman" w:cs="Times New Roman" w:hint="eastAsia"/>
          <w:sz w:val="24"/>
        </w:rPr>
        <w:t xml:space="preserve"> the </w:t>
      </w:r>
      <w:r w:rsidRPr="003B3198">
        <w:rPr>
          <w:rFonts w:ascii="Times New Roman" w:eastAsia="等线" w:hAnsi="Times New Roman" w:cs="Times New Roman"/>
          <w:sz w:val="24"/>
        </w:rPr>
        <w:t>above 301 subjects</w:t>
      </w:r>
      <w:r w:rsidRPr="003B3198">
        <w:rPr>
          <w:rFonts w:ascii="Times New Roman" w:eastAsia="等线" w:hAnsi="Times New Roman" w:cs="Times New Roman" w:hint="eastAsia"/>
          <w:sz w:val="24"/>
        </w:rPr>
        <w:t xml:space="preserve"> in dataset</w:t>
      </w:r>
      <w:r w:rsidRPr="003B3198">
        <w:rPr>
          <w:rFonts w:ascii="Times New Roman" w:eastAsia="等线" w:hAnsi="Times New Roman" w:cs="Times New Roman"/>
          <w:sz w:val="24"/>
        </w:rPr>
        <w:t xml:space="preserve"> </w:t>
      </w:r>
      <w:r w:rsidRPr="003B3198">
        <w:rPr>
          <w:rFonts w:ascii="Times New Roman" w:eastAsia="等线" w:hAnsi="Times New Roman" w:cs="Times New Roman" w:hint="eastAsia"/>
          <w:sz w:val="24"/>
        </w:rPr>
        <w:t>2</w:t>
      </w:r>
      <w:r w:rsidRPr="003B3198">
        <w:rPr>
          <w:rFonts w:ascii="Times New Roman" w:eastAsia="等线" w:hAnsi="Times New Roman" w:cs="Times New Roman"/>
          <w:sz w:val="24"/>
        </w:rPr>
        <w:t xml:space="preserve">, there were additionally 336 subjects with both fecal 16s rRNA sequencing and serum inflammatory cytokines data, at the same time point during follow-up. The data from these 336 subjects were used to examine the relationships between the core OTUs and 10 host inflammatory cytokines. </w:t>
      </w:r>
    </w:p>
    <w:p w14:paraId="5F82FEF3" w14:textId="77777777" w:rsidR="00C12697" w:rsidRPr="003B3198" w:rsidRDefault="00C12697" w:rsidP="00C12697">
      <w:pPr>
        <w:spacing w:line="360" w:lineRule="auto"/>
        <w:jc w:val="left"/>
        <w:rPr>
          <w:rFonts w:ascii="Times New Roman" w:eastAsia="等线" w:hAnsi="Times New Roman" w:cs="Times New Roman"/>
          <w:sz w:val="24"/>
        </w:rPr>
      </w:pPr>
    </w:p>
    <w:p w14:paraId="3F7B9847" w14:textId="77777777" w:rsidR="00C12697" w:rsidRPr="003B3198" w:rsidRDefault="00C12697" w:rsidP="00C12697">
      <w:pPr>
        <w:spacing w:line="360" w:lineRule="auto"/>
        <w:jc w:val="left"/>
        <w:rPr>
          <w:rFonts w:ascii="Times New Roman" w:eastAsia="等线" w:hAnsi="Times New Roman" w:cs="Times New Roman"/>
          <w:sz w:val="24"/>
        </w:rPr>
      </w:pPr>
      <w:r w:rsidRPr="003B3198">
        <w:rPr>
          <w:rFonts w:ascii="Times New Roman" w:eastAsia="等线" w:hAnsi="Times New Roman" w:cs="Times New Roman" w:hint="eastAsia"/>
          <w:b/>
          <w:bCs/>
          <w:sz w:val="24"/>
        </w:rPr>
        <w:t>Dataset</w:t>
      </w:r>
      <w:r w:rsidRPr="003B3198">
        <w:rPr>
          <w:rFonts w:ascii="Times New Roman" w:eastAsia="等线" w:hAnsi="Times New Roman" w:cs="Times New Roman"/>
          <w:b/>
          <w:bCs/>
          <w:sz w:val="24"/>
        </w:rPr>
        <w:t xml:space="preserve"> </w:t>
      </w:r>
      <w:r w:rsidRPr="003B3198">
        <w:rPr>
          <w:rFonts w:ascii="Times New Roman" w:eastAsia="等线" w:hAnsi="Times New Roman" w:cs="Times New Roman" w:hint="eastAsia"/>
          <w:b/>
          <w:bCs/>
          <w:sz w:val="24"/>
        </w:rPr>
        <w:t>4 (n=987)</w:t>
      </w:r>
      <w:r w:rsidRPr="003B3198">
        <w:rPr>
          <w:rFonts w:ascii="Times New Roman" w:eastAsia="等线" w:hAnsi="Times New Roman" w:cs="Times New Roman"/>
          <w:b/>
          <w:bCs/>
          <w:sz w:val="24"/>
        </w:rPr>
        <w:t xml:space="preserve">: </w:t>
      </w:r>
      <w:r w:rsidRPr="003B3198">
        <w:rPr>
          <w:rFonts w:ascii="Times New Roman" w:eastAsia="等线" w:hAnsi="Times New Roman" w:cs="Times New Roman"/>
          <w:sz w:val="24"/>
        </w:rPr>
        <w:t xml:space="preserve">data from a follow-up visit of GNHS. A total of 987 individuals had received fecal metabolomics and fecal microbiome examination at the same time point during the follow-up visit. These subjects were included in the analysis to assess the relationships between the core gut microbiota and fecal metabolomics. </w:t>
      </w:r>
    </w:p>
    <w:p w14:paraId="6F2A51C3" w14:textId="77777777" w:rsidR="00C12697" w:rsidRDefault="00C12697" w:rsidP="00C12697">
      <w:pPr>
        <w:spacing w:line="360" w:lineRule="auto"/>
        <w:jc w:val="left"/>
        <w:rPr>
          <w:rFonts w:ascii="Times New Roman" w:eastAsia="等线" w:hAnsi="Times New Roman" w:cs="Times New Roman"/>
          <w:sz w:val="24"/>
        </w:rPr>
      </w:pPr>
      <w:r w:rsidRPr="003B3198">
        <w:rPr>
          <w:rFonts w:ascii="Times New Roman" w:eastAsia="等线" w:hAnsi="Times New Roman" w:cs="Times New Roman" w:hint="eastAsia"/>
          <w:b/>
          <w:bCs/>
          <w:sz w:val="24"/>
        </w:rPr>
        <w:lastRenderedPageBreak/>
        <w:t>Dataset</w:t>
      </w:r>
      <w:r w:rsidRPr="003B3198">
        <w:rPr>
          <w:rFonts w:ascii="Times New Roman" w:eastAsia="等线" w:hAnsi="Times New Roman" w:cs="Times New Roman"/>
          <w:b/>
          <w:bCs/>
          <w:sz w:val="24"/>
        </w:rPr>
        <w:t xml:space="preserve"> </w:t>
      </w:r>
      <w:r w:rsidRPr="003B3198">
        <w:rPr>
          <w:rFonts w:ascii="Times New Roman" w:eastAsia="等线" w:hAnsi="Times New Roman" w:cs="Times New Roman" w:hint="eastAsia"/>
          <w:b/>
          <w:bCs/>
          <w:sz w:val="24"/>
        </w:rPr>
        <w:t>5 (n=1729)</w:t>
      </w:r>
      <w:r w:rsidRPr="003B3198">
        <w:rPr>
          <w:rFonts w:ascii="Times New Roman" w:eastAsia="等线" w:hAnsi="Times New Roman" w:cs="Times New Roman"/>
          <w:b/>
          <w:bCs/>
          <w:sz w:val="24"/>
        </w:rPr>
        <w:t>:</w:t>
      </w:r>
      <w:r w:rsidRPr="003B3198">
        <w:rPr>
          <w:rFonts w:ascii="Times New Roman" w:eastAsia="等线" w:hAnsi="Times New Roman" w:cs="Times New Roman"/>
          <w:sz w:val="24"/>
        </w:rPr>
        <w:t xml:space="preserve"> data from a follow-up visit of GNHS. In total, 1729 participants finished food frequency questionnaire, demographic questionnaire and medical examination, and provided stool samples during follow-up. Thus, this subset of 1729 subjects were included to test how the dietary habits, lifestyle and health status influence the gut microbiota composition. </w:t>
      </w:r>
    </w:p>
    <w:p w14:paraId="458F9482" w14:textId="77777777" w:rsidR="00C12697" w:rsidRPr="003B3198" w:rsidRDefault="00C12697" w:rsidP="00C12697">
      <w:pPr>
        <w:spacing w:line="360" w:lineRule="auto"/>
        <w:jc w:val="left"/>
        <w:rPr>
          <w:rFonts w:ascii="Times New Roman" w:eastAsia="等线" w:hAnsi="Times New Roman" w:cs="Times New Roman"/>
          <w:sz w:val="24"/>
        </w:rPr>
      </w:pPr>
    </w:p>
    <w:p w14:paraId="30412402" w14:textId="77777777" w:rsidR="00C12697" w:rsidRPr="003B3198" w:rsidRDefault="00C12697" w:rsidP="00C12697">
      <w:pPr>
        <w:spacing w:line="360" w:lineRule="auto"/>
        <w:jc w:val="left"/>
        <w:rPr>
          <w:rFonts w:ascii="Times New Roman" w:eastAsia="等线" w:hAnsi="Times New Roman" w:cs="Times New Roman"/>
          <w:sz w:val="24"/>
        </w:rPr>
      </w:pPr>
      <w:r w:rsidRPr="003B3198">
        <w:rPr>
          <w:rFonts w:ascii="Times New Roman" w:eastAsia="等线" w:hAnsi="Times New Roman" w:cs="Times New Roman" w:hint="eastAsia"/>
          <w:sz w:val="24"/>
        </w:rPr>
        <w:t xml:space="preserve">In summary, a sum of </w:t>
      </w:r>
      <w:r w:rsidRPr="003B3198">
        <w:rPr>
          <w:rFonts w:ascii="Times New Roman" w:eastAsia="等线" w:hAnsi="Times New Roman" w:cs="Times New Roman"/>
          <w:sz w:val="24"/>
        </w:rPr>
        <w:t xml:space="preserve">2413 healthy non-infected individuals </w:t>
      </w:r>
      <w:r w:rsidRPr="003B3198">
        <w:rPr>
          <w:rFonts w:ascii="Times New Roman" w:eastAsia="等线" w:hAnsi="Times New Roman" w:cs="Times New Roman" w:hint="eastAsia"/>
          <w:sz w:val="24"/>
        </w:rPr>
        <w:t>are involved in the present study, which mainly consists of a subset of subjects with proteomic data at baseline (n=</w:t>
      </w:r>
      <w:r w:rsidRPr="003B3198">
        <w:rPr>
          <w:rFonts w:ascii="Times New Roman" w:eastAsia="等线" w:hAnsi="Times New Roman" w:cs="Times New Roman"/>
          <w:sz w:val="24"/>
        </w:rPr>
        <w:t>990</w:t>
      </w:r>
      <w:r w:rsidRPr="003B3198">
        <w:rPr>
          <w:rFonts w:ascii="Times New Roman" w:eastAsia="等线" w:hAnsi="Times New Roman" w:cs="Times New Roman" w:hint="eastAsia"/>
          <w:sz w:val="24"/>
        </w:rPr>
        <w:t>) and a subset of subjects with gut microb</w:t>
      </w:r>
      <w:r w:rsidRPr="003B3198">
        <w:rPr>
          <w:rFonts w:ascii="Times New Roman" w:eastAsia="等线" w:hAnsi="Times New Roman" w:cs="Times New Roman"/>
          <w:sz w:val="24"/>
        </w:rPr>
        <w:t>i</w:t>
      </w:r>
      <w:r w:rsidRPr="003B3198">
        <w:rPr>
          <w:rFonts w:ascii="Times New Roman" w:eastAsia="等线" w:hAnsi="Times New Roman" w:cs="Times New Roman" w:hint="eastAsia"/>
          <w:sz w:val="24"/>
        </w:rPr>
        <w:t>ome</w:t>
      </w:r>
      <w:r w:rsidRPr="003B3198">
        <w:rPr>
          <w:rFonts w:ascii="Times New Roman" w:eastAsia="等线" w:hAnsi="Times New Roman" w:cs="Times New Roman"/>
          <w:sz w:val="24"/>
        </w:rPr>
        <w:t xml:space="preserve"> and </w:t>
      </w:r>
      <w:r w:rsidRPr="003B3198">
        <w:rPr>
          <w:rFonts w:ascii="Times New Roman" w:eastAsia="等线" w:hAnsi="Times New Roman" w:cs="Times New Roman" w:hint="eastAsia"/>
          <w:sz w:val="24"/>
        </w:rPr>
        <w:t xml:space="preserve">metabolome data at </w:t>
      </w:r>
      <w:r w:rsidRPr="003B3198">
        <w:rPr>
          <w:rFonts w:ascii="Times New Roman" w:eastAsia="等线" w:hAnsi="Times New Roman" w:cs="Times New Roman"/>
          <w:sz w:val="24"/>
        </w:rPr>
        <w:t xml:space="preserve">a </w:t>
      </w:r>
      <w:r w:rsidRPr="003B3198">
        <w:rPr>
          <w:rFonts w:ascii="Times New Roman" w:eastAsia="等线" w:hAnsi="Times New Roman" w:cs="Times New Roman" w:hint="eastAsia"/>
          <w:sz w:val="24"/>
        </w:rPr>
        <w:t>follow-up visit (n=</w:t>
      </w:r>
      <w:r w:rsidRPr="003B3198">
        <w:rPr>
          <w:rFonts w:ascii="Times New Roman" w:eastAsia="等线" w:hAnsi="Times New Roman" w:cs="Times New Roman"/>
          <w:sz w:val="24"/>
        </w:rPr>
        <w:t>2172, within which 301 individuals also had proteomic data</w:t>
      </w:r>
      <w:r w:rsidRPr="003B3198">
        <w:rPr>
          <w:rFonts w:ascii="Times New Roman" w:eastAsia="等线" w:hAnsi="Times New Roman" w:cs="Times New Roman" w:hint="eastAsia"/>
          <w:sz w:val="24"/>
        </w:rPr>
        <w:t>).</w:t>
      </w:r>
    </w:p>
    <w:p w14:paraId="7D1F7840" w14:textId="756F1505" w:rsidR="00C12697" w:rsidRPr="00C12697" w:rsidRDefault="00C12697" w:rsidP="00C12697">
      <w:pPr>
        <w:spacing w:line="360" w:lineRule="auto"/>
        <w:jc w:val="left"/>
        <w:rPr>
          <w:rFonts w:ascii="Times New Roman" w:eastAsia="等线" w:hAnsi="Times New Roman" w:cs="Times New Roman"/>
          <w:sz w:val="24"/>
        </w:rPr>
      </w:pPr>
      <w:r w:rsidRPr="003B3198">
        <w:rPr>
          <w:rFonts w:ascii="Times New Roman" w:eastAsia="等线" w:hAnsi="Times New Roman" w:cs="Times New Roman" w:hint="eastAsia"/>
          <w:sz w:val="24"/>
        </w:rPr>
        <w:t xml:space="preserve"> </w:t>
      </w:r>
      <w:bookmarkEnd w:id="0"/>
      <w:bookmarkEnd w:id="1"/>
    </w:p>
    <w:p w14:paraId="2562BF7B" w14:textId="2A36C504" w:rsidR="00BE5AD0" w:rsidRDefault="00BE5AD0" w:rsidP="00FE211E">
      <w:pPr>
        <w:widowControl/>
        <w:spacing w:line="360" w:lineRule="auto"/>
        <w:jc w:val="left"/>
        <w:rPr>
          <w:rFonts w:ascii="Times New Roman" w:eastAsia="等线" w:hAnsi="Times New Roman" w:cs="Times New Roman"/>
          <w:b/>
          <w:bCs/>
          <w:sz w:val="24"/>
          <w:szCs w:val="24"/>
        </w:rPr>
      </w:pPr>
      <w:r>
        <w:rPr>
          <w:rFonts w:ascii="Times New Roman" w:eastAsia="等线" w:hAnsi="Times New Roman" w:cs="Times New Roman" w:hint="eastAsia"/>
          <w:b/>
          <w:bCs/>
          <w:sz w:val="24"/>
          <w:szCs w:val="24"/>
        </w:rPr>
        <w:t>M</w:t>
      </w:r>
      <w:r>
        <w:rPr>
          <w:rFonts w:ascii="Times New Roman" w:eastAsia="等线" w:hAnsi="Times New Roman" w:cs="Times New Roman"/>
          <w:b/>
          <w:bCs/>
          <w:sz w:val="24"/>
          <w:szCs w:val="24"/>
        </w:rPr>
        <w:t>etadata measurements</w:t>
      </w:r>
    </w:p>
    <w:p w14:paraId="2FB69BF0" w14:textId="438EA91C" w:rsidR="00BE5AD0" w:rsidRPr="00FE211E"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Demographic and lifestyle factors were all collected by questionnaire during on-site face-to-face interviews. Habitual dietary intakes over the past 12 months were assessed by a food frequency questionnaire, as previously described</w:t>
      </w:r>
      <w:r>
        <w:rPr>
          <w:rFonts w:ascii="Times New Roman" w:eastAsia="等线" w:hAnsi="Times New Roman" w:cs="Times New Roman"/>
          <w:sz w:val="24"/>
        </w:rPr>
        <w:t xml:space="preserve"> </w:t>
      </w:r>
      <w:r w:rsidRPr="00FE211E">
        <w:rPr>
          <w:rFonts w:ascii="Times New Roman" w:eastAsia="等线" w:hAnsi="Times New Roman" w:cs="Times New Roman"/>
          <w:sz w:val="24"/>
        </w:rPr>
        <w:fldChar w:fldCharType="begin" w:fldLock="1"/>
      </w:r>
      <w:r w:rsidR="00256D2D">
        <w:rPr>
          <w:rFonts w:ascii="Times New Roman" w:eastAsia="等线" w:hAnsi="Times New Roman" w:cs="Times New Roman"/>
          <w:sz w:val="24"/>
        </w:rPr>
        <w:instrText>ADDIN CSL_CITATION {"citationItems":[{"id":"ITEM-1","itemData":{"author":[{"dropping-particle":"","family":"Zhang CX","given":"Ho SC.","non-dropping-particle":"","parse-names":false,"suffix":""}],"container-title":"Asia Pac J Clin Nutr","id":"ITEM-1","issued":{"date-parts":[["2009"]]},"page":"240-250","title":"Validity and reproducibility of a food frequency Questionnaire among Chinese women in Guangdong province","type":"article-journal","volume":"18"},"uris":["http://www.mendeley.com/documents/?uuid=c58051b8-a99f-4332-a1cd-87330eddccba","http://www.mendeley.com/documents/?uuid=45c6a9b0-075d-47a8-9114-32dc2ebf4f17"]}],"mendeley":{"formattedCitation":"[1]","plainTextFormattedCitation":"[1]","previouslyFormattedCitation":"[1]"},"properties":{"noteIndex":0},"schema":"https://github.com/citation-style-language/schema/raw/master/csl-citation.json"}</w:instrText>
      </w:r>
      <w:r w:rsidRPr="00FE211E">
        <w:rPr>
          <w:rFonts w:ascii="Times New Roman" w:eastAsia="等线" w:hAnsi="Times New Roman" w:cs="Times New Roman"/>
          <w:sz w:val="24"/>
        </w:rPr>
        <w:fldChar w:fldCharType="end"/>
      </w:r>
      <w:r w:rsidR="00376D12">
        <w:rPr>
          <w:rFonts w:ascii="Times New Roman" w:eastAsia="等线" w:hAnsi="Times New Roman" w:cs="Times New Roman"/>
          <w:sz w:val="24"/>
        </w:rPr>
        <w:t>[1]</w:t>
      </w:r>
      <w:r w:rsidRPr="00FE211E">
        <w:rPr>
          <w:rFonts w:ascii="Times New Roman" w:eastAsia="等线" w:hAnsi="Times New Roman" w:cs="Times New Roman"/>
          <w:sz w:val="24"/>
        </w:rPr>
        <w:t xml:space="preserve">. Physical activity was assessed as a total metabolic equivalent for task (MET) hours per day on the basis of a validated questionnaire for physical activity </w:t>
      </w:r>
      <w:r w:rsidRPr="00FE211E">
        <w:rPr>
          <w:rFonts w:ascii="Times New Roman" w:eastAsia="等线" w:hAnsi="Times New Roman" w:cs="Times New Roman"/>
          <w:sz w:val="24"/>
        </w:rPr>
        <w:fldChar w:fldCharType="begin" w:fldLock="1"/>
      </w:r>
      <w:r w:rsidR="00256D2D">
        <w:rPr>
          <w:rFonts w:ascii="Times New Roman" w:eastAsia="等线" w:hAnsi="Times New Roman" w:cs="Times New Roman"/>
          <w:sz w:val="24"/>
        </w:rPr>
        <w:instrText>ADDIN CSL_CITATION {"citationItems":[{"id":"ITEM-1","itemData":{"DOI":"10.1080/09637480120044138","ISSN":"0963-7486 (Print)","PMID":"11400476","abstract":"A physical activity questionnaire from which total daily energy expenditure (TEE)  could be estimated was developed for adult Hong Kong Chinese subjects, and its reliability and validity examined. The questionnaire was based on questionnaires used in Caucasians, and adapted for local lifestyle after focus group meetings involving subjects of all age groups. The questionnaire was administered to 94 subjects, consisting of healthy adults, the elderly, and two patient groups (those with renal disease on continuous ambulatory peritoneal dialysis and those with cancer). Seventy-one subjects were reinterviewed within 14 days to test reliability. Validity was examined in 31 normal subjects by measuring the basal metabolic rate (BMR) by indirect calorimetry and multiplying by the physical activity level (PAL) obtained from published studies using the doubly labelled water method and also from FAO/WHO/UNU to obtain the TEE. The intraclass correlation coefficient of reliability rages from 0.7 to 0.8 for all subject groups. The mean estimated TEE from the questionnaire was not significantly different from the mean value derived from measured BMR x PAL. The mean bias ranged from an underestimation of 27 kcal to overestimation of 215 kcal. However, the limits of variability were wide. Age was inversely related to the energy expended for occupational activities, but was positively associated with energy expended in leisure activities. Women spent less energy on occupational and exercise activities, and more on caretaking activities. Those with disease were also less likely to participate in caretaking activities. We conclude that this questionnaire may be a useful tool for future studies where energy expenditure needs to be estimated in various settings in the Hong Kong Chinese population.","author":[{"dropping-particle":"","family":"Liu","given":"B","non-dropping-particle":"","parse-names":false,"suffix":""},{"dropping-particle":"","family":"Woo","given":"J","non-dropping-particle":"","parse-names":false,"suffix":""},{"dropping-particle":"","family":"Tang","given":"N","non-dropping-particle":"","parse-names":false,"suffix":""},{"dropping-particle":"","family":"Ng","given":"K","non-dropping-particle":"","parse-names":false,"suffix":""},{"dropping-particle":"","family":"Ip","given":"R","non-dropping-particle":"","parse-names":false,"suffix":""},{"dropping-particle":"","family":"Yu","given":"A","non-dropping-particle":"","parse-names":false,"suffix":""}],"container-title":"International journal of food sciences and nutrition","id":"ITEM-1","issue":"3","issued":{"date-parts":[["2001","5"]]},"language":"eng","page":"269-282","publisher-place":"England","title":"Assessment of total energy expenditure in a Chinese population by a physical  activity questionnaire: examination of validity.","type":"article-journal","volume":"52"},"uris":["http://www.mendeley.com/documents/?uuid=b3671d5b-9b35-4a6d-89a3-a691396e7261"]}],"mendeley":{"formattedCitation":"[2]","plainTextFormattedCitation":"[2]","previouslyFormattedCitation":"[2]"},"properties":{"noteIndex":0},"schema":"https://github.com/citation-style-language/schema/raw/master/csl-citation.json"}</w:instrText>
      </w:r>
      <w:r w:rsidRPr="00FE211E">
        <w:rPr>
          <w:rFonts w:ascii="Times New Roman" w:eastAsia="等线" w:hAnsi="Times New Roman" w:cs="Times New Roman"/>
          <w:sz w:val="24"/>
        </w:rPr>
        <w:fldChar w:fldCharType="separate"/>
      </w:r>
      <w:r w:rsidR="00256D2D" w:rsidRPr="00256D2D">
        <w:rPr>
          <w:rFonts w:ascii="Times New Roman" w:eastAsia="等线" w:hAnsi="Times New Roman" w:cs="Times New Roman"/>
          <w:noProof/>
          <w:sz w:val="24"/>
        </w:rPr>
        <w:t>[2]</w:t>
      </w:r>
      <w:r w:rsidRPr="00FE211E">
        <w:rPr>
          <w:rFonts w:ascii="Times New Roman" w:eastAsia="等线" w:hAnsi="Times New Roman" w:cs="Times New Roman"/>
          <w:sz w:val="24"/>
        </w:rPr>
        <w:fldChar w:fldCharType="end"/>
      </w:r>
      <w:r w:rsidRPr="00FE211E">
        <w:rPr>
          <w:rFonts w:ascii="Times New Roman" w:eastAsia="等线" w:hAnsi="Times New Roman" w:cs="Times New Roman"/>
          <w:sz w:val="24"/>
        </w:rPr>
        <w:t>.</w:t>
      </w:r>
    </w:p>
    <w:p w14:paraId="0B891E75" w14:textId="77777777" w:rsidR="00BE5AD0" w:rsidRPr="00FE211E" w:rsidRDefault="00BE5AD0" w:rsidP="00BE5AD0">
      <w:pPr>
        <w:spacing w:line="360" w:lineRule="auto"/>
        <w:jc w:val="left"/>
        <w:rPr>
          <w:rFonts w:ascii="Times New Roman" w:eastAsia="等线" w:hAnsi="Times New Roman" w:cs="Times New Roman"/>
          <w:sz w:val="24"/>
        </w:rPr>
      </w:pPr>
    </w:p>
    <w:p w14:paraId="266220EF" w14:textId="151BA255" w:rsidR="00BE5AD0"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Anthropometric factors were measured by trained nurses on site during the baseline interview. Fasting venous blood samples were taken at each recruitment or follow-up visit. Serum low-density lipoprotein cholesterol and glucose were measured by coloimetric methods using a Roche Cobas 8000 c702 automated analyzer (Roche Diagnostics GmbH, Shanghai, China). Intra-assay coefficients of variation (CV) was 2.5% for glucose. Insulin was measured by electrochemiluminescence immunoassay (ECLIA) methods using a Roche cobas 8000 e602 automated analyzer (Roche Diagnostics GmbH, Shanghai, China). High-performance liquid chromatography was used to measure glycated hemoglobin (HbA1c) using the Bole D-10 Hemoglobin A1c Program on a Bole D-10 Hemoglobin Testing System, and the intraassay CV was 0.75%.</w:t>
      </w:r>
    </w:p>
    <w:p w14:paraId="602F5A3D" w14:textId="77777777" w:rsidR="00DF67AD" w:rsidRDefault="00DF67AD" w:rsidP="00BE5AD0">
      <w:pPr>
        <w:spacing w:line="360" w:lineRule="auto"/>
        <w:jc w:val="left"/>
        <w:rPr>
          <w:rFonts w:ascii="Times New Roman" w:eastAsia="等线" w:hAnsi="Times New Roman" w:cs="Times New Roman"/>
          <w:sz w:val="24"/>
        </w:rPr>
      </w:pPr>
    </w:p>
    <w:p w14:paraId="17693692" w14:textId="77777777" w:rsidR="00BE5AD0" w:rsidRPr="00C12697" w:rsidRDefault="00BE5AD0" w:rsidP="00BE5AD0">
      <w:pPr>
        <w:spacing w:line="360" w:lineRule="auto"/>
        <w:jc w:val="left"/>
        <w:rPr>
          <w:rFonts w:ascii="Times New Roman" w:eastAsia="等线" w:hAnsi="Times New Roman" w:cs="Times New Roman"/>
          <w:b/>
          <w:bCs/>
          <w:sz w:val="24"/>
          <w:szCs w:val="24"/>
        </w:rPr>
      </w:pPr>
      <w:r w:rsidRPr="00C12697">
        <w:rPr>
          <w:rFonts w:ascii="Times New Roman" w:eastAsia="等线" w:hAnsi="Times New Roman" w:cs="Times New Roman"/>
          <w:b/>
          <w:bCs/>
          <w:sz w:val="24"/>
          <w:szCs w:val="24"/>
        </w:rPr>
        <w:lastRenderedPageBreak/>
        <w:t>Proteomic analysis</w:t>
      </w:r>
    </w:p>
    <w:p w14:paraId="3A5F4F4A" w14:textId="77777777" w:rsidR="00BE5AD0" w:rsidRPr="00FE211E"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 xml:space="preserve">1 μL of serum sample from each patient was analyzed using proteomics technology. The </w:t>
      </w:r>
      <w:r w:rsidRPr="00FE211E">
        <w:rPr>
          <w:rFonts w:ascii="Times New Roman" w:eastAsia="等线" w:hAnsi="Times New Roman" w:cs="Times New Roman" w:hint="eastAsia"/>
          <w:sz w:val="24"/>
        </w:rPr>
        <w:t>serum was</w:t>
      </w:r>
      <w:r w:rsidRPr="00FE211E">
        <w:rPr>
          <w:rFonts w:ascii="Times New Roman" w:eastAsia="等线" w:hAnsi="Times New Roman" w:cs="Times New Roman"/>
          <w:sz w:val="24"/>
        </w:rPr>
        <w:t xml:space="preserve"> firstly</w:t>
      </w:r>
      <w:r w:rsidRPr="00FE211E">
        <w:rPr>
          <w:rFonts w:ascii="Times New Roman" w:eastAsia="等线" w:hAnsi="Times New Roman" w:cs="Times New Roman" w:hint="eastAsia"/>
          <w:sz w:val="24"/>
        </w:rPr>
        <w:t xml:space="preserve"> </w:t>
      </w:r>
      <w:r w:rsidRPr="00FE211E">
        <w:rPr>
          <w:rFonts w:ascii="Times New Roman" w:eastAsia="等线" w:hAnsi="Times New Roman" w:cs="Times New Roman"/>
          <w:sz w:val="24"/>
        </w:rPr>
        <w:t>denatured</w:t>
      </w:r>
      <w:r w:rsidRPr="00FE211E">
        <w:rPr>
          <w:rFonts w:ascii="Times New Roman" w:eastAsia="等线" w:hAnsi="Times New Roman" w:cs="Times New Roman" w:hint="eastAsia"/>
          <w:sz w:val="24"/>
        </w:rPr>
        <w:t xml:space="preserve"> </w:t>
      </w:r>
      <w:r w:rsidRPr="00FE211E">
        <w:rPr>
          <w:rFonts w:ascii="Times New Roman" w:eastAsia="等线" w:hAnsi="Times New Roman" w:cs="Times New Roman"/>
          <w:sz w:val="24"/>
        </w:rPr>
        <w:t>with</w:t>
      </w:r>
      <w:r w:rsidRPr="00FE211E">
        <w:rPr>
          <w:rFonts w:ascii="Times New Roman" w:eastAsia="等线" w:hAnsi="Times New Roman" w:cs="Times New Roman" w:hint="eastAsia"/>
          <w:sz w:val="24"/>
        </w:rPr>
        <w:t xml:space="preserve"> 20 </w:t>
      </w:r>
      <w:r w:rsidRPr="00FE211E">
        <w:rPr>
          <w:rFonts w:ascii="Times New Roman" w:eastAsia="等线" w:hAnsi="Times New Roman" w:cs="Times New Roman"/>
          <w:sz w:val="24"/>
        </w:rPr>
        <w:t>µL</w:t>
      </w:r>
      <w:r w:rsidRPr="00FE211E">
        <w:rPr>
          <w:rFonts w:ascii="Times New Roman" w:eastAsia="等线" w:hAnsi="Times New Roman" w:cs="Times New Roman" w:hint="eastAsia"/>
          <w:sz w:val="24"/>
        </w:rPr>
        <w:t xml:space="preserve"> </w:t>
      </w:r>
      <w:r w:rsidRPr="00FE211E">
        <w:rPr>
          <w:rFonts w:ascii="Times New Roman" w:eastAsia="等线" w:hAnsi="Times New Roman" w:cs="Times New Roman"/>
          <w:sz w:val="24"/>
        </w:rPr>
        <w:t>of buffer containing 8 M urea</w:t>
      </w:r>
      <w:r w:rsidRPr="00FE211E">
        <w:rPr>
          <w:rFonts w:ascii="Times New Roman" w:eastAsia="等线" w:hAnsi="Times New Roman" w:cs="Times New Roman" w:hint="eastAsia"/>
          <w:sz w:val="24"/>
        </w:rPr>
        <w:t xml:space="preserve"> </w:t>
      </w:r>
      <w:r w:rsidRPr="00FE211E">
        <w:rPr>
          <w:rFonts w:ascii="Times New Roman" w:eastAsia="等线" w:hAnsi="Times New Roman" w:cs="Times New Roman"/>
          <w:sz w:val="24"/>
        </w:rPr>
        <w:t xml:space="preserve">(Sigma, </w:t>
      </w:r>
      <w:r w:rsidRPr="00FE211E">
        <w:rPr>
          <w:rFonts w:ascii="Times New Roman" w:eastAsia="等线" w:hAnsi="Times New Roman" w:cs="Times New Roman" w:hint="eastAsia"/>
          <w:sz w:val="24"/>
        </w:rPr>
        <w:t>#</w:t>
      </w:r>
      <w:r w:rsidRPr="00FE211E">
        <w:rPr>
          <w:rFonts w:ascii="Times New Roman" w:eastAsia="等线" w:hAnsi="Times New Roman" w:cs="Times New Roman"/>
          <w:sz w:val="24"/>
        </w:rPr>
        <w:t xml:space="preserve">U1230) </w:t>
      </w:r>
      <w:r w:rsidRPr="00FE211E">
        <w:rPr>
          <w:rFonts w:ascii="Times New Roman" w:eastAsia="等线" w:hAnsi="Times New Roman" w:cs="Times New Roman" w:hint="eastAsia"/>
          <w:sz w:val="24"/>
        </w:rPr>
        <w:t xml:space="preserve">in </w:t>
      </w:r>
      <w:r w:rsidRPr="00FE211E">
        <w:rPr>
          <w:rFonts w:ascii="Times New Roman" w:eastAsia="等线" w:hAnsi="Times New Roman" w:cs="Times New Roman"/>
          <w:sz w:val="24"/>
        </w:rPr>
        <w:t xml:space="preserve">100 mM ammonium bicarbonate </w:t>
      </w:r>
      <w:r w:rsidRPr="00FE211E">
        <w:rPr>
          <w:rFonts w:ascii="Times New Roman" w:eastAsia="等线" w:hAnsi="Times New Roman" w:cs="Times New Roman" w:hint="eastAsia"/>
          <w:sz w:val="24"/>
        </w:rPr>
        <w:t xml:space="preserve">at </w:t>
      </w:r>
      <w:r w:rsidRPr="00FE211E">
        <w:rPr>
          <w:rFonts w:ascii="Times New Roman" w:eastAsia="等线" w:hAnsi="Times New Roman" w:cs="Times New Roman"/>
          <w:sz w:val="24"/>
        </w:rPr>
        <w:t>30°C for 30 min</w:t>
      </w:r>
      <w:r w:rsidRPr="00FE211E">
        <w:rPr>
          <w:rFonts w:ascii="Times New Roman" w:eastAsia="等线" w:hAnsi="Times New Roman" w:cs="Times New Roman" w:hint="eastAsia"/>
          <w:sz w:val="24"/>
        </w:rPr>
        <w:t>. The lysates were reduc</w:t>
      </w:r>
      <w:r w:rsidRPr="00FE211E">
        <w:rPr>
          <w:rFonts w:ascii="Times New Roman" w:eastAsia="等线" w:hAnsi="Times New Roman" w:cs="Times New Roman"/>
          <w:sz w:val="24"/>
        </w:rPr>
        <w:t>ed</w:t>
      </w:r>
      <w:r w:rsidRPr="00FE211E">
        <w:rPr>
          <w:rFonts w:ascii="Times New Roman" w:eastAsia="等线" w:hAnsi="Times New Roman" w:cs="Times New Roman" w:hint="eastAsia"/>
          <w:sz w:val="24"/>
        </w:rPr>
        <w:t xml:space="preserve"> with </w:t>
      </w:r>
      <w:r w:rsidRPr="00FE211E">
        <w:rPr>
          <w:rFonts w:ascii="Times New Roman" w:eastAsia="等线" w:hAnsi="Times New Roman" w:cs="Times New Roman"/>
          <w:sz w:val="24"/>
        </w:rPr>
        <w:t xml:space="preserve">10 mM </w:t>
      </w:r>
      <w:r w:rsidRPr="00FE211E">
        <w:rPr>
          <w:rFonts w:ascii="Times New Roman" w:eastAsia="等线" w:hAnsi="Times New Roman" w:cs="Times New Roman" w:hint="eastAsia"/>
          <w:sz w:val="24"/>
        </w:rPr>
        <w:t>tris (2-carboxyethyl) phosphine (</w:t>
      </w:r>
      <w:r w:rsidRPr="00FE211E">
        <w:rPr>
          <w:rFonts w:ascii="Times New Roman" w:eastAsia="等线" w:hAnsi="Times New Roman" w:cs="Times New Roman"/>
          <w:sz w:val="24"/>
        </w:rPr>
        <w:t xml:space="preserve">TCEP, Sigma </w:t>
      </w:r>
      <w:r w:rsidRPr="00FE211E">
        <w:rPr>
          <w:rFonts w:ascii="Times New Roman" w:eastAsia="等线" w:hAnsi="Times New Roman" w:cs="Times New Roman" w:hint="eastAsia"/>
          <w:sz w:val="24"/>
        </w:rPr>
        <w:t>#</w:t>
      </w:r>
      <w:r w:rsidRPr="00FE211E">
        <w:rPr>
          <w:rFonts w:ascii="Times New Roman" w:eastAsia="等线" w:hAnsi="Times New Roman" w:cs="Times New Roman"/>
          <w:sz w:val="24"/>
        </w:rPr>
        <w:t>T4708</w:t>
      </w:r>
      <w:r w:rsidRPr="00FE211E">
        <w:rPr>
          <w:rFonts w:ascii="Times New Roman" w:eastAsia="等线" w:hAnsi="Times New Roman" w:cs="Times New Roman" w:hint="eastAsia"/>
          <w:sz w:val="24"/>
        </w:rPr>
        <w:t xml:space="preserve">) at room temperature for 30 min, </w:t>
      </w:r>
      <w:r w:rsidRPr="00FE211E">
        <w:rPr>
          <w:rFonts w:ascii="Times New Roman" w:eastAsia="等线" w:hAnsi="Times New Roman" w:cs="Times New Roman"/>
          <w:sz w:val="24"/>
        </w:rPr>
        <w:t xml:space="preserve">and were </w:t>
      </w:r>
      <w:r w:rsidRPr="00FE211E">
        <w:rPr>
          <w:rFonts w:ascii="Times New Roman" w:eastAsia="等线" w:hAnsi="Times New Roman" w:cs="Times New Roman" w:hint="eastAsia"/>
          <w:sz w:val="24"/>
        </w:rPr>
        <w:t xml:space="preserve">then alkylated with </w:t>
      </w:r>
      <w:r w:rsidRPr="00FE211E">
        <w:rPr>
          <w:rFonts w:ascii="Times New Roman" w:eastAsia="等线" w:hAnsi="Times New Roman" w:cs="Times New Roman"/>
          <w:sz w:val="24"/>
        </w:rPr>
        <w:t xml:space="preserve">40 mM </w:t>
      </w:r>
      <w:r w:rsidRPr="00FE211E">
        <w:rPr>
          <w:rFonts w:ascii="Times New Roman" w:eastAsia="等线" w:hAnsi="Times New Roman" w:cs="Times New Roman" w:hint="eastAsia"/>
          <w:sz w:val="24"/>
        </w:rPr>
        <w:t>iodoacetamide (IAA</w:t>
      </w:r>
      <w:r w:rsidRPr="00FE211E">
        <w:rPr>
          <w:rFonts w:ascii="Times New Roman" w:eastAsia="等线" w:hAnsi="Times New Roman" w:cs="Times New Roman"/>
          <w:sz w:val="24"/>
        </w:rPr>
        <w:t xml:space="preserve">, Sigma, </w:t>
      </w:r>
      <w:r w:rsidRPr="00FE211E">
        <w:rPr>
          <w:rFonts w:ascii="Times New Roman" w:eastAsia="等线" w:hAnsi="Times New Roman" w:cs="Times New Roman" w:hint="eastAsia"/>
          <w:sz w:val="24"/>
        </w:rPr>
        <w:t>#</w:t>
      </w:r>
      <w:r w:rsidRPr="00FE211E">
        <w:rPr>
          <w:rFonts w:ascii="Times New Roman" w:eastAsia="等线" w:hAnsi="Times New Roman" w:cs="Times New Roman"/>
          <w:sz w:val="24"/>
        </w:rPr>
        <w:t>SLCD4031</w:t>
      </w:r>
      <w:r w:rsidRPr="00FE211E">
        <w:rPr>
          <w:rFonts w:ascii="Times New Roman" w:eastAsia="等线" w:hAnsi="Times New Roman" w:cs="Times New Roman" w:hint="eastAsia"/>
          <w:sz w:val="24"/>
        </w:rPr>
        <w:t xml:space="preserve">) in darkness for 45 min. </w:t>
      </w:r>
      <w:r w:rsidRPr="00FE211E">
        <w:rPr>
          <w:rFonts w:ascii="Times New Roman" w:eastAsia="等线" w:hAnsi="Times New Roman" w:cs="Times New Roman"/>
          <w:sz w:val="24"/>
        </w:rPr>
        <w:t xml:space="preserve">The solution was then diluted with </w:t>
      </w:r>
      <w:r w:rsidRPr="00FE211E">
        <w:rPr>
          <w:rFonts w:ascii="Times New Roman" w:eastAsia="等线" w:hAnsi="Times New Roman" w:cs="Times New Roman" w:hint="eastAsia"/>
          <w:sz w:val="24"/>
        </w:rPr>
        <w:t xml:space="preserve">70 </w:t>
      </w:r>
      <w:r w:rsidRPr="00FE211E">
        <w:rPr>
          <w:rFonts w:ascii="Times New Roman" w:eastAsia="等线" w:hAnsi="Times New Roman" w:cs="Times New Roman"/>
          <w:sz w:val="24"/>
        </w:rPr>
        <w:t>µ</w:t>
      </w:r>
      <w:r w:rsidRPr="00FE211E">
        <w:rPr>
          <w:rFonts w:ascii="Times New Roman" w:eastAsia="等线" w:hAnsi="Times New Roman" w:cs="Times New Roman" w:hint="eastAsia"/>
          <w:sz w:val="24"/>
        </w:rPr>
        <w:t>L 100 mM ammonium bicarbonate</w:t>
      </w:r>
      <w:r w:rsidRPr="00FE211E">
        <w:rPr>
          <w:rFonts w:ascii="Times New Roman" w:eastAsia="等线" w:hAnsi="Times New Roman" w:cs="Times New Roman"/>
          <w:sz w:val="24"/>
        </w:rPr>
        <w:t xml:space="preserve"> to make sure urea concentration is less than 1.6M, and was subjected to two times of tryptic digestion (Hualishi Tech. Ltd, Beijing, China), each step with </w:t>
      </w:r>
      <w:r w:rsidRPr="00FE211E">
        <w:rPr>
          <w:rFonts w:ascii="Times New Roman" w:eastAsia="等线" w:hAnsi="Times New Roman" w:cs="Times New Roman" w:hint="eastAsia"/>
          <w:sz w:val="24"/>
        </w:rPr>
        <w:t>2</w:t>
      </w:r>
      <w:r w:rsidRPr="00FE211E">
        <w:rPr>
          <w:rFonts w:ascii="Times New Roman" w:eastAsia="等线" w:hAnsi="Times New Roman" w:cs="Times New Roman"/>
          <w:sz w:val="24"/>
        </w:rPr>
        <w:t xml:space="preserve">.5 μL trypsin (0.4 μg/μL), at 32°C for 4 </w:t>
      </w:r>
      <w:r w:rsidRPr="00FE211E">
        <w:rPr>
          <w:rFonts w:ascii="Times New Roman" w:eastAsia="等线" w:hAnsi="Times New Roman" w:cs="Times New Roman" w:hint="eastAsia"/>
          <w:sz w:val="24"/>
        </w:rPr>
        <w:t>hr</w:t>
      </w:r>
      <w:r w:rsidRPr="00FE211E">
        <w:rPr>
          <w:rFonts w:ascii="Times New Roman" w:eastAsia="等线" w:hAnsi="Times New Roman" w:cs="Times New Roman"/>
          <w:sz w:val="24"/>
        </w:rPr>
        <w:t xml:space="preserve"> and 12 hr, respectively. Thereafter, the solution was acidified with 1% trifluoroacetic (TFA) (Thermo Fisher Scientific, </w:t>
      </w:r>
      <w:r w:rsidRPr="00FE211E">
        <w:rPr>
          <w:rFonts w:ascii="Times New Roman" w:eastAsia="等线" w:hAnsi="Times New Roman" w:cs="Times New Roman" w:hint="eastAsia"/>
          <w:sz w:val="24"/>
        </w:rPr>
        <w:t>#</w:t>
      </w:r>
      <w:r w:rsidRPr="00FE211E">
        <w:rPr>
          <w:rFonts w:ascii="Times New Roman" w:eastAsia="等线" w:hAnsi="Times New Roman" w:cs="Times New Roman"/>
          <w:sz w:val="24"/>
        </w:rPr>
        <w:t>T/3258/PB05) to pH 2–3 to stop the reaction. Peptides were cleaned using C18 (Thermo</w:t>
      </w:r>
      <w:r w:rsidRPr="00FE211E">
        <w:rPr>
          <w:rFonts w:ascii="Times New Roman" w:eastAsia="等线" w:hAnsi="Times New Roman" w:cs="Times New Roman" w:hint="eastAsia"/>
          <w:sz w:val="24"/>
        </w:rPr>
        <w:t>,</w:t>
      </w:r>
      <w:r w:rsidRPr="00FE211E">
        <w:rPr>
          <w:rFonts w:ascii="Times New Roman" w:eastAsia="等线" w:hAnsi="Times New Roman" w:cs="Times New Roman"/>
          <w:sz w:val="24"/>
        </w:rPr>
        <w:t xml:space="preserve"> </w:t>
      </w:r>
      <w:r w:rsidRPr="00FE211E">
        <w:rPr>
          <w:rFonts w:ascii="Times New Roman" w:eastAsia="等线" w:hAnsi="Times New Roman" w:cs="Times New Roman" w:hint="eastAsia"/>
          <w:sz w:val="24"/>
        </w:rPr>
        <w:t>#</w:t>
      </w:r>
      <w:r w:rsidRPr="00FE211E">
        <w:rPr>
          <w:rFonts w:ascii="Times New Roman" w:eastAsia="等线" w:hAnsi="Times New Roman" w:cs="Times New Roman"/>
          <w:sz w:val="24"/>
        </w:rPr>
        <w:t>60209-001).</w:t>
      </w:r>
    </w:p>
    <w:p w14:paraId="757191F6" w14:textId="77777777" w:rsidR="00BE5AD0" w:rsidRPr="00FE211E" w:rsidRDefault="00BE5AD0" w:rsidP="00BE5AD0">
      <w:pPr>
        <w:spacing w:line="360" w:lineRule="auto"/>
        <w:jc w:val="left"/>
        <w:rPr>
          <w:rFonts w:ascii="Times New Roman" w:eastAsia="等线" w:hAnsi="Times New Roman" w:cs="Times New Roman"/>
          <w:sz w:val="24"/>
        </w:rPr>
      </w:pPr>
    </w:p>
    <w:p w14:paraId="20F98088" w14:textId="632AD0E0" w:rsidR="00BE5AD0" w:rsidRPr="00FE211E"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 xml:space="preserve">Peptide samples were then injected for LC-MS/MS analysis using an Eksigent NanoLC 400 System (Eksigent, Dublin, CA, USA) coupled to a TripleTOF 5600 system (SCIEX, CA, USA). Briefly, peptides were loaded onto a trap column (5 </w:t>
      </w:r>
      <w:r w:rsidRPr="00FE211E">
        <w:rPr>
          <w:rFonts w:ascii="Times New Roman" w:eastAsia="等线" w:hAnsi="Times New Roman" w:cs="Times New Roman" w:hint="eastAsia"/>
          <w:sz w:val="24"/>
        </w:rPr>
        <w:t>µ</w:t>
      </w:r>
      <w:r w:rsidRPr="00FE211E">
        <w:rPr>
          <w:rFonts w:ascii="Times New Roman" w:eastAsia="等线" w:hAnsi="Times New Roman" w:cs="Times New Roman"/>
          <w:sz w:val="24"/>
        </w:rPr>
        <w:t xml:space="preserve">m, 120 Å, 10 × 0.3 </w:t>
      </w:r>
      <w:r w:rsidRPr="00FE211E">
        <w:rPr>
          <w:rFonts w:ascii="Times New Roman" w:eastAsia="等线" w:hAnsi="Times New Roman" w:cs="Times New Roman" w:hint="eastAsia"/>
          <w:sz w:val="24"/>
        </w:rPr>
        <w:t>mm</w:t>
      </w:r>
      <w:r w:rsidRPr="00FE211E">
        <w:rPr>
          <w:rFonts w:ascii="Times New Roman" w:eastAsia="等线" w:hAnsi="Times New Roman" w:cs="Times New Roman"/>
          <w:sz w:val="24"/>
        </w:rPr>
        <w:t xml:space="preserve">), and were separated along a 20 min LC gradient ( 5–32% buffer B, 98% ACN, 0.1% formic acid in HPLC water; buffer A: 2% ACN, 0.1% formic acid in HPLC water) on an analytical column (3 µm, 120 </w:t>
      </w:r>
      <w:r w:rsidRPr="00FE211E">
        <w:rPr>
          <w:rFonts w:ascii="Times New Roman" w:eastAsia="等线" w:hAnsi="Times New Roman" w:cs="Times New Roman" w:hint="eastAsia"/>
          <w:sz w:val="24"/>
        </w:rPr>
        <w:t>Å</w:t>
      </w:r>
      <w:r w:rsidRPr="00FE211E">
        <w:rPr>
          <w:rFonts w:ascii="Times New Roman" w:eastAsia="等线" w:hAnsi="Times New Roman" w:cs="Times New Roman"/>
          <w:sz w:val="24"/>
        </w:rPr>
        <w:t xml:space="preserve">, 150 × 0.3 </w:t>
      </w:r>
      <w:r w:rsidRPr="00FE211E">
        <w:rPr>
          <w:rFonts w:ascii="Times New Roman" w:eastAsia="等线" w:hAnsi="Times New Roman" w:cs="Times New Roman" w:hint="eastAsia"/>
          <w:sz w:val="24"/>
        </w:rPr>
        <w:t>mm</w:t>
      </w:r>
      <w:r w:rsidRPr="00FE211E">
        <w:rPr>
          <w:rFonts w:ascii="Times New Roman" w:eastAsia="等线" w:hAnsi="Times New Roman" w:cs="Times New Roman"/>
          <w:sz w:val="24"/>
        </w:rPr>
        <w:t xml:space="preserve">) at a flow rate of 5 µL/min. The SWATH-MS method is composed of a 100 ms of full TOF MS scan with </w:t>
      </w:r>
      <w:r w:rsidRPr="00FE211E">
        <w:rPr>
          <w:rFonts w:ascii="Times New Roman" w:eastAsia="等线" w:hAnsi="Times New Roman" w:cs="Times New Roman"/>
          <w:iCs/>
          <w:sz w:val="24"/>
        </w:rPr>
        <w:t>the</w:t>
      </w:r>
      <w:r w:rsidRPr="00FE211E">
        <w:rPr>
          <w:rFonts w:ascii="Times New Roman" w:eastAsia="等线" w:hAnsi="Times New Roman" w:cs="Times New Roman"/>
          <w:sz w:val="24"/>
        </w:rPr>
        <w:t xml:space="preserve"> acquisition range of 350-1250 </w:t>
      </w:r>
      <w:r w:rsidRPr="00FE211E">
        <w:rPr>
          <w:rFonts w:ascii="Times New Roman" w:eastAsia="等线" w:hAnsi="Times New Roman" w:cs="Times New Roman"/>
          <w:i/>
          <w:iCs/>
          <w:sz w:val="24"/>
        </w:rPr>
        <w:t>m/z</w:t>
      </w:r>
      <w:r w:rsidRPr="00FE211E">
        <w:rPr>
          <w:rFonts w:ascii="Times New Roman" w:eastAsia="等线" w:hAnsi="Times New Roman" w:cs="Times New Roman"/>
          <w:sz w:val="24"/>
        </w:rPr>
        <w:t xml:space="preserve">, followed by MS/MS scans performed on all precursors (from 100 to 1500 Da) in a cyclic manner </w:t>
      </w:r>
      <w:r w:rsidRPr="00FE211E">
        <w:rPr>
          <w:rFonts w:ascii="Times New Roman" w:eastAsia="等线" w:hAnsi="Times New Roman" w:cs="Times New Roman"/>
          <w:sz w:val="24"/>
        </w:rPr>
        <w:fldChar w:fldCharType="begin" w:fldLock="1"/>
      </w:r>
      <w:r w:rsidR="00256D2D">
        <w:rPr>
          <w:rFonts w:ascii="Times New Roman" w:eastAsia="等线" w:hAnsi="Times New Roman" w:cs="Times New Roman"/>
          <w:sz w:val="24"/>
        </w:rPr>
        <w:instrText>ADDIN CSL_CITATION {"citationItems":[{"id":"ITEM-1","itemData":{"DOI":"10.1074/mcp.O111.016717","ISSN":"1535-9484 (Electronic)","PMID":"22261725","abstract":"Most proteomic studies use liquid chromatography coupled to tandem mass spectrometry  to identify and quantify the peptides generated by the proteolysis of a biological sample. However, with the current methods it remains challenging to rapidly, consistently, reproducibly, accurately, and sensitively detect and quantify large fractions of proteomes across multiple samples. Here we present a new strategy that systematically queries sample sets for the presence and quantity of essentially any protein of interest. It consists of using the information available in fragment ion spectral libraries to mine the complete fragment ion maps generated using a data-independent acquisition method. For this study, the data were acquired on a fast, high resolution quadrupole-quadrupole time-of-flight (TOF) instrument by repeatedly cycling through 32 consecutive 25-Da precursor isolation windows (swaths). This SWATH MS acquisition setup generates, in a single sample injection, time-resolved fragment ion spectra for all the analytes detectable within the 400-1200 m/z precursor range and the user-defined retention time window. We show that suitable combinations of fragment ions extracted from these data sets are sufficiently specific to confidently identify query peptides over a dynamic range of 4 orders of magnitude, even if the precursors of the queried peptides are not detectable in the survey scans. We also show that queried peptides are quantified with a consistency and accuracy comparable with that of selected reaction monitoring, the gold standard proteomic quantification method. Moreover, targeted data extraction enables ad libitum quantification refinement and dynamic extension of protein probing by iterative re-mining of the once-and-forever acquired data sets. This combination of unbiased, broad range precursor ion fragmentation and targeted data extraction alleviates most constraints of present proteomic methods and should be equally applicable to the comprehensive analysis of other classes of analytes, beyond proteomics.","author":[{"dropping-particle":"","family":"Gillet","given":"Ludovic C","non-dropping-particle":"","parse-names":false,"suffix":""},{"dropping-particle":"","family":"Navarro","given":"Pedro","non-dropping-particle":"","parse-names":false,"suffix":""},{"dropping-particle":"","family":"Tate","given":"Stephen","non-dropping-particle":"","parse-names":false,"suffix":""},{"dropping-particle":"","family":"Röst","given":"Hannes","non-dropping-particle":"","parse-names":false,"suffix":""},{"dropping-particle":"","family":"Selevsek","given":"Nathalie","non-dropping-particle":"","parse-names":false,"suffix":""},{"dropping-particle":"","family":"Reiter","given":"Lukas","non-dropping-particle":"","parse-names":false,"suffix":""},{"dropping-particle":"","family":"Bonner","given":"Ron","non-dropping-particle":"","parse-names":false,"suffix":""},{"dropping-particle":"","family":"Aebersold","given":"Ruedi","non-dropping-particle":"","parse-names":false,"suffix":""}],"container-title":"Molecular &amp; cellular proteomics : MCP","id":"ITEM-1","issue":"6","issued":{"date-parts":[["2012","6"]]},"language":"eng","page":"O111.016717","title":"Targeted data extraction of the MS/MS spectra generated by data-independent  acquisition: a new concept for consistent and accurate proteome analysis.","type":"article-journal","volume":"11"},"uris":["http://www.mendeley.com/documents/?uuid=c88c0372-9a4b-4d3a-a834-5bac2945b6c6"]}],"mendeley":{"formattedCitation":"[3]","plainTextFormattedCitation":"[3]","previouslyFormattedCitation":"[3]"},"properties":{"noteIndex":0},"schema":"https://github.com/citation-style-language/schema/raw/master/csl-citation.json"}</w:instrText>
      </w:r>
      <w:r w:rsidRPr="00FE211E">
        <w:rPr>
          <w:rFonts w:ascii="Times New Roman" w:eastAsia="等线" w:hAnsi="Times New Roman" w:cs="Times New Roman"/>
          <w:sz w:val="24"/>
        </w:rPr>
        <w:fldChar w:fldCharType="separate"/>
      </w:r>
      <w:r w:rsidR="00256D2D" w:rsidRPr="00256D2D">
        <w:rPr>
          <w:rFonts w:ascii="Times New Roman" w:eastAsia="等线" w:hAnsi="Times New Roman" w:cs="Times New Roman"/>
          <w:noProof/>
          <w:sz w:val="24"/>
        </w:rPr>
        <w:t>[3]</w:t>
      </w:r>
      <w:r w:rsidRPr="00FE211E">
        <w:rPr>
          <w:rFonts w:ascii="Times New Roman" w:eastAsia="等线" w:hAnsi="Times New Roman" w:cs="Times New Roman"/>
          <w:sz w:val="24"/>
        </w:rPr>
        <w:fldChar w:fldCharType="end"/>
      </w:r>
      <w:r w:rsidRPr="00FE211E">
        <w:rPr>
          <w:rFonts w:ascii="Times New Roman" w:eastAsia="等线" w:hAnsi="Times New Roman" w:cs="Times New Roman"/>
          <w:sz w:val="24"/>
        </w:rPr>
        <w:t>. A 55-variable-Q1 isolation window scheme was used in this study</w:t>
      </w:r>
      <w:r>
        <w:rPr>
          <w:rFonts w:ascii="Times New Roman" w:eastAsia="等线" w:hAnsi="Times New Roman" w:cs="Times New Roman"/>
          <w:sz w:val="24"/>
        </w:rPr>
        <w:t xml:space="preserve"> (Table S4)</w:t>
      </w:r>
      <w:r w:rsidRPr="00FE211E">
        <w:rPr>
          <w:rFonts w:ascii="Times New Roman" w:eastAsia="等线" w:hAnsi="Times New Roman" w:cs="Times New Roman"/>
          <w:sz w:val="24"/>
        </w:rPr>
        <w:t>. The accumulation time was set at 30 ms per isolation window, resulting in a total cycle time of 1.9 s.</w:t>
      </w:r>
    </w:p>
    <w:p w14:paraId="1EC4A61E" w14:textId="77777777" w:rsidR="00BE5AD0" w:rsidRPr="00FE211E" w:rsidRDefault="00BE5AD0" w:rsidP="00BE5AD0">
      <w:pPr>
        <w:spacing w:line="360" w:lineRule="auto"/>
        <w:jc w:val="left"/>
        <w:rPr>
          <w:rFonts w:ascii="Times New Roman" w:eastAsia="等线" w:hAnsi="Times New Roman" w:cs="Times New Roman"/>
          <w:sz w:val="24"/>
        </w:rPr>
      </w:pPr>
    </w:p>
    <w:p w14:paraId="79259606" w14:textId="16CE911E" w:rsidR="00BE5AD0" w:rsidRPr="00FE211E" w:rsidRDefault="00BE5AD0" w:rsidP="00BE5AD0">
      <w:pPr>
        <w:spacing w:line="360" w:lineRule="auto"/>
        <w:jc w:val="left"/>
        <w:rPr>
          <w:rFonts w:ascii="Times New Roman" w:eastAsia="等线" w:hAnsi="Times New Roman" w:cs="Times New Roman"/>
          <w:sz w:val="24"/>
        </w:rPr>
      </w:pPr>
      <w:bookmarkStart w:id="2" w:name="_Hlk42100774"/>
      <w:r w:rsidRPr="004A0256">
        <w:rPr>
          <w:rFonts w:ascii="Times New Roman" w:eastAsia="等线" w:hAnsi="Times New Roman" w:cs="Times New Roman"/>
          <w:sz w:val="24"/>
        </w:rPr>
        <w:t xml:space="preserve">After SWATH acquisition, the Wiff files were converted into mzXML format using msconvert (ProteoWizard 3.0) </w:t>
      </w:r>
      <w:r w:rsidRPr="004A0256">
        <w:rPr>
          <w:rFonts w:ascii="Times New Roman" w:eastAsia="等线" w:hAnsi="Times New Roman" w:cs="Times New Roman"/>
          <w:sz w:val="24"/>
        </w:rPr>
        <w:fldChar w:fldCharType="begin" w:fldLock="1"/>
      </w:r>
      <w:r w:rsidR="00256D2D">
        <w:rPr>
          <w:rFonts w:ascii="Times New Roman" w:eastAsia="等线" w:hAnsi="Times New Roman" w:cs="Times New Roman"/>
          <w:sz w:val="24"/>
        </w:rPr>
        <w:instrText>ADDIN CSL_CITATION {"citationItems":[{"id":"ITEM-1","itemData":{"DOI":"10.1093/bioinformatics/btn323","ISSN":"1367-4811 (Electronic)","PMID":"18606607","abstract":"SUMMARY: The ProteoWizard software project provides a modular and extensible set of  open-source, cross-platform tools and libraries. The tools perform proteomics data analyses; the libraries enable rapid tool creation by providing a robust, pluggable development framework that simplifies and unifies data file access, and performs standard proteomics and LCMS dataset computations. The library contains readers and writers of the mzML data format, which has been written using modern C++ techniques and design principles and supports a variety of platforms with native compilers. The software has been specifically released under the Apache v2 license to ensure it can be used in both academic and commercial projects. In addition to the library, we also introduce a rapidly growing set of companion tools whose implementation helps to illustrate the simplicity of developing applications on top of the ProteoWizard library. AVAILABILITY: Cross-platform software that compiles using native compilers (i.e. GCC on Linux, MSVC on Windows and XCode on OSX) is available for download free of charge, at http://proteowizard.sourceforge.net. This website also provides code examples, and documentation. It is our hope the ProteoWizard project will become a standard platform for proteomics development; consequently, code use, contribution and further development are strongly encouraged.","author":[{"dropping-particle":"","family":"Kessner","given":"Darren","non-dropping-particle":"","parse-names":false,"suffix":""},{"dropping-particle":"","family":"Chambers","given":"Matt","non-dropping-particle":"","parse-names":false,"suffix":""},{"dropping-particle":"","family":"Burke","given":"Robert","non-dropping-particle":"","parse-names":false,"suffix":""},{"dropping-particle":"","family":"Agus","given":"David","non-dropping-particle":"","parse-names":false,"suffix":""},{"dropping-particle":"","family":"Mallick","given":"Parag","non-dropping-particle":"","parse-names":false,"suffix":""}],"container-title":"Bioinformatics (Oxford, England)","id":"ITEM-1","issue":"21","issued":{"date-parts":[["2008","11"]]},"language":"eng","page":"2534-2536","title":"ProteoWizard: open source software for rapid proteomics tools development.","type":"article-journal","volume":"24"},"uris":["http://www.mendeley.com/documents/?uuid=d9b8f99f-0a25-45a7-9113-fbd701d7c4f5"]}],"mendeley":{"formattedCitation":"[4]","plainTextFormattedCitation":"[4]","previouslyFormattedCitation":"[4]"},"properties":{"noteIndex":0},"schema":"https://github.com/citation-style-language/schema/raw/master/csl-citation.json"}</w:instrText>
      </w:r>
      <w:r w:rsidRPr="004A0256">
        <w:rPr>
          <w:rFonts w:ascii="Times New Roman" w:eastAsia="等线" w:hAnsi="Times New Roman" w:cs="Times New Roman"/>
          <w:sz w:val="24"/>
        </w:rPr>
        <w:fldChar w:fldCharType="separate"/>
      </w:r>
      <w:r w:rsidR="00256D2D" w:rsidRPr="00256D2D">
        <w:rPr>
          <w:rFonts w:ascii="Times New Roman" w:eastAsia="等线" w:hAnsi="Times New Roman" w:cs="Times New Roman"/>
          <w:noProof/>
          <w:sz w:val="24"/>
        </w:rPr>
        <w:t>[4]</w:t>
      </w:r>
      <w:r w:rsidRPr="004A0256">
        <w:rPr>
          <w:rFonts w:ascii="Times New Roman" w:eastAsia="等线" w:hAnsi="Times New Roman" w:cs="Times New Roman"/>
          <w:sz w:val="24"/>
        </w:rPr>
        <w:fldChar w:fldCharType="end"/>
      </w:r>
      <w:r w:rsidRPr="004A0256">
        <w:rPr>
          <w:rFonts w:ascii="Times New Roman" w:eastAsia="等线" w:hAnsi="Times New Roman" w:cs="Times New Roman"/>
          <w:sz w:val="24"/>
        </w:rPr>
        <w:t xml:space="preserve"> and analyzed using OpenSWATH</w:t>
      </w:r>
      <w:r w:rsidRPr="004A0256">
        <w:rPr>
          <w:rFonts w:ascii="Times New Roman" w:eastAsia="等线" w:hAnsi="Times New Roman" w:cs="Times New Roman" w:hint="eastAsia"/>
          <w:sz w:val="24"/>
        </w:rPr>
        <w:t xml:space="preserve"> </w:t>
      </w:r>
      <w:r w:rsidRPr="004A0256">
        <w:rPr>
          <w:rFonts w:ascii="Times New Roman" w:eastAsia="等线" w:hAnsi="Times New Roman" w:cs="Times New Roman"/>
          <w:sz w:val="24"/>
        </w:rPr>
        <w:t xml:space="preserve">(2.1) </w:t>
      </w:r>
      <w:r w:rsidRPr="004A0256">
        <w:rPr>
          <w:rFonts w:ascii="Times New Roman" w:eastAsia="等线" w:hAnsi="Times New Roman" w:cs="Times New Roman"/>
          <w:sz w:val="24"/>
        </w:rPr>
        <w:fldChar w:fldCharType="begin" w:fldLock="1"/>
      </w:r>
      <w:r w:rsidR="00256D2D">
        <w:rPr>
          <w:rFonts w:ascii="Times New Roman" w:eastAsia="等线" w:hAnsi="Times New Roman" w:cs="Times New Roman"/>
          <w:sz w:val="24"/>
        </w:rPr>
        <w:instrText>ADDIN CSL_CITATION {"citationItems":[{"id":"ITEM-1","itemData":{"DOI":"10.1038/s41587-020-0457-8","ISSN":"1546-1696 (Electronic)","PMID":"32094660","abstract":"An amendment to this paper has been published and can be accessed via a link at the  top of the paper.","author":[{"dropping-particle":"","family":"Röst","given":"Hannes L","non-dropping-particle":"","parse-names":false,"suffix":""},{"dropping-particle":"","family":"Rosenberger","given":"George","non-dropping-particle":"","parse-names":false,"suffix":""},{"dropping-particle":"","family":"Navarro","given":"Pedro","non-dropping-particle":"","parse-names":false,"suffix":""},{"dropping-particle":"","family":"Gillet","given":"Ludovic","non-dropping-particle":"","parse-names":false,"suffix":""},{"dropping-particle":"","family":"Miladinović","given":"Saša M","non-dropping-particle":"","parse-names":false,"suffix":""},{"dropping-particle":"","family":"Schubert","given":"Olga T","non-dropping-particle":"","parse-names":false,"suffix":""},{"dropping-particle":"","family":"Wolski","given":"Witold","non-dropping-particle":"","parse-names":false,"suffix":""},{"dropping-particle":"","family":"Collins","given":"Ben C","non-dropping-particle":"","parse-names":false,"suffix":""},{"dropping-particle":"","family":"Malmström","given":"Johan","non-dropping-particle":"","parse-names":false,"suffix":""},{"dropping-particle":"","family":"Malmström","given":"Lars","non-dropping-particle":"","parse-names":false,"suffix":""},{"dropping-particle":"","family":"Aebersold","given":"Ruedi","non-dropping-particle":"","parse-names":false,"suffix":""}],"container-title":"Nature biotechnology","id":"ITEM-1","issue":"3","issued":{"date-parts":[["2020","3"]]},"language":"eng","page":"374","publisher-place":"United States","title":"Publisher Correction: OpenSWATH enables automated, targeted analysis of  data-independent acquisition MS data.","type":"article-journal","volume":"38"},"uris":["http://www.mendeley.com/documents/?uuid=74b4191d-4584-444b-a958-8a45c28d3e08"]}],"mendeley":{"formattedCitation":"[5]","plainTextFormattedCitation":"[5]","previouslyFormattedCitation":"[5]"},"properties":{"noteIndex":0},"schema":"https://github.com/citation-style-language/schema/raw/master/csl-citation.json"}</w:instrText>
      </w:r>
      <w:r w:rsidRPr="004A0256">
        <w:rPr>
          <w:rFonts w:ascii="Times New Roman" w:eastAsia="等线" w:hAnsi="Times New Roman" w:cs="Times New Roman"/>
          <w:sz w:val="24"/>
        </w:rPr>
        <w:fldChar w:fldCharType="separate"/>
      </w:r>
      <w:r w:rsidR="00256D2D" w:rsidRPr="00256D2D">
        <w:rPr>
          <w:rFonts w:ascii="Times New Roman" w:eastAsia="等线" w:hAnsi="Times New Roman" w:cs="Times New Roman"/>
          <w:noProof/>
          <w:sz w:val="24"/>
        </w:rPr>
        <w:t>[5]</w:t>
      </w:r>
      <w:r w:rsidRPr="004A0256">
        <w:rPr>
          <w:rFonts w:ascii="Times New Roman" w:eastAsia="等线" w:hAnsi="Times New Roman" w:cs="Times New Roman"/>
          <w:sz w:val="24"/>
        </w:rPr>
        <w:fldChar w:fldCharType="end"/>
      </w:r>
      <w:r w:rsidRPr="004A0256">
        <w:rPr>
          <w:rFonts w:ascii="Times New Roman" w:eastAsia="等线" w:hAnsi="Times New Roman" w:cs="Times New Roman"/>
          <w:sz w:val="24"/>
        </w:rPr>
        <w:t xml:space="preserve">  against a pan human spectral library </w:t>
      </w:r>
      <w:r w:rsidRPr="004A0256">
        <w:rPr>
          <w:rFonts w:ascii="Times New Roman" w:eastAsia="等线" w:hAnsi="Times New Roman" w:cs="Times New Roman"/>
          <w:sz w:val="24"/>
        </w:rPr>
        <w:fldChar w:fldCharType="begin" w:fldLock="1"/>
      </w:r>
      <w:r w:rsidR="00256D2D">
        <w:rPr>
          <w:rFonts w:ascii="Times New Roman" w:eastAsia="等线" w:hAnsi="Times New Roman" w:cs="Times New Roman"/>
          <w:sz w:val="24"/>
        </w:rPr>
        <w:instrText>ADDIN CSL_CITATION {"citationItems":[{"id":"ITEM-1","itemData":{"DOI":"10.15252/msb.20145728","ISSN":"1744-4292 (Electronic)","PMID":"25652787","abstract":"The degree and the origins of quantitative variability of most human plasma proteins  are largely unknown. Because the twin study design provides a natural opportunity to estimate the relative contribution of heritability and environment to different traits in human population, we applied here the highly accurate and reproducible SWATH mass spectrometry technique to quantify 1,904 peptides defining 342 unique plasma proteins in 232 plasma samples collected longitudinally from pairs of monozygotic and dizygotic twins at intervals of 2-7 years, and proportioned the observed total quantitative variability to its root causes, genes, and environmental and longitudinal factors. The data indicate that different proteins show vastly different patterns of abundance variability among humans and that genetic control and longitudinal variation affect protein levels and biological processes to different degrees. The data further strongly suggest that the plasma concentrations of clinical biomarkers need to be calibrated against genetic and temporal factors. Moreover, we identified 13 cis-SNPs significantly influencing the level of specific plasma proteins. These results therefore have immediate implications for the effective design of blood-based biomarker studies.","author":[{"dropping-particle":"","family":"Liu","given":"Yansheng","non-dropping-particle":"","parse-names":false,"suffix":""},{"dropping-particle":"","family":"Buil","given":"Alfonso","non-dropping-particle":"","parse-names":false,"suffix":""},{"dropping-particle":"","family":"Collins","given":"Ben C","non-dropping-particle":"","parse-names":false,"suffix":""},{"dropping-particle":"","family":"Gillet","given":"Ludovic C J","non-dropping-particle":"","parse-names":false,"suffix":""},{"dropping-particle":"","family":"Blum","given":"Lorenz C","non-dropping-particle":"","parse-names":false,"suffix":""},{"dropping-particle":"","family":"Cheng","given":"Lin-Yang","non-dropping-particle":"","parse-names":false,"suffix":""},{"dropping-particle":"","family":"Vitek","given":"Olga","non-dropping-particle":"","parse-names":false,"suffix":""},{"dropping-particle":"","family":"Mouritsen","given":"Jeppe","non-dropping-particle":"","parse-names":false,"suffix":""},{"dropping-particle":"","family":"Lachance","given":"Genevieve","non-dropping-particle":"","parse-names":false,"suffix":""},{"dropping-particle":"","family":"Spector","given":"Tim D","non-dropping-particle":"","parse-names":false,"suffix":""},{"dropping-particle":"","family":"Dermitzakis","given":"Emmanouil T","non-dropping-particle":"","parse-names":false,"suffix":""},{"dropping-particle":"","family":"Aebersold","given":"Ruedi","non-dropping-particle":"","parse-names":false,"suffix":""}],"container-title":"Molecular systems biology","id":"ITEM-1","issue":"1","issued":{"date-parts":[["2015","2"]]},"language":"eng","page":"786","title":"Quantitative variability of 342 plasma proteins in a human twin population.","type":"article-journal","volume":"11"},"uris":["http://www.mendeley.com/documents/?uuid=dc62deb4-96bb-482a-aa2a-9d2b504b51ae"]}],"mendeley":{"formattedCitation":"[6]","plainTextFormattedCitation":"[6]","previouslyFormattedCitation":"[6]"},"properties":{"noteIndex":0},"schema":"https://github.com/citation-style-language/schema/raw/master/csl-citation.json"}</w:instrText>
      </w:r>
      <w:r w:rsidRPr="004A0256">
        <w:rPr>
          <w:rFonts w:ascii="Times New Roman" w:eastAsia="等线" w:hAnsi="Times New Roman" w:cs="Times New Roman"/>
          <w:sz w:val="24"/>
        </w:rPr>
        <w:fldChar w:fldCharType="separate"/>
      </w:r>
      <w:r w:rsidR="00256D2D" w:rsidRPr="00256D2D">
        <w:rPr>
          <w:rFonts w:ascii="Times New Roman" w:eastAsia="等线" w:hAnsi="Times New Roman" w:cs="Times New Roman"/>
          <w:noProof/>
          <w:sz w:val="24"/>
        </w:rPr>
        <w:t>[6]</w:t>
      </w:r>
      <w:r w:rsidRPr="004A0256">
        <w:rPr>
          <w:rFonts w:ascii="Times New Roman" w:eastAsia="等线" w:hAnsi="Times New Roman" w:cs="Times New Roman"/>
          <w:sz w:val="24"/>
        </w:rPr>
        <w:fldChar w:fldCharType="end"/>
      </w:r>
      <w:r w:rsidRPr="004A0256">
        <w:rPr>
          <w:rFonts w:ascii="Times New Roman" w:eastAsia="等线" w:hAnsi="Times New Roman" w:cs="Times New Roman"/>
          <w:sz w:val="24"/>
        </w:rPr>
        <w:t xml:space="preserve"> that contains 43899</w:t>
      </w:r>
      <w:r w:rsidRPr="004A0256">
        <w:rPr>
          <w:rFonts w:ascii="Times New Roman" w:eastAsia="等线" w:hAnsi="Times New Roman" w:cs="Times New Roman" w:hint="eastAsia"/>
          <w:sz w:val="24"/>
        </w:rPr>
        <w:t xml:space="preserve"> </w:t>
      </w:r>
      <w:r w:rsidRPr="004A0256">
        <w:rPr>
          <w:rFonts w:ascii="Times New Roman" w:eastAsia="等线" w:hAnsi="Times New Roman" w:cs="Times New Roman"/>
          <w:sz w:val="24"/>
        </w:rPr>
        <w:t xml:space="preserve">peptide precursors and 1667 unique Swiss-Prot proteins protein groups. The retention time extraction window was </w:t>
      </w:r>
      <w:r w:rsidRPr="004A0256">
        <w:rPr>
          <w:rFonts w:ascii="Times New Roman" w:eastAsia="等线" w:hAnsi="Times New Roman" w:cs="Times New Roman"/>
          <w:sz w:val="24"/>
        </w:rPr>
        <w:lastRenderedPageBreak/>
        <w:t xml:space="preserve">set at 120 seconds, and the </w:t>
      </w:r>
      <w:r w:rsidRPr="004A0256">
        <w:rPr>
          <w:rFonts w:ascii="Times New Roman" w:eastAsia="等线" w:hAnsi="Times New Roman" w:cs="Times New Roman"/>
          <w:i/>
          <w:iCs/>
          <w:sz w:val="24"/>
        </w:rPr>
        <w:t>m/z</w:t>
      </w:r>
      <w:r w:rsidRPr="004A0256">
        <w:rPr>
          <w:rFonts w:ascii="Times New Roman" w:eastAsia="等线" w:hAnsi="Times New Roman" w:cs="Times New Roman"/>
          <w:sz w:val="24"/>
        </w:rPr>
        <w:t xml:space="preserve"> extraction was performed with</w:t>
      </w:r>
      <w:r w:rsidRPr="004A0256">
        <w:rPr>
          <w:rFonts w:ascii="Times New Roman" w:eastAsia="等线" w:hAnsi="Times New Roman" w:cs="Times New Roman" w:hint="eastAsia"/>
          <w:sz w:val="24"/>
        </w:rPr>
        <w:t xml:space="preserve"> </w:t>
      </w:r>
      <w:r w:rsidRPr="004A0256">
        <w:rPr>
          <w:rFonts w:ascii="Times New Roman" w:eastAsia="等线" w:hAnsi="Times New Roman" w:cs="Times New Roman"/>
          <w:sz w:val="24"/>
        </w:rPr>
        <w:t>30 ppm tolerance. Retention time was then</w:t>
      </w:r>
      <w:r w:rsidRPr="004A0256">
        <w:rPr>
          <w:rFonts w:ascii="Times New Roman" w:eastAsia="等线" w:hAnsi="Times New Roman" w:cs="Times New Roman" w:hint="eastAsia"/>
          <w:sz w:val="24"/>
        </w:rPr>
        <w:t xml:space="preserve"> </w:t>
      </w:r>
      <w:r w:rsidRPr="004A0256">
        <w:rPr>
          <w:rFonts w:ascii="Times New Roman" w:eastAsia="等线" w:hAnsi="Times New Roman" w:cs="Times New Roman"/>
          <w:sz w:val="24"/>
        </w:rPr>
        <w:t xml:space="preserve">calibrated using Common internal Retention Time standards (CiRT) peptides </w:t>
      </w:r>
      <w:r w:rsidRPr="004A0256">
        <w:rPr>
          <w:rFonts w:ascii="Times New Roman" w:eastAsia="等线" w:hAnsi="Times New Roman" w:cs="Times New Roman"/>
          <w:sz w:val="24"/>
        </w:rPr>
        <w:fldChar w:fldCharType="begin" w:fldLock="1"/>
      </w:r>
      <w:r w:rsidR="00256D2D">
        <w:rPr>
          <w:rFonts w:ascii="Times New Roman" w:eastAsia="等线" w:hAnsi="Times New Roman" w:cs="Times New Roman"/>
          <w:sz w:val="24"/>
        </w:rPr>
        <w:instrText>ADDIN CSL_CITATION {"citationItems":[{"id":"ITEM-1","itemData":{"DOI":"10.1074/mcp.O114.042267","ISSN":"1535-9484 (Electronic)","PMID":"26199342","abstract":"Accurate knowledge of retention time (RT) in liquid chromatography-based mass  spectrometry data facilitates peptide identification, quantification, and multiplexing in targeted and discovery-based workflows. Retention time prediction is particularly important for peptide analysis in emerging data-independent acquisition (DIA) experiments such as SWATH-MS. The indexed RT approach, iRT, uses synthetic spiked-in peptide standards (SiRT) to set RT to a unit-less scale, allowing for normalization of peptide RT between different samples and chromatographic set-ups. The obligatory use of SiRTs can be costly and complicates comparisons and data integration if standards are not included in every sample. Reliance on SiRTs also prevents the inclusion of archived mass spectrometry data for generation of the peptide assay libraries central to targeted DIA-MS data analysis. We have identified a set of peptide sequences that are conserved across most eukaryotic species, termed Common internal Retention Time standards (CiRT). In a series of tests to support the appropriateness of the CiRT-based method, we show: (1) the CiRT peptides normalized RT in human, yeast, and mouse cell lysate derived peptide assay libraries and enabled merging of archived libraries for expanded DIA-MS quantitative applications; (2) CiRTs predicted RT in SWATH-MS data within a 2-min margin of error for the majority of peptides; and (3) normalization of RT using the CiRT peptides enabled the accurate SWATH-MS-based quantification of 340 synthetic isotopically labeled peptides that were spiked into either human or yeast cell lysate. To automate and facilitate the use of these CiRT peptide lists or other custom user-defined internal RT reference peptides in DIA workflows, an algorithm was designed to automatically select a high-quality subset of datapoints for robust linear alignment of RT for use. Implementations of this algorithm are available for the OpenSWATH and Skyline platforms. Thus, CiRT peptides can be used alone or as a complement to SiRTs for RT normalization across peptide spectral libraries and in quantitative DIA-MS studies.","author":[{"dropping-particle":"","family":"Parker","given":"Sarah J","non-dropping-particle":"","parse-names":false,"suffix":""},{"dropping-particle":"","family":"Rost","given":"Hannes","non-dropping-particle":"","parse-names":false,"suffix":""},{"dropping-particle":"","family":"Rosenberger","given":"George","non-dropping-particle":"","parse-names":false,"suffix":""},{"dropping-particle":"","family":"Collins","given":"Ben C","non-dropping-particle":"","parse-names":false,"suffix":""},{"dropping-particle":"","family":"Malmström","given":"Lars","non-dropping-particle":"","parse-names":false,"suffix":""},{"dropping-particle":"","family":"Amodei","given":"Dario","non-dropping-particle":"","parse-names":false,"suffix":""},{"dropping-particle":"","family":"Venkatraman","given":"Vidya","non-dropping-particle":"","parse-names":false,"suffix":""},{"dropping-particle":"","family":"Raedschelders","given":"Koen","non-dropping-particle":"","parse-names":false,"suffix":""},{"dropping-particle":"","family":"Eyk","given":"Jennifer E","non-dropping-particle":"Van","parse-names":false,"suffix":""},{"dropping-particle":"","family":"Aebersold","given":"Ruedi","non-dropping-particle":"","parse-names":false,"suffix":""}],"container-title":"Molecular &amp; cellular proteomics : MCP","id":"ITEM-1","issue":"10","issued":{"date-parts":[["2015","10"]]},"language":"eng","page":"2800-2813","title":"Identification of a Set of Conserved Eukaryotic Internal Retention Time Standards  for Data-independent Acquisition Mass Spectrometry.","type":"article-journal","volume":"14"},"uris":["http://www.mendeley.com/documents/?uuid=13e0ad95-da31-4305-b2ab-ab1a8f5c5eb5"]}],"mendeley":{"formattedCitation":"[7]","plainTextFormattedCitation":"[7]","previouslyFormattedCitation":"[7]"},"properties":{"noteIndex":0},"schema":"https://github.com/citation-style-language/schema/raw/master/csl-citation.json"}</w:instrText>
      </w:r>
      <w:r w:rsidRPr="004A0256">
        <w:rPr>
          <w:rFonts w:ascii="Times New Roman" w:eastAsia="等线" w:hAnsi="Times New Roman" w:cs="Times New Roman"/>
          <w:sz w:val="24"/>
        </w:rPr>
        <w:fldChar w:fldCharType="separate"/>
      </w:r>
      <w:r w:rsidR="00256D2D" w:rsidRPr="00256D2D">
        <w:rPr>
          <w:rFonts w:ascii="Times New Roman" w:eastAsia="等线" w:hAnsi="Times New Roman" w:cs="Times New Roman"/>
          <w:noProof/>
          <w:sz w:val="24"/>
        </w:rPr>
        <w:t>[7]</w:t>
      </w:r>
      <w:r w:rsidRPr="004A0256">
        <w:rPr>
          <w:rFonts w:ascii="Times New Roman" w:eastAsia="等线" w:hAnsi="Times New Roman" w:cs="Times New Roman"/>
          <w:sz w:val="24"/>
        </w:rPr>
        <w:fldChar w:fldCharType="end"/>
      </w:r>
      <w:r w:rsidRPr="004A0256">
        <w:rPr>
          <w:rFonts w:ascii="Times New Roman" w:eastAsia="等线" w:hAnsi="Times New Roman" w:cs="Times New Roman"/>
          <w:sz w:val="24"/>
        </w:rPr>
        <w:t>. Peptide precursors were identified by</w:t>
      </w:r>
      <w:r w:rsidRPr="004A0256">
        <w:rPr>
          <w:rFonts w:ascii="Times New Roman" w:eastAsia="等线" w:hAnsi="Times New Roman" w:cs="Times New Roman" w:hint="eastAsia"/>
          <w:sz w:val="24"/>
        </w:rPr>
        <w:t xml:space="preserve"> </w:t>
      </w:r>
      <w:r w:rsidRPr="004A0256">
        <w:rPr>
          <w:rFonts w:ascii="Times New Roman" w:eastAsia="等线" w:hAnsi="Times New Roman" w:cs="Times New Roman"/>
          <w:sz w:val="24"/>
        </w:rPr>
        <w:t>OpenSWATH (version 2.0) and pyprophet (version 0.24</w:t>
      </w:r>
      <w:r w:rsidRPr="004A0256">
        <w:rPr>
          <w:rFonts w:ascii="Times New Roman" w:eastAsia="等线" w:hAnsi="Times New Roman" w:cs="Times New Roman" w:hint="eastAsia"/>
          <w:sz w:val="24"/>
        </w:rPr>
        <w:t>)</w:t>
      </w:r>
      <w:r w:rsidRPr="004A0256">
        <w:rPr>
          <w:rFonts w:ascii="Times New Roman" w:eastAsia="等线" w:hAnsi="Times New Roman" w:cs="Times New Roman"/>
          <w:sz w:val="24"/>
        </w:rPr>
        <w:t xml:space="preserve"> with FDR&lt;0.01 to quantify the proteins in each sample.</w:t>
      </w:r>
    </w:p>
    <w:p w14:paraId="31F96F2C" w14:textId="77777777" w:rsidR="00BE5AD0" w:rsidRPr="00FE211E" w:rsidRDefault="00BE5AD0" w:rsidP="00BE5AD0">
      <w:pPr>
        <w:spacing w:line="360" w:lineRule="auto"/>
        <w:jc w:val="left"/>
        <w:rPr>
          <w:rFonts w:ascii="Times New Roman" w:eastAsia="等线" w:hAnsi="Times New Roman" w:cs="Times New Roman"/>
          <w:sz w:val="24"/>
        </w:rPr>
      </w:pPr>
    </w:p>
    <w:bookmarkEnd w:id="2"/>
    <w:p w14:paraId="492AC2BA" w14:textId="77777777" w:rsidR="00BE5AD0" w:rsidRPr="00C12697" w:rsidRDefault="00BE5AD0" w:rsidP="00BE5AD0">
      <w:pPr>
        <w:spacing w:line="360" w:lineRule="auto"/>
        <w:jc w:val="left"/>
        <w:rPr>
          <w:rFonts w:ascii="Times New Roman" w:eastAsia="等线" w:hAnsi="Times New Roman" w:cs="Times New Roman"/>
          <w:b/>
          <w:bCs/>
          <w:sz w:val="24"/>
          <w:szCs w:val="24"/>
        </w:rPr>
      </w:pPr>
      <w:r w:rsidRPr="00C12697">
        <w:rPr>
          <w:rFonts w:ascii="Times New Roman" w:eastAsia="等线" w:hAnsi="Times New Roman" w:cs="Times New Roman" w:hint="eastAsia"/>
          <w:b/>
          <w:bCs/>
          <w:sz w:val="24"/>
          <w:szCs w:val="24"/>
        </w:rPr>
        <w:t>Mea</w:t>
      </w:r>
      <w:r w:rsidRPr="00C12697">
        <w:rPr>
          <w:rFonts w:ascii="Times New Roman" w:eastAsia="等线" w:hAnsi="Times New Roman" w:cs="Times New Roman"/>
          <w:b/>
          <w:bCs/>
          <w:sz w:val="24"/>
          <w:szCs w:val="24"/>
        </w:rPr>
        <w:t xml:space="preserve">surement of inflammatory biomarkers </w:t>
      </w:r>
    </w:p>
    <w:p w14:paraId="087D27F3" w14:textId="77777777" w:rsidR="00BE5AD0" w:rsidRPr="00FE211E"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 xml:space="preserve">For samples collected at baseline, </w:t>
      </w:r>
      <w:r w:rsidRPr="00FE211E">
        <w:rPr>
          <w:rFonts w:ascii="Times New Roman" w:eastAsia="等线" w:hAnsi="Times New Roman" w:cs="Times New Roman" w:hint="eastAsia"/>
          <w:sz w:val="24"/>
        </w:rPr>
        <w:t>Human FlowCytomix (Simplex BMS8213FF and BMS8288FF, eBioscience, San Diego, CA, USA) and the Human Basic Kit FlowCytomix (BMS8420FF, eBioscience, San Diego, CA, USA) on a BD FACSCalibur instrument (BD Biosciences, Franklin Lakes, NJ, USA) were used for the measurements of serum tumor necrosis factor (T</w:t>
      </w:r>
      <w:r w:rsidRPr="00FE211E">
        <w:rPr>
          <w:rFonts w:ascii="Times New Roman" w:eastAsia="等线" w:hAnsi="Times New Roman" w:cs="Times New Roman"/>
          <w:sz w:val="24"/>
        </w:rPr>
        <w:t>NF-α</w:t>
      </w:r>
      <w:r w:rsidRPr="00FE211E">
        <w:rPr>
          <w:rFonts w:ascii="Times New Roman" w:eastAsia="等线" w:hAnsi="Times New Roman" w:cs="Times New Roman" w:hint="eastAsia"/>
          <w:sz w:val="24"/>
        </w:rPr>
        <w:t>), Interleukin-6 (IL-6), and</w:t>
      </w:r>
      <w:r w:rsidRPr="00FE211E">
        <w:rPr>
          <w:rFonts w:ascii="Times New Roman" w:eastAsia="等线" w:hAnsi="Times New Roman" w:cs="Times New Roman"/>
          <w:sz w:val="24"/>
        </w:rPr>
        <w:t xml:space="preserve"> </w:t>
      </w:r>
      <w:r w:rsidRPr="00FE211E">
        <w:rPr>
          <w:rFonts w:ascii="Times New Roman" w:eastAsia="等线" w:hAnsi="Times New Roman" w:cs="Times New Roman" w:hint="eastAsia"/>
          <w:sz w:val="24"/>
        </w:rPr>
        <w:t>Interleukin-1</w:t>
      </w:r>
      <w:r w:rsidRPr="00FE211E">
        <w:rPr>
          <w:rFonts w:ascii="Times New Roman" w:eastAsia="等线" w:hAnsi="Times New Roman" w:cs="Times New Roman"/>
          <w:sz w:val="24"/>
        </w:rPr>
        <w:t>β</w:t>
      </w:r>
      <w:r w:rsidRPr="00FE211E">
        <w:rPr>
          <w:rFonts w:ascii="Times New Roman" w:eastAsia="等线" w:hAnsi="Times New Roman" w:cs="Times New Roman" w:hint="eastAsia"/>
          <w:sz w:val="24"/>
        </w:rPr>
        <w:t xml:space="preserve"> (IL-1</w:t>
      </w:r>
      <w:r w:rsidRPr="00FE211E">
        <w:rPr>
          <w:rFonts w:ascii="Times New Roman" w:eastAsia="等线" w:hAnsi="Times New Roman" w:cs="Times New Roman"/>
          <w:sz w:val="24"/>
        </w:rPr>
        <w:t>β</w:t>
      </w:r>
      <w:r w:rsidRPr="00FE211E">
        <w:rPr>
          <w:rFonts w:ascii="Times New Roman" w:eastAsia="等线" w:hAnsi="Times New Roman" w:cs="Times New Roman" w:hint="eastAsia"/>
          <w:sz w:val="24"/>
        </w:rPr>
        <w:t xml:space="preserve">). High-sensitivity CRP was measured using a [Cardiac C-Reactive Protein (Latex) High Sensitive (CRPHS) kit], and detected on a Cobas c701 automatic analyzer. </w:t>
      </w:r>
      <w:r w:rsidRPr="00FE211E">
        <w:rPr>
          <w:rFonts w:ascii="Times New Roman" w:eastAsia="等线" w:hAnsi="Times New Roman" w:cs="Times New Roman"/>
          <w:sz w:val="24"/>
        </w:rPr>
        <w:t>The between-plate CVs were 14.1% for MCP1, 6.6% for TNF-α, 2.5% for IL-6, and 10.2% for IL-1β.</w:t>
      </w:r>
    </w:p>
    <w:p w14:paraId="4472489A" w14:textId="77777777" w:rsidR="00BE5AD0" w:rsidRPr="00FE211E" w:rsidRDefault="00BE5AD0" w:rsidP="00BE5AD0">
      <w:pPr>
        <w:spacing w:line="360" w:lineRule="auto"/>
        <w:jc w:val="left"/>
        <w:rPr>
          <w:rFonts w:ascii="Times New Roman" w:eastAsia="等线" w:hAnsi="Times New Roman" w:cs="Times New Roman"/>
          <w:sz w:val="24"/>
        </w:rPr>
      </w:pPr>
    </w:p>
    <w:p w14:paraId="6F58260B" w14:textId="13A5BB51" w:rsidR="00BE5AD0"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For samples collected during follow-up visits, s</w:t>
      </w:r>
      <w:r w:rsidRPr="00FE211E">
        <w:rPr>
          <w:rFonts w:ascii="Times New Roman" w:eastAsia="等线" w:hAnsi="Times New Roman" w:cs="Times New Roman" w:hint="eastAsia"/>
          <w:sz w:val="24"/>
        </w:rPr>
        <w:t>erum</w:t>
      </w:r>
      <w:r w:rsidRPr="00FE211E">
        <w:rPr>
          <w:rFonts w:ascii="Times New Roman" w:eastAsia="等线" w:hAnsi="Times New Roman" w:cs="Times New Roman"/>
          <w:sz w:val="24"/>
        </w:rPr>
        <w:t xml:space="preserve"> cytokine levels were assessed by electrochemiluminescence</w:t>
      </w:r>
      <w:r w:rsidRPr="00FE211E">
        <w:rPr>
          <w:rFonts w:ascii="Times New Roman" w:eastAsia="等线" w:hAnsi="Times New Roman" w:cs="Times New Roman" w:hint="eastAsia"/>
          <w:sz w:val="24"/>
        </w:rPr>
        <w:t xml:space="preserve"> </w:t>
      </w:r>
      <w:r w:rsidRPr="00FE211E">
        <w:rPr>
          <w:rFonts w:ascii="Times New Roman" w:eastAsia="等线" w:hAnsi="Times New Roman" w:cs="Times New Roman"/>
          <w:sz w:val="24"/>
        </w:rPr>
        <w:t>based</w:t>
      </w:r>
      <w:r w:rsidRPr="00FE211E">
        <w:rPr>
          <w:rFonts w:ascii="Times New Roman" w:eastAsia="等线" w:hAnsi="Times New Roman" w:cs="Times New Roman" w:hint="eastAsia"/>
          <w:sz w:val="24"/>
        </w:rPr>
        <w:t xml:space="preserve"> </w:t>
      </w:r>
      <w:r w:rsidRPr="00FE211E">
        <w:rPr>
          <w:rFonts w:ascii="Times New Roman" w:eastAsia="等线" w:hAnsi="Times New Roman" w:cs="Times New Roman"/>
          <w:sz w:val="24"/>
        </w:rPr>
        <w:t>immunoassays using the MSD V-Plex Proinflammatory Panel 1 (</w:t>
      </w:r>
      <w:r w:rsidRPr="00FE211E">
        <w:rPr>
          <w:rFonts w:ascii="Times New Roman" w:eastAsia="等线" w:hAnsi="Times New Roman" w:cs="Times New Roman" w:hint="eastAsia"/>
          <w:sz w:val="24"/>
        </w:rPr>
        <w:t>human</w:t>
      </w:r>
      <w:r w:rsidRPr="00FE211E">
        <w:rPr>
          <w:rFonts w:ascii="Times New Roman" w:eastAsia="等线" w:hAnsi="Times New Roman" w:cs="Times New Roman"/>
          <w:sz w:val="24"/>
        </w:rPr>
        <w:t>) kit. 5</w:t>
      </w:r>
      <w:r w:rsidRPr="00FE211E">
        <w:rPr>
          <w:rFonts w:ascii="Times New Roman" w:eastAsia="等线" w:hAnsi="Times New Roman" w:cs="Times New Roman" w:hint="eastAsia"/>
          <w:sz w:val="24"/>
        </w:rPr>
        <w:t>0</w:t>
      </w:r>
      <w:r w:rsidRPr="00FE211E">
        <w:rPr>
          <w:rFonts w:ascii="Times New Roman" w:eastAsia="等线" w:hAnsi="Times New Roman" w:cs="Times New Roman"/>
          <w:sz w:val="24"/>
        </w:rPr>
        <w:t xml:space="preserve"> µ</w:t>
      </w:r>
      <w:r w:rsidRPr="00FE211E">
        <w:rPr>
          <w:rFonts w:ascii="Times New Roman" w:eastAsia="等线" w:hAnsi="Times New Roman" w:cs="Times New Roman" w:hint="eastAsia"/>
          <w:sz w:val="24"/>
        </w:rPr>
        <w:t>L</w:t>
      </w:r>
      <w:r w:rsidRPr="00FE211E">
        <w:rPr>
          <w:rFonts w:ascii="Times New Roman" w:eastAsia="等线" w:hAnsi="Times New Roman" w:cs="Times New Roman"/>
          <w:sz w:val="24"/>
        </w:rPr>
        <w:t xml:space="preserve"> of </w:t>
      </w:r>
      <w:r w:rsidRPr="00FE211E">
        <w:rPr>
          <w:rFonts w:ascii="Times New Roman" w:eastAsia="等线" w:hAnsi="Times New Roman" w:cs="Times New Roman" w:hint="eastAsia"/>
          <w:sz w:val="24"/>
        </w:rPr>
        <w:t>serum</w:t>
      </w:r>
      <w:r w:rsidRPr="00FE211E">
        <w:rPr>
          <w:rFonts w:ascii="Times New Roman" w:eastAsia="等线" w:hAnsi="Times New Roman" w:cs="Times New Roman"/>
          <w:sz w:val="24"/>
        </w:rPr>
        <w:t xml:space="preserve"> derived from whole blood by centrifugation (</w:t>
      </w:r>
      <w:r w:rsidRPr="00FE211E">
        <w:rPr>
          <w:rFonts w:ascii="Times New Roman" w:eastAsia="等线" w:hAnsi="Times New Roman" w:cs="Times New Roman" w:hint="eastAsia"/>
          <w:sz w:val="24"/>
        </w:rPr>
        <w:t>1</w:t>
      </w:r>
      <w:r w:rsidRPr="00FE211E">
        <w:rPr>
          <w:rFonts w:ascii="Times New Roman" w:eastAsia="等线" w:hAnsi="Times New Roman" w:cs="Times New Roman"/>
          <w:sz w:val="24"/>
        </w:rPr>
        <w:t xml:space="preserve">0 min,3,500 rpm) was processed according to the manufacturer’s instructions. </w:t>
      </w:r>
      <w:r w:rsidRPr="00FE211E">
        <w:rPr>
          <w:rFonts w:ascii="Times New Roman" w:eastAsia="等线" w:hAnsi="Times New Roman" w:cs="Times New Roman" w:hint="eastAsia"/>
          <w:sz w:val="24"/>
        </w:rPr>
        <w:t xml:space="preserve">Briefly, the serum was diluted at a minimum of 2-fold dilution at first, while the detection antibodies were combined and added to 2400 </w:t>
      </w:r>
      <w:r w:rsidRPr="00FE211E">
        <w:rPr>
          <w:rFonts w:ascii="Times New Roman" w:eastAsia="等线" w:hAnsi="Times New Roman" w:cs="Times New Roman"/>
          <w:sz w:val="24"/>
        </w:rPr>
        <w:t>µ</w:t>
      </w:r>
      <w:r w:rsidRPr="00FE211E">
        <w:rPr>
          <w:rFonts w:ascii="Times New Roman" w:eastAsia="等线" w:hAnsi="Times New Roman" w:cs="Times New Roman" w:hint="eastAsia"/>
          <w:sz w:val="24"/>
        </w:rPr>
        <w:t xml:space="preserve">L of diluent. Thereafter, wash buffer and read buffer T were prepared as instructed. After finishing washing and adding samples, washing and adding detection antibody solution and washing plates again, then the plate could be analyzed on an MSD instrument. </w:t>
      </w:r>
      <w:r w:rsidRPr="00FE211E">
        <w:rPr>
          <w:rFonts w:ascii="Times New Roman" w:eastAsia="等线" w:hAnsi="Times New Roman" w:cs="Times New Roman"/>
          <w:sz w:val="24"/>
        </w:rPr>
        <w:t>Accuracy and precision are evaluated by measuring calibrators across multiple runs and multiple lots. Intra-run coefficient of variations (CVs) are typically below 7% and inter-ran CVs are typically below 15%. In the present study, the inters-run CVs of calibrators were 2.2% for IL-1β, 2.5% for IL-2, 1.6% for IL-4, 1.7 for IL-6, 3.6 for IL-8, 2.5 for 1.3% for IL-10, 1.1% for IL-12p70, 0.87% for IL-13, TNF-α</w:t>
      </w:r>
      <w:r w:rsidRPr="00FE211E">
        <w:rPr>
          <w:rFonts w:ascii="Times New Roman" w:eastAsia="等线" w:hAnsi="Times New Roman" w:cs="Times New Roman" w:hint="eastAsia"/>
          <w:sz w:val="24"/>
        </w:rPr>
        <w:t>,</w:t>
      </w:r>
      <w:r w:rsidRPr="00FE211E">
        <w:rPr>
          <w:rFonts w:ascii="Times New Roman" w:eastAsia="等线" w:hAnsi="Times New Roman" w:cs="Times New Roman"/>
          <w:sz w:val="24"/>
        </w:rPr>
        <w:t xml:space="preserve"> 2.0% for </w:t>
      </w:r>
      <w:r w:rsidRPr="00FE211E">
        <w:rPr>
          <w:rFonts w:ascii="Times New Roman" w:eastAsia="等线" w:hAnsi="Times New Roman" w:cs="Times New Roman"/>
          <w:sz w:val="24"/>
        </w:rPr>
        <w:lastRenderedPageBreak/>
        <w:t xml:space="preserve">IFN-γ. </w:t>
      </w:r>
    </w:p>
    <w:p w14:paraId="580FCE24" w14:textId="77777777" w:rsidR="00DF67AD" w:rsidRPr="00FE211E" w:rsidRDefault="00DF67AD" w:rsidP="00BE5AD0">
      <w:pPr>
        <w:spacing w:line="360" w:lineRule="auto"/>
        <w:jc w:val="left"/>
        <w:rPr>
          <w:rFonts w:ascii="Times New Roman" w:eastAsia="等线" w:hAnsi="Times New Roman" w:cs="Times New Roman"/>
          <w:sz w:val="24"/>
        </w:rPr>
      </w:pPr>
    </w:p>
    <w:p w14:paraId="71B9CF09" w14:textId="77777777" w:rsidR="00BE5AD0" w:rsidRPr="00C12697" w:rsidRDefault="00BE5AD0" w:rsidP="00BE5AD0">
      <w:pPr>
        <w:spacing w:line="360" w:lineRule="auto"/>
        <w:jc w:val="left"/>
        <w:rPr>
          <w:rFonts w:ascii="Times New Roman" w:eastAsia="等线" w:hAnsi="Times New Roman" w:cs="Times New Roman"/>
          <w:b/>
          <w:bCs/>
          <w:sz w:val="24"/>
          <w:szCs w:val="24"/>
        </w:rPr>
      </w:pPr>
      <w:r w:rsidRPr="00C12697">
        <w:rPr>
          <w:rFonts w:ascii="Times New Roman" w:eastAsia="等线" w:hAnsi="Times New Roman" w:cs="Times New Roman"/>
          <w:b/>
          <w:bCs/>
          <w:sz w:val="24"/>
          <w:szCs w:val="24"/>
        </w:rPr>
        <w:t xml:space="preserve">Microbiome analysis ---- DNA extraction </w:t>
      </w:r>
    </w:p>
    <w:p w14:paraId="00488C67" w14:textId="77777777" w:rsidR="00BE5AD0"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 xml:space="preserve">Total bacterial DNA was extracted using the QIAamp® DNA Stool Mini Kit (Qiagen, Hilden, Germany) </w:t>
      </w:r>
      <w:r w:rsidRPr="00D83001">
        <w:rPr>
          <w:rFonts w:ascii="Times New Roman" w:eastAsia="等线" w:hAnsi="Times New Roman" w:cs="Times New Roman"/>
          <w:sz w:val="24"/>
        </w:rPr>
        <w:t>with </w:t>
      </w:r>
      <w:r w:rsidRPr="00D83001">
        <w:rPr>
          <w:rFonts w:ascii="Times New Roman" w:eastAsia="等线" w:hAnsi="Times New Roman" w:cs="Times New Roman" w:hint="eastAsia"/>
          <w:sz w:val="24"/>
        </w:rPr>
        <w:t>b</w:t>
      </w:r>
      <w:r w:rsidRPr="00D83001">
        <w:rPr>
          <w:rFonts w:ascii="Times New Roman" w:eastAsia="等线" w:hAnsi="Times New Roman" w:cs="Times New Roman"/>
          <w:sz w:val="24"/>
        </w:rPr>
        <w:t>ead beating,</w:t>
      </w:r>
      <w:r>
        <w:rPr>
          <w:rFonts w:ascii="Times New Roman" w:eastAsia="等线" w:hAnsi="Times New Roman" w:cs="Times New Roman"/>
          <w:sz w:val="24"/>
        </w:rPr>
        <w:t xml:space="preserve"> </w:t>
      </w:r>
      <w:r w:rsidRPr="00FE211E">
        <w:rPr>
          <w:rFonts w:ascii="Times New Roman" w:eastAsia="等线" w:hAnsi="Times New Roman" w:cs="Times New Roman"/>
          <w:sz w:val="24"/>
        </w:rPr>
        <w:t>following the manufacturer’s instructions. DNA concentrations were measured using the Qubit quantification system (Thermo Scientific, Wilmington, DE, US). The extracted DNA was then stored at -20 °C.</w:t>
      </w:r>
    </w:p>
    <w:p w14:paraId="7A3EEFE8" w14:textId="77777777" w:rsidR="00BE5AD0" w:rsidRPr="00987E46" w:rsidRDefault="00BE5AD0" w:rsidP="00BE5AD0">
      <w:pPr>
        <w:spacing w:line="360" w:lineRule="auto"/>
        <w:jc w:val="left"/>
        <w:rPr>
          <w:rFonts w:ascii="Times New Roman" w:eastAsia="等线" w:hAnsi="Times New Roman" w:cs="Times New Roman"/>
          <w:sz w:val="24"/>
        </w:rPr>
      </w:pPr>
    </w:p>
    <w:p w14:paraId="5B8682BB" w14:textId="77777777" w:rsidR="00BE5AD0" w:rsidRPr="00C12697" w:rsidRDefault="00BE5AD0" w:rsidP="00BE5AD0">
      <w:pPr>
        <w:spacing w:line="360" w:lineRule="auto"/>
        <w:jc w:val="left"/>
        <w:rPr>
          <w:rFonts w:ascii="Times New Roman" w:eastAsia="等线" w:hAnsi="Times New Roman" w:cs="Times New Roman"/>
          <w:b/>
          <w:bCs/>
          <w:sz w:val="24"/>
          <w:szCs w:val="24"/>
        </w:rPr>
      </w:pPr>
      <w:r w:rsidRPr="00C12697">
        <w:rPr>
          <w:rFonts w:ascii="Times New Roman" w:eastAsia="等线" w:hAnsi="Times New Roman" w:cs="Times New Roman"/>
          <w:b/>
          <w:bCs/>
          <w:sz w:val="24"/>
          <w:szCs w:val="24"/>
        </w:rPr>
        <w:t>Microbiome analysis ---- 16S rRNA gene amplicon sequencing</w:t>
      </w:r>
    </w:p>
    <w:p w14:paraId="525213ED" w14:textId="77777777" w:rsidR="00BE5AD0" w:rsidRPr="00FE211E"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 xml:space="preserve">The 16S rRNA gene amplification procedure was divided into two PCR steps, in the first PCR reaction, the V3-V4 hypervariable region of the 16S rRNA gene was amplified from genomic DNA using primers 341F(CCTACGGGNGGCWGCAG) and 805R(GACTACHVGGGTATCTAATCC). Amplification was performed in 96-well microtiter plates with a reaction mixture consisting of 1X KAPA HiFi Hot start Ready Mix, 0.1µM primer 341 F, 0.1 µM primer 805 R, and 12.5 ng template DNA giving a total volume of 50 µL per sample. Reactions were run in a T100 PCR thermocycle (BIO-RAD) according to the following cycling program: 3 min of denaturation at 94 °C, followed by 18 cycles of 30 s at 94 °C (denaturing), 30 s at 55 °C (annealing), and 30 s at 72 °C (elongation), with a final extension at 72 °C for 5 min. Subsequently, the amplified products were checked by 2% agarose gel electrophoresis and ethidium bromide staining. Amplicons were quantified using the Qubit quantification system (Thermo Scientific, Wilmington, DE, US) following the manufacturers’ instructions. Sequencing primers and adaptors were added to the amplicon products in the second PCR step as follows 2 µL of the diluted amplicons were mixed with a reaction solution consisting of 1×KAPA HiFi Hotstart ReadyMix, 0.5µM fusion forward and 0.5µM fusion reverse primer, 30 ng Meta-gDNA(total volume 50 µL). The PCR was run according to the cycling program above except with cycling number of 12. The amplification products were purified with Agencourt AMPure XP Beads (Beckman Coulter Genomics, MA, USA) according to the manufacturer’s instructions and quantified as described above. Equimolar amounts of the amplification products were </w:t>
      </w:r>
      <w:r w:rsidRPr="00FE211E">
        <w:rPr>
          <w:rFonts w:ascii="Times New Roman" w:eastAsia="等线" w:hAnsi="Times New Roman" w:cs="Times New Roman"/>
          <w:sz w:val="24"/>
        </w:rPr>
        <w:lastRenderedPageBreak/>
        <w:t>pooled together in a single tube. The concentration of the pooled libraries was determined by the Qubit quantification system. Amplicon sequencing was performed on the Illumina MiSeq System (Illumina Inc., CA, USA). The MiSeq Reagent Kits v2 (Illumina Inc.) was used. Automated cluster generation and 2 × 250 bp paired-end sequencing with dual-index reads were performed.</w:t>
      </w:r>
    </w:p>
    <w:p w14:paraId="31D35CB1" w14:textId="77777777" w:rsidR="00BE5AD0" w:rsidRPr="00FE211E" w:rsidRDefault="00BE5AD0" w:rsidP="00BE5AD0">
      <w:pPr>
        <w:spacing w:line="360" w:lineRule="auto"/>
        <w:jc w:val="left"/>
        <w:rPr>
          <w:rFonts w:ascii="Times New Roman" w:eastAsia="等线" w:hAnsi="Times New Roman" w:cs="Times New Roman"/>
          <w:sz w:val="24"/>
        </w:rPr>
      </w:pPr>
    </w:p>
    <w:p w14:paraId="1497B3DE" w14:textId="77777777" w:rsidR="00BE5AD0" w:rsidRPr="00C12697" w:rsidRDefault="00BE5AD0" w:rsidP="00BE5AD0">
      <w:pPr>
        <w:spacing w:line="360" w:lineRule="auto"/>
        <w:jc w:val="left"/>
        <w:rPr>
          <w:rFonts w:ascii="Times New Roman" w:eastAsia="等线" w:hAnsi="Times New Roman" w:cs="Times New Roman"/>
          <w:b/>
          <w:bCs/>
          <w:sz w:val="24"/>
          <w:szCs w:val="24"/>
        </w:rPr>
      </w:pPr>
      <w:r w:rsidRPr="00C12697">
        <w:rPr>
          <w:rFonts w:ascii="Times New Roman" w:eastAsia="等线" w:hAnsi="Times New Roman" w:cs="Times New Roman"/>
          <w:b/>
          <w:bCs/>
          <w:sz w:val="24"/>
          <w:szCs w:val="24"/>
        </w:rPr>
        <w:t>Microbiome analysis ---- 16S rRNA gene sequence data processing</w:t>
      </w:r>
    </w:p>
    <w:p w14:paraId="1ADBFCA7" w14:textId="43B43BD8" w:rsidR="00BE5AD0" w:rsidRPr="00D83001"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 xml:space="preserve">Fastq-files were demultiplexed by the MiSeq Controller Software (Illumina Inc.). The sequence was trimmed for amplification primers, diversity spacers, and sequencing adapters, merge-paired and quality filtered by USEARCH. UPARSE was used for OTU clustering equaling or above 97%. Taxonomy of the OTUs was assigned and sequences were aligned with RDP classifier. The OTUs were analyzed by phylogenetic and operational taxonomic unit (OTU) methods in the Quantitative Insights into Microbial Ecology (QIIME) software version 1.9.0 </w:t>
      </w:r>
      <w:r w:rsidRPr="00FE211E">
        <w:rPr>
          <w:rFonts w:ascii="Times New Roman" w:eastAsia="等线" w:hAnsi="Times New Roman" w:cs="Times New Roman"/>
          <w:sz w:val="24"/>
        </w:rPr>
        <w:fldChar w:fldCharType="begin" w:fldLock="1"/>
      </w:r>
      <w:r w:rsidR="00256D2D">
        <w:rPr>
          <w:rFonts w:ascii="Times New Roman" w:eastAsia="等线" w:hAnsi="Times New Roman" w:cs="Times New Roman"/>
          <w:sz w:val="24"/>
        </w:rPr>
        <w:instrText>ADDIN CSL_CITATION {"citationItems":[{"id":"ITEM-1","itemData":{"DOI":"10.1038/nmeth.f.303","author":[{"dropping-particle":"","family":"Caporaso","given":"J Gregory","non-dropping-particle":"","parse-names":false,"suffix":""},{"dropping-particle":"","family":"Kuczynski","given":"Justin","non-dropping-particle":"","parse-names":false,"suffix":""},{"dropping-particle":"","family":"Stombaugh","given":"Jesse","non-dropping-particle":"","parse-names":false,"suffix":""},{"dropping-particle":"","family":"Bittinger","given":"Kyle","non-dropping-particle":"","parse-names":false,"suffix":""},{"dropping-particle":"","family":"Bushman","given":"Frederic D","non-dropping-particle":"","parse-names":false,"suffix":""},{"dropping-particle":"","family":"Costello","given":"Elizabeth K","non-dropping-particle":"","parse-names":false,"suffix":""},{"dropping-particle":"","family":"Fierer","given":"Noah","non-dropping-particle":"","parse-names":false,"suffix":""},{"dropping-particle":"","family":"Peña","given":"Antonio Gonzalez","non-dropping-particle":"","parse-names":false,"suffix":""},{"dropping-particle":"","family":"Goodrich","given":"K","non-dropping-particle":"","parse-names":false,"suffix":""},{"dropping-particle":"","family":"Gordon","given":"Jeffrey I","non-dropping-particle":"","parse-names":false,"suffix":""},{"dropping-particle":"","family":"Huttley","given":"Gavin A","non-dropping-particle":"","parse-names":false,"suffix":""},{"dropping-particle":"","family":"Kelley","given":"Scott T","non-dropping-particle":"","parse-names":false,"suffix":""},{"dropping-particle":"","family":"Knights","given":"Dan","non-dropping-particle":"","parse-names":false,"suffix":""},{"dropping-particle":"","family":"Jeremy","given":"E","non-dropping-particle":"","parse-names":false,"suffix":""},{"dropping-particle":"","family":"Ley","given":"Ruth E","non-dropping-particle":"","parse-names":false,"suffix":""},{"dropping-particle":"","family":"Lozupone","given":"Catherine A","non-dropping-particle":"","parse-names":false,"suffix":""},{"dropping-particle":"","family":"Mcdonald","given":"Daniel","non-dropping-particle":"","parse-names":false,"suffix":""},{"dropping-particle":"","family":"Muegge","given":"Brian D","non-dropping-particle":"","parse-names":false,"suffix":""},{"dropping-particle":"","family":"Reeder","given":"Jens","non-dropping-particle":"","parse-names":false,"suffix":""},{"dropping-particle":"","family":"Sevinsky","given":"Joel R","non-dropping-particle":"","parse-names":false,"suffix":""},{"dropping-particle":"","family":"Turnbaugh","given":"Peter J","non-dropping-particle":"","parse-names":false,"suffix":""},{"dropping-particle":"","family":"Walters","given":"William A","non-dropping-particle":"","parse-names":false,"suffix":""}],"container-title":"Nat Methods","id":"ITEM-1","issue":"5","issued":{"date-parts":[["2010"]]},"page":"335-336","title":"QIIME allows analysis of high-throughput community sequencing data","type":"article-journal","volume":"7"},"uris":["http://www.mendeley.com/documents/?uuid=912a2b5c-a495-4d8c-9e0e-7c8486cbd6a2"]}],"mendeley":{"formattedCitation":"[8]","plainTextFormattedCitation":"[8]","previouslyFormattedCitation":"[8]"},"properties":{"noteIndex":0},"schema":"https://github.com/citation-style-language/schema/raw/master/csl-citation.json"}</w:instrText>
      </w:r>
      <w:r w:rsidRPr="00FE211E">
        <w:rPr>
          <w:rFonts w:ascii="Times New Roman" w:eastAsia="等线" w:hAnsi="Times New Roman" w:cs="Times New Roman"/>
          <w:sz w:val="24"/>
        </w:rPr>
        <w:fldChar w:fldCharType="separate"/>
      </w:r>
      <w:r w:rsidR="00256D2D" w:rsidRPr="00256D2D">
        <w:rPr>
          <w:rFonts w:ascii="Times New Roman" w:eastAsia="等线" w:hAnsi="Times New Roman" w:cs="Times New Roman"/>
          <w:noProof/>
          <w:sz w:val="24"/>
        </w:rPr>
        <w:t>[8]</w:t>
      </w:r>
      <w:r w:rsidRPr="00FE211E">
        <w:rPr>
          <w:rFonts w:ascii="Times New Roman" w:eastAsia="等线" w:hAnsi="Times New Roman" w:cs="Times New Roman"/>
          <w:sz w:val="24"/>
        </w:rPr>
        <w:fldChar w:fldCharType="end"/>
      </w:r>
      <w:r w:rsidRPr="00FE211E">
        <w:rPr>
          <w:rFonts w:ascii="Times New Roman" w:eastAsia="等线" w:hAnsi="Times New Roman" w:cs="Times New Roman"/>
          <w:sz w:val="24"/>
        </w:rPr>
        <w:t>.</w:t>
      </w:r>
      <w:r>
        <w:rPr>
          <w:rFonts w:ascii="Times New Roman" w:eastAsia="等线" w:hAnsi="Times New Roman" w:cs="Times New Roman"/>
          <w:sz w:val="24"/>
        </w:rPr>
        <w:t xml:space="preserve"> </w:t>
      </w:r>
      <w:r w:rsidRPr="00D83001">
        <w:rPr>
          <w:rFonts w:ascii="Times New Roman" w:eastAsia="等线" w:hAnsi="Times New Roman" w:cs="Times New Roman"/>
          <w:sz w:val="24"/>
        </w:rPr>
        <w:t>Phylogenetic relationships and the taxonomy of representative OTU sequences were determined using the GreenGenes database in default.</w:t>
      </w:r>
    </w:p>
    <w:p w14:paraId="04786492" w14:textId="77777777" w:rsidR="00BE5AD0" w:rsidRPr="00FE211E" w:rsidRDefault="00BE5AD0" w:rsidP="00BE5AD0">
      <w:pPr>
        <w:spacing w:line="360" w:lineRule="auto"/>
        <w:jc w:val="left"/>
        <w:rPr>
          <w:rFonts w:ascii="Times New Roman" w:eastAsia="等线" w:hAnsi="Times New Roman" w:cs="Times New Roman"/>
          <w:sz w:val="24"/>
        </w:rPr>
      </w:pPr>
    </w:p>
    <w:p w14:paraId="19B6D69C" w14:textId="77777777" w:rsidR="00BE5AD0" w:rsidRPr="00C12697" w:rsidRDefault="00BE5AD0" w:rsidP="00BE5AD0">
      <w:pPr>
        <w:spacing w:line="360" w:lineRule="auto"/>
        <w:jc w:val="left"/>
        <w:rPr>
          <w:rFonts w:ascii="Times New Roman" w:eastAsia="等线" w:hAnsi="Times New Roman" w:cs="Times New Roman"/>
          <w:b/>
          <w:bCs/>
          <w:sz w:val="24"/>
        </w:rPr>
      </w:pPr>
      <w:r w:rsidRPr="00C12697">
        <w:rPr>
          <w:rFonts w:ascii="Times New Roman" w:eastAsia="等线" w:hAnsi="Times New Roman" w:cs="Times New Roman"/>
          <w:b/>
          <w:bCs/>
          <w:sz w:val="24"/>
          <w:szCs w:val="24"/>
        </w:rPr>
        <w:t xml:space="preserve">Metabolomic analysis ---- sample preparation and instrumentation </w:t>
      </w:r>
    </w:p>
    <w:p w14:paraId="1653E089" w14:textId="77777777" w:rsidR="00BE5AD0" w:rsidRDefault="00BE5AD0" w:rsidP="00BE5AD0">
      <w:pPr>
        <w:spacing w:line="360" w:lineRule="auto"/>
        <w:jc w:val="left"/>
        <w:rPr>
          <w:rFonts w:ascii="Times New Roman" w:eastAsia="宋体" w:hAnsi="Times New Roman" w:cs="Times New Roman"/>
          <w:color w:val="000000"/>
          <w:kern w:val="0"/>
          <w:sz w:val="24"/>
          <w:lang w:bidi="ar"/>
        </w:rPr>
      </w:pPr>
      <w:r w:rsidRPr="00FE211E">
        <w:rPr>
          <w:rFonts w:ascii="Times New Roman" w:eastAsia="等线" w:hAnsi="Times New Roman" w:cs="Times New Roman" w:hint="eastAsia"/>
          <w:sz w:val="24"/>
        </w:rPr>
        <w:t>Targeted metabolomics approach was used to analyze fecal samples, with a total of 19</w:t>
      </w:r>
      <w:r w:rsidRPr="00FE211E">
        <w:rPr>
          <w:rFonts w:ascii="Times New Roman" w:eastAsia="等线" w:hAnsi="Times New Roman" w:cs="Times New Roman"/>
          <w:sz w:val="24"/>
        </w:rPr>
        <w:t>8</w:t>
      </w:r>
      <w:r w:rsidRPr="00FE211E">
        <w:rPr>
          <w:rFonts w:ascii="Times New Roman" w:eastAsia="等线" w:hAnsi="Times New Roman" w:cs="Times New Roman" w:hint="eastAsia"/>
          <w:sz w:val="24"/>
        </w:rPr>
        <w:t xml:space="preserve"> metabolites quantified. </w:t>
      </w:r>
      <w:r w:rsidRPr="00FE211E">
        <w:rPr>
          <w:rFonts w:ascii="Times New Roman" w:eastAsia="宋体" w:hAnsi="Times New Roman" w:cs="Times New Roman"/>
          <w:color w:val="000000"/>
          <w:kern w:val="0"/>
          <w:sz w:val="24"/>
          <w:lang w:bidi="ar"/>
        </w:rPr>
        <w:t xml:space="preserve">Feces samples were thawed on ice-bath to diminish degradation. About 10mg of each sample was weighed and transferred to a new 1.5mL tube. Then 25μL of water was added and the sample was homogenated with zirconium oxide beads for 3 minutes. 185μL of ACN/Methanol (8/2) was added to extract the metabolites. The sample was centrifuged at 18000g for 20 minutes. Then the supernatant was transferred to a 96-well plate. The following procedures were performed on a Biomek 4000 workstation (Biomek 4000, Beckman Coulter, Inc., Brea, California, USA). 20μL of freshly prepared derivative reagents was added to each well. The plate was sealed and the derivatization was carried out at 30°C for 60 min. After derivatization, 350μL of ice-cold 50% methanol solution was added to dilute the sample. Then the plate was stored at -20°C for 20 minutes and followed by </w:t>
      </w:r>
      <w:r w:rsidRPr="00FE211E">
        <w:rPr>
          <w:rFonts w:ascii="Times New Roman" w:eastAsia="宋体" w:hAnsi="Times New Roman" w:cs="Times New Roman"/>
          <w:color w:val="000000"/>
          <w:kern w:val="0"/>
          <w:sz w:val="24"/>
          <w:lang w:bidi="ar"/>
        </w:rPr>
        <w:lastRenderedPageBreak/>
        <w:t>4000g centrifugation at 4 °C for 30 minutes. 135μL of supernatant was transferred to a new 96-well plate with 15μL internal standards in each well. Serial dilutions of derivatized stock standards were added to the left wells. Finally the plate was sealed for LC-MS analysis.</w:t>
      </w:r>
    </w:p>
    <w:p w14:paraId="2AD9B4A6" w14:textId="77777777" w:rsidR="00BE5AD0" w:rsidRPr="00FE211E" w:rsidRDefault="00BE5AD0" w:rsidP="00BE5AD0">
      <w:pPr>
        <w:spacing w:line="360" w:lineRule="auto"/>
        <w:jc w:val="left"/>
        <w:rPr>
          <w:rFonts w:ascii="Times New Roman" w:eastAsia="宋体" w:hAnsi="Times New Roman" w:cs="Times New Roman"/>
          <w:color w:val="000000"/>
          <w:kern w:val="0"/>
          <w:sz w:val="24"/>
          <w:lang w:bidi="ar"/>
        </w:rPr>
      </w:pPr>
    </w:p>
    <w:p w14:paraId="7CF405B7" w14:textId="77777777" w:rsidR="00BE5AD0" w:rsidRPr="00FE211E" w:rsidRDefault="00BE5AD0" w:rsidP="00BE5AD0">
      <w:pPr>
        <w:spacing w:line="360" w:lineRule="auto"/>
        <w:jc w:val="left"/>
        <w:rPr>
          <w:rFonts w:ascii="Times New Roman" w:eastAsia="等线" w:hAnsi="Times New Roman" w:cs="Times New Roman"/>
          <w:sz w:val="24"/>
        </w:rPr>
      </w:pPr>
      <w:r w:rsidRPr="00FE211E">
        <w:rPr>
          <w:rFonts w:ascii="Times New Roman" w:eastAsia="等线" w:hAnsi="Times New Roman" w:cs="Times New Roman"/>
          <w:sz w:val="24"/>
        </w:rPr>
        <w:t>An ultra-performance liquid chromatography coupled to tandem mass spectrometry (UPLC-MS/MS) system (ACQUITY UPLC-Xevo TQ-S, Waters Corp., Milford, MA, USA) was used to quantitate the microbial metabolite in the present study. The optimized instrument settings are briefly described below. ACQUITY UPLC BEH C18 1.7 µM VanGuard pre-column (2.1×5 mm) and ACQUITY UPLC BEH C18 1.7 µM analytical column (2.1 × 100 mm) were used. The column temperature was 40℃ and sample manager temperature was 10℃. Mobile phase A was water with 0.1% formic acid, and B was acetonitrile / IPA (90:10). The gradient conditions were as follows: 0-1 min (5% B), 1-12 min (5-80% B), 12-15 min (80-95% B), 15-16 min (95-100%B), 16-18 min (100%B), 18-18.1 min (100-5% B), 18.1-20 min (5% B), at a flow rate of 0.40 mL/min. The capillary of mass spectrometer were 1.5 (ESI+) and 2.0 (ESI-), while the source temperature and desolvation temperature was 150℃ and 550℃, respectively. The desolvation gas flow was 1000 L/hour.</w:t>
      </w:r>
    </w:p>
    <w:p w14:paraId="388C2D46" w14:textId="77777777" w:rsidR="00BE5AD0" w:rsidRPr="00FE211E" w:rsidRDefault="00BE5AD0" w:rsidP="00BE5AD0">
      <w:pPr>
        <w:spacing w:line="360" w:lineRule="auto"/>
        <w:jc w:val="left"/>
        <w:rPr>
          <w:rFonts w:ascii="Times New Roman" w:eastAsia="等线" w:hAnsi="Times New Roman" w:cs="Times New Roman"/>
          <w:sz w:val="24"/>
        </w:rPr>
      </w:pPr>
    </w:p>
    <w:p w14:paraId="74B1B091" w14:textId="77777777" w:rsidR="00BE5AD0" w:rsidRPr="00C12697" w:rsidRDefault="00BE5AD0" w:rsidP="00BE5AD0">
      <w:pPr>
        <w:spacing w:line="360" w:lineRule="auto"/>
        <w:jc w:val="left"/>
        <w:rPr>
          <w:rFonts w:ascii="Times New Roman" w:eastAsia="等线" w:hAnsi="Times New Roman" w:cs="Times New Roman"/>
          <w:b/>
          <w:bCs/>
          <w:sz w:val="24"/>
          <w:szCs w:val="24"/>
        </w:rPr>
      </w:pPr>
      <w:r w:rsidRPr="00C12697">
        <w:rPr>
          <w:rFonts w:ascii="Times New Roman" w:eastAsia="等线" w:hAnsi="Times New Roman" w:cs="Times New Roman"/>
          <w:b/>
          <w:bCs/>
          <w:sz w:val="24"/>
          <w:szCs w:val="24"/>
        </w:rPr>
        <w:t xml:space="preserve">Metabolome analysis ---- Analytical quality control procedures </w:t>
      </w:r>
    </w:p>
    <w:p w14:paraId="5FCF9838"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The rapid turnover of many intracellular metabolites makes immediate metabolism quenching necessary. The extraction solvents are stored in -20°C freezer overnight and added to the samples immediately after the samples were thawed. We use ice-salt bath to keep the samples at a low temperature and minimize sample degradation</w:t>
      </w:r>
      <w:r w:rsidRPr="00FE211E">
        <w:rPr>
          <w:rFonts w:ascii="Times New Roman" w:eastAsia="宋体" w:hAnsi="Times New Roman" w:cs="Times New Roman" w:hint="eastAsia"/>
          <w:color w:val="000000"/>
          <w:kern w:val="0"/>
          <w:sz w:val="24"/>
          <w:lang w:bidi="ar"/>
        </w:rPr>
        <w:t xml:space="preserve"> </w:t>
      </w:r>
      <w:r w:rsidRPr="00FE211E">
        <w:rPr>
          <w:rFonts w:ascii="Times New Roman" w:eastAsia="宋体" w:hAnsi="Times New Roman" w:cs="Times New Roman"/>
          <w:color w:val="000000"/>
          <w:kern w:val="0"/>
          <w:sz w:val="24"/>
          <w:lang w:bidi="ar"/>
        </w:rPr>
        <w:t xml:space="preserve">during sample preparation. All the prepared samples should be analyzed within 48 hours after sample extraction and derivatization. </w:t>
      </w:r>
    </w:p>
    <w:p w14:paraId="3A0F8BC3"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p>
    <w:p w14:paraId="01719581"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A comprehensive set of rigorous quality control/assurance procedures is</w:t>
      </w:r>
      <w:r w:rsidRPr="00FE211E">
        <w:rPr>
          <w:rFonts w:ascii="Times New Roman" w:eastAsia="宋体" w:hAnsi="Times New Roman" w:cs="Times New Roman" w:hint="eastAsia"/>
          <w:color w:val="000000"/>
          <w:kern w:val="0"/>
          <w:sz w:val="24"/>
          <w:lang w:bidi="ar"/>
        </w:rPr>
        <w:t xml:space="preserve"> </w:t>
      </w:r>
      <w:r w:rsidRPr="00FE211E">
        <w:rPr>
          <w:rFonts w:ascii="Times New Roman" w:eastAsia="宋体" w:hAnsi="Times New Roman" w:cs="Times New Roman"/>
          <w:color w:val="000000"/>
          <w:kern w:val="0"/>
          <w:sz w:val="24"/>
          <w:lang w:bidi="ar"/>
        </w:rPr>
        <w:t>employed to ensure a consistently high quality of analytical results, throughout</w:t>
      </w:r>
      <w:r w:rsidRPr="00FE211E">
        <w:rPr>
          <w:rFonts w:ascii="Times New Roman" w:eastAsia="宋体" w:hAnsi="Times New Roman" w:cs="Times New Roman" w:hint="eastAsia"/>
          <w:color w:val="000000"/>
          <w:kern w:val="0"/>
          <w:sz w:val="24"/>
          <w:lang w:bidi="ar"/>
        </w:rPr>
        <w:t xml:space="preserve"> </w:t>
      </w:r>
      <w:r w:rsidRPr="00FE211E">
        <w:rPr>
          <w:rFonts w:ascii="Times New Roman" w:eastAsia="宋体" w:hAnsi="Times New Roman" w:cs="Times New Roman"/>
          <w:color w:val="000000"/>
          <w:kern w:val="0"/>
          <w:sz w:val="24"/>
          <w:lang w:bidi="ar"/>
        </w:rPr>
        <w:t xml:space="preserve">controlling every single step from sample receipt at laboratory to final deliverables. </w:t>
      </w:r>
    </w:p>
    <w:p w14:paraId="7D812B49"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lastRenderedPageBreak/>
        <w:t xml:space="preserve">The ultimate goal of QA/QC is to provide the reliable data for biomarker discovery </w:t>
      </w:r>
    </w:p>
    <w:p w14:paraId="5F667CEA"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study and/ or to aid molecular biology research. To achieve this, three types of quality </w:t>
      </w:r>
    </w:p>
    <w:p w14:paraId="79D309E0"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control samples i.e., test mixtures, internal standards, and pooled biological samples </w:t>
      </w:r>
    </w:p>
    <w:p w14:paraId="302ED3A8"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are routinely used in </w:t>
      </w:r>
      <w:r w:rsidRPr="00FE211E">
        <w:rPr>
          <w:rFonts w:ascii="Times New Roman" w:eastAsia="宋体" w:hAnsi="Times New Roman" w:cs="Times New Roman" w:hint="eastAsia"/>
          <w:color w:val="000000"/>
          <w:kern w:val="0"/>
          <w:sz w:val="24"/>
          <w:lang w:bidi="ar"/>
        </w:rPr>
        <w:t xml:space="preserve">the </w:t>
      </w:r>
      <w:r w:rsidRPr="00FE211E">
        <w:rPr>
          <w:rFonts w:ascii="Times New Roman" w:eastAsia="宋体" w:hAnsi="Times New Roman" w:cs="Times New Roman"/>
          <w:color w:val="000000"/>
          <w:kern w:val="0"/>
          <w:sz w:val="24"/>
          <w:lang w:bidi="ar"/>
        </w:rPr>
        <w:t xml:space="preserve">metabolomics platform. In addition to the quality controls, </w:t>
      </w:r>
    </w:p>
    <w:p w14:paraId="0F7AA27C"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conditioning samples, and solvent blank samples are also required for obtaining </w:t>
      </w:r>
    </w:p>
    <w:p w14:paraId="6EB82957" w14:textId="70F0054C" w:rsidR="00BE5AD0"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 xml:space="preserve">optimal instrument performance. </w:t>
      </w:r>
    </w:p>
    <w:p w14:paraId="4308193D" w14:textId="77777777" w:rsidR="00882DAD" w:rsidRPr="00882DAD" w:rsidRDefault="00882DAD" w:rsidP="00BE5AD0">
      <w:pPr>
        <w:widowControl/>
        <w:spacing w:line="360" w:lineRule="auto"/>
        <w:jc w:val="left"/>
        <w:rPr>
          <w:rFonts w:ascii="Times New Roman" w:eastAsia="宋体" w:hAnsi="Times New Roman" w:cs="Times New Roman" w:hint="eastAsia"/>
          <w:color w:val="000000"/>
          <w:kern w:val="0"/>
          <w:sz w:val="24"/>
          <w:lang w:bidi="ar"/>
        </w:rPr>
      </w:pPr>
    </w:p>
    <w:p w14:paraId="2A16D496"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Test mixtures comprise a group of commercially available standards with a mass </w:t>
      </w:r>
    </w:p>
    <w:p w14:paraId="48E63A36"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range across the system mass range used for the study samples. These samples were </w:t>
      </w:r>
    </w:p>
    <w:p w14:paraId="4353FA8A"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analyzed at the beginning and end of each batch run to ensure that the instruments </w:t>
      </w:r>
    </w:p>
    <w:p w14:paraId="07BF6092"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were performing within laboratory specifications (retention time stability, </w:t>
      </w:r>
    </w:p>
    <w:p w14:paraId="53E86BBF"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chromatographic peak shape, and peak signal intensity). The retention time shift </w:t>
      </w:r>
    </w:p>
    <w:p w14:paraId="167A6CC2"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should be within 4 sec. and the difference of peak intensity should be within 15% for </w:t>
      </w:r>
    </w:p>
    <w:p w14:paraId="71AB174E"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LC-MS.</w:t>
      </w:r>
    </w:p>
    <w:p w14:paraId="4BA9FA74"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p>
    <w:p w14:paraId="52FA1C5D"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Internal standards were added to the test samples in order to monitor analytical </w:t>
      </w:r>
    </w:p>
    <w:p w14:paraId="601F0F06"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variations during the entire sample preparation and analysis processes. The Pooled </w:t>
      </w:r>
    </w:p>
    <w:p w14:paraId="229040F5"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QC samples were prepared by mixing aliquots of the study samples such that the </w:t>
      </w:r>
    </w:p>
    <w:p w14:paraId="1318C070"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pooled samples broadly represent the biological average of the whole sample set. The </w:t>
      </w:r>
    </w:p>
    <w:p w14:paraId="379B3C77"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QC samples for this project were prepared with the test samples and injected at </w:t>
      </w:r>
    </w:p>
    <w:p w14:paraId="596B6869"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regular intervals (after every 14 test samples for LC-MS) throughout the analytical run. </w:t>
      </w:r>
    </w:p>
    <w:p w14:paraId="0891736B"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p>
    <w:p w14:paraId="4F05793B"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Reagent blank samples are a mixture of solvents used for sample preparation and </w:t>
      </w:r>
    </w:p>
    <w:p w14:paraId="2008B077"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are commonly processed using the same procedures as the samples to be analyzed. </w:t>
      </w:r>
    </w:p>
    <w:p w14:paraId="08668B84"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The reagent blanks serve as a useful alert to systematic contamination. As the reagent </w:t>
      </w:r>
    </w:p>
    <w:p w14:paraId="610308F7"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blanks consist of high purity solvents and are analyzed using the same methods as the </w:t>
      </w:r>
    </w:p>
    <w:p w14:paraId="4C7BC68B"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study samples, they are also used to wash the column and remove cumulative matrix </w:t>
      </w:r>
    </w:p>
    <w:p w14:paraId="437CA208"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effects throughout the study.</w:t>
      </w:r>
    </w:p>
    <w:p w14:paraId="1F60D716"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p>
    <w:p w14:paraId="61283A16"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lastRenderedPageBreak/>
        <w:t xml:space="preserve">The calibrators consist of a blank sample (matrix sample processed without </w:t>
      </w:r>
    </w:p>
    <w:p w14:paraId="5F4948B0"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internal standard), a zero sample (matrix sample processed with internal standard), </w:t>
      </w:r>
    </w:p>
    <w:p w14:paraId="19767AF5"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and a series of seven concentrations covering the expected range for the metabolites </w:t>
      </w:r>
    </w:p>
    <w:p w14:paraId="7157B582"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present in the specific biological samples. LLOQ and ULOQ are the lowest and </w:t>
      </w:r>
    </w:p>
    <w:p w14:paraId="4CDB3862"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highest concentration of the standard curve that can be measured with acceptable </w:t>
      </w:r>
    </w:p>
    <w:p w14:paraId="110EE0B2"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 xml:space="preserve">accuracy and precision. </w:t>
      </w:r>
    </w:p>
    <w:p w14:paraId="02CEBF05"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p>
    <w:p w14:paraId="5082D8B0"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To diminish analytical bias within the entire analytical process, the samples were </w:t>
      </w:r>
    </w:p>
    <w:p w14:paraId="46BFC8C8"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analyzed in group pairs but the groups were analyzed randomly. The QC samples, </w:t>
      </w:r>
    </w:p>
    <w:p w14:paraId="46868044"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calibrators, and blank samples were analyzed across the entire sample set.</w:t>
      </w:r>
    </w:p>
    <w:p w14:paraId="30F381DA"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 xml:space="preserve"> </w:t>
      </w:r>
    </w:p>
    <w:p w14:paraId="08C9572C" w14:textId="77777777" w:rsidR="00BE5AD0" w:rsidRPr="00C12697" w:rsidRDefault="00BE5AD0" w:rsidP="00BE5AD0">
      <w:pPr>
        <w:spacing w:line="360" w:lineRule="auto"/>
        <w:jc w:val="left"/>
        <w:rPr>
          <w:rFonts w:ascii="Times New Roman" w:eastAsia="等线" w:hAnsi="Times New Roman" w:cs="Times New Roman"/>
          <w:b/>
          <w:bCs/>
          <w:sz w:val="24"/>
          <w:szCs w:val="24"/>
        </w:rPr>
      </w:pPr>
      <w:r w:rsidRPr="00C12697">
        <w:rPr>
          <w:rFonts w:ascii="Times New Roman" w:eastAsia="等线" w:hAnsi="Times New Roman" w:cs="Times New Roman"/>
          <w:b/>
          <w:bCs/>
          <w:sz w:val="24"/>
          <w:szCs w:val="24"/>
        </w:rPr>
        <w:t xml:space="preserve">Metabolome analysis ----Software and quantitation </w:t>
      </w:r>
    </w:p>
    <w:p w14:paraId="2F21F7B2"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The raw data files generated by UPLC-MS/MS were processed using the </w:t>
      </w:r>
    </w:p>
    <w:p w14:paraId="452830CB"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QuanMET software (v2.0, Metabo-Profile, Shanghai, China) to perform peak </w:t>
      </w:r>
    </w:p>
    <w:p w14:paraId="31E4C060"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integration, calibration, and quantification for each metabolite. The current QuanMET is hosted on Dell PowerEdge R730 Servers operated with Linux Ubuntu 16.10 OS. The secured Java UI (User Interface) permits the user have access to use a great variety of statistical tools for viewing and exploring project data.</w:t>
      </w:r>
    </w:p>
    <w:p w14:paraId="2FB4FA8B"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p>
    <w:p w14:paraId="4CFC6DE7"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Mass spectrometry-based quantitative metabolomics refers to the determination </w:t>
      </w:r>
    </w:p>
    <w:p w14:paraId="0B1114BB"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of the concentration of a substance in an unknown sample by comparing the unknown </w:t>
      </w:r>
    </w:p>
    <w:p w14:paraId="29550D4C"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to a set of standard samples of known concentration (i.e., calibration curve). The </w:t>
      </w:r>
    </w:p>
    <w:p w14:paraId="3EEBDB66"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calibration curve is a plot of how the analytical signal changes with the concentration </w:t>
      </w:r>
    </w:p>
    <w:p w14:paraId="794CBA22" w14:textId="77777777" w:rsidR="00BE5AD0" w:rsidRPr="00FE211E" w:rsidRDefault="00BE5AD0" w:rsidP="00BE5AD0">
      <w:pPr>
        <w:widowControl/>
        <w:spacing w:line="360" w:lineRule="auto"/>
        <w:jc w:val="left"/>
        <w:rPr>
          <w:rFonts w:ascii="Times New Roman" w:eastAsia="等线" w:hAnsi="Times New Roman" w:cs="Times New Roman"/>
          <w:sz w:val="24"/>
        </w:rPr>
      </w:pPr>
      <w:r w:rsidRPr="00FE211E">
        <w:rPr>
          <w:rFonts w:ascii="Times New Roman" w:eastAsia="宋体" w:hAnsi="Times New Roman" w:cs="Times New Roman"/>
          <w:color w:val="000000"/>
          <w:kern w:val="0"/>
          <w:sz w:val="24"/>
          <w:lang w:bidi="ar"/>
        </w:rPr>
        <w:t xml:space="preserve">of the analyte (the substance to be measured). For most analyses a plot of instrument </w:t>
      </w:r>
    </w:p>
    <w:p w14:paraId="0F8DA1A4" w14:textId="77777777" w:rsidR="00BE5AD0" w:rsidRPr="00FE211E" w:rsidRDefault="00BE5AD0" w:rsidP="00BE5AD0">
      <w:pPr>
        <w:widowControl/>
        <w:spacing w:line="360" w:lineRule="auto"/>
        <w:jc w:val="left"/>
        <w:rPr>
          <w:rFonts w:ascii="Times New Roman" w:eastAsia="宋体" w:hAnsi="Times New Roman" w:cs="Times New Roman"/>
          <w:color w:val="000000"/>
          <w:kern w:val="0"/>
          <w:sz w:val="24"/>
          <w:lang w:bidi="ar"/>
        </w:rPr>
      </w:pPr>
      <w:r w:rsidRPr="00FE211E">
        <w:rPr>
          <w:rFonts w:ascii="Times New Roman" w:eastAsia="宋体" w:hAnsi="Times New Roman" w:cs="Times New Roman"/>
          <w:color w:val="000000"/>
          <w:kern w:val="0"/>
          <w:sz w:val="24"/>
          <w:lang w:bidi="ar"/>
        </w:rPr>
        <w:t>response vs. concentration will show a linear relationship and the concentration of the measured samples were calculated.</w:t>
      </w:r>
    </w:p>
    <w:p w14:paraId="4A5866F1" w14:textId="77777777" w:rsidR="00BE5AD0" w:rsidRPr="00BE5AD0" w:rsidRDefault="00BE5AD0" w:rsidP="00FE211E">
      <w:pPr>
        <w:widowControl/>
        <w:spacing w:line="360" w:lineRule="auto"/>
        <w:jc w:val="left"/>
        <w:rPr>
          <w:rFonts w:ascii="Times New Roman" w:eastAsia="等线" w:hAnsi="Times New Roman" w:cs="Times New Roman"/>
          <w:b/>
          <w:bCs/>
          <w:sz w:val="24"/>
          <w:szCs w:val="24"/>
        </w:rPr>
      </w:pPr>
    </w:p>
    <w:p w14:paraId="683A05C9" w14:textId="77F3E3B5" w:rsidR="00C12697" w:rsidRDefault="00C12697" w:rsidP="00FE211E">
      <w:pPr>
        <w:spacing w:line="360" w:lineRule="auto"/>
        <w:rPr>
          <w:rFonts w:ascii="Times New Roman" w:eastAsia="等线" w:hAnsi="Times New Roman" w:cs="Times New Roman"/>
          <w:sz w:val="24"/>
        </w:rPr>
      </w:pPr>
    </w:p>
    <w:p w14:paraId="62738A85" w14:textId="0595F327" w:rsidR="00F13516" w:rsidRDefault="00F13516" w:rsidP="00FE211E">
      <w:pPr>
        <w:spacing w:line="360" w:lineRule="auto"/>
        <w:rPr>
          <w:rFonts w:ascii="Times New Roman" w:eastAsia="等线" w:hAnsi="Times New Roman" w:cs="Times New Roman"/>
          <w:sz w:val="24"/>
        </w:rPr>
      </w:pPr>
    </w:p>
    <w:p w14:paraId="649DC2AF" w14:textId="355385A2" w:rsidR="00F13516" w:rsidRDefault="00F13516" w:rsidP="00FE211E">
      <w:pPr>
        <w:spacing w:line="360" w:lineRule="auto"/>
        <w:rPr>
          <w:rFonts w:ascii="Times New Roman" w:eastAsia="等线" w:hAnsi="Times New Roman" w:cs="Times New Roman"/>
          <w:sz w:val="24"/>
        </w:rPr>
      </w:pPr>
    </w:p>
    <w:p w14:paraId="458033D3" w14:textId="3C22FF14" w:rsidR="00C14C57" w:rsidRPr="00C14C57" w:rsidRDefault="00C14C57" w:rsidP="00FE211E">
      <w:pPr>
        <w:spacing w:line="360" w:lineRule="auto"/>
        <w:rPr>
          <w:rFonts w:ascii="Times New Roman" w:eastAsia="等线" w:hAnsi="Times New Roman" w:cs="Times New Roman"/>
          <w:b/>
          <w:bCs/>
          <w:sz w:val="24"/>
        </w:rPr>
      </w:pPr>
      <w:bookmarkStart w:id="3" w:name="_Hlk44347028"/>
      <w:r w:rsidRPr="00C14C57">
        <w:rPr>
          <w:rFonts w:ascii="Times New Roman" w:eastAsia="等线" w:hAnsi="Times New Roman" w:cs="Times New Roman" w:hint="eastAsia"/>
          <w:b/>
          <w:bCs/>
          <w:sz w:val="24"/>
        </w:rPr>
        <w:lastRenderedPageBreak/>
        <w:t>R</w:t>
      </w:r>
      <w:r w:rsidRPr="00C14C57">
        <w:rPr>
          <w:rFonts w:ascii="Times New Roman" w:eastAsia="等线" w:hAnsi="Times New Roman" w:cs="Times New Roman"/>
          <w:b/>
          <w:bCs/>
          <w:sz w:val="24"/>
        </w:rPr>
        <w:t>eference</w:t>
      </w:r>
    </w:p>
    <w:p w14:paraId="719A5181" w14:textId="6083F216" w:rsidR="00376D12" w:rsidRPr="00376D12" w:rsidRDefault="00C14C57" w:rsidP="00376D12">
      <w:pPr>
        <w:autoSpaceDE w:val="0"/>
        <w:autoSpaceDN w:val="0"/>
        <w:adjustRightInd w:val="0"/>
        <w:spacing w:line="360" w:lineRule="auto"/>
        <w:jc w:val="left"/>
        <w:rPr>
          <w:rFonts w:ascii="Times New Roman" w:hAnsi="Times New Roman" w:cs="Times New Roman"/>
          <w:noProof/>
          <w:kern w:val="0"/>
          <w:sz w:val="24"/>
          <w:szCs w:val="24"/>
        </w:rPr>
      </w:pPr>
      <w:r>
        <w:rPr>
          <w:rFonts w:ascii="Times New Roman" w:eastAsia="等线" w:hAnsi="Times New Roman" w:cs="Times New Roman"/>
          <w:sz w:val="24"/>
        </w:rPr>
        <w:fldChar w:fldCharType="begin" w:fldLock="1"/>
      </w:r>
      <w:r>
        <w:rPr>
          <w:rFonts w:ascii="Times New Roman" w:eastAsia="等线" w:hAnsi="Times New Roman" w:cs="Times New Roman"/>
          <w:sz w:val="24"/>
        </w:rPr>
        <w:instrText xml:space="preserve">ADDIN Mendeley Bibliography CSL_BIBLIOGRAPHY </w:instrText>
      </w:r>
      <w:r>
        <w:rPr>
          <w:rFonts w:ascii="Times New Roman" w:eastAsia="等线" w:hAnsi="Times New Roman" w:cs="Times New Roman"/>
          <w:sz w:val="24"/>
        </w:rPr>
        <w:fldChar w:fldCharType="separate"/>
      </w:r>
      <w:r w:rsidR="00376D12" w:rsidRPr="00376D12">
        <w:rPr>
          <w:rFonts w:ascii="Times New Roman" w:hAnsi="Times New Roman" w:cs="Times New Roman"/>
          <w:noProof/>
          <w:kern w:val="0"/>
          <w:sz w:val="24"/>
          <w:szCs w:val="24"/>
        </w:rPr>
        <w:t xml:space="preserve">1. Zhang CX HS. Validity and reproducibility of a food frequency Questionnaire among Chinese women in Guangdong province. Asia Pac J Clin Nutr. 2009;18:240–50. </w:t>
      </w:r>
    </w:p>
    <w:p w14:paraId="4835C643" w14:textId="77777777" w:rsidR="00376D12" w:rsidRPr="00376D12" w:rsidRDefault="00376D12" w:rsidP="00376D12">
      <w:pPr>
        <w:autoSpaceDE w:val="0"/>
        <w:autoSpaceDN w:val="0"/>
        <w:adjustRightInd w:val="0"/>
        <w:spacing w:line="360" w:lineRule="auto"/>
        <w:jc w:val="left"/>
        <w:rPr>
          <w:rFonts w:ascii="Times New Roman" w:hAnsi="Times New Roman" w:cs="Times New Roman"/>
          <w:noProof/>
          <w:kern w:val="0"/>
          <w:sz w:val="24"/>
          <w:szCs w:val="24"/>
        </w:rPr>
      </w:pPr>
      <w:r w:rsidRPr="00376D12">
        <w:rPr>
          <w:rFonts w:ascii="Times New Roman" w:hAnsi="Times New Roman" w:cs="Times New Roman"/>
          <w:noProof/>
          <w:kern w:val="0"/>
          <w:sz w:val="24"/>
          <w:szCs w:val="24"/>
        </w:rPr>
        <w:t xml:space="preserve">2. Liu B, Woo J, Tang N, Ng K, Ip R, Yu A. Assessment of total energy expenditure in a Chinese population by a physical  activity questionnaire: examination of validity. International journal of food sciences and nutrition. England; 2001;52:269–82. </w:t>
      </w:r>
    </w:p>
    <w:p w14:paraId="5203D0AE" w14:textId="77777777" w:rsidR="00376D12" w:rsidRPr="00376D12" w:rsidRDefault="00376D12" w:rsidP="00376D12">
      <w:pPr>
        <w:autoSpaceDE w:val="0"/>
        <w:autoSpaceDN w:val="0"/>
        <w:adjustRightInd w:val="0"/>
        <w:spacing w:line="360" w:lineRule="auto"/>
        <w:jc w:val="left"/>
        <w:rPr>
          <w:rFonts w:ascii="Times New Roman" w:hAnsi="Times New Roman" w:cs="Times New Roman"/>
          <w:noProof/>
          <w:kern w:val="0"/>
          <w:sz w:val="24"/>
          <w:szCs w:val="24"/>
        </w:rPr>
      </w:pPr>
      <w:r w:rsidRPr="00376D12">
        <w:rPr>
          <w:rFonts w:ascii="Times New Roman" w:hAnsi="Times New Roman" w:cs="Times New Roman"/>
          <w:noProof/>
          <w:kern w:val="0"/>
          <w:sz w:val="24"/>
          <w:szCs w:val="24"/>
        </w:rPr>
        <w:t xml:space="preserve">3. Gillet LC, Navarro P, Tate S, Röst H, Selevsek N, Reiter L, et al. Targeted data extraction of the MS/MS spectra generated by data-independent  acquisition: a new concept for consistent and accurate proteome analysis. Molecular &amp; cellular proteomics : MCP. 2012;11:O111.016717. </w:t>
      </w:r>
    </w:p>
    <w:p w14:paraId="776982F7" w14:textId="77777777" w:rsidR="00376D12" w:rsidRPr="00376D12" w:rsidRDefault="00376D12" w:rsidP="00376D12">
      <w:pPr>
        <w:autoSpaceDE w:val="0"/>
        <w:autoSpaceDN w:val="0"/>
        <w:adjustRightInd w:val="0"/>
        <w:spacing w:line="360" w:lineRule="auto"/>
        <w:jc w:val="left"/>
        <w:rPr>
          <w:rFonts w:ascii="Times New Roman" w:hAnsi="Times New Roman" w:cs="Times New Roman"/>
          <w:noProof/>
          <w:kern w:val="0"/>
          <w:sz w:val="24"/>
          <w:szCs w:val="24"/>
        </w:rPr>
      </w:pPr>
      <w:r w:rsidRPr="00376D12">
        <w:rPr>
          <w:rFonts w:ascii="Times New Roman" w:hAnsi="Times New Roman" w:cs="Times New Roman"/>
          <w:noProof/>
          <w:kern w:val="0"/>
          <w:sz w:val="24"/>
          <w:szCs w:val="24"/>
        </w:rPr>
        <w:t xml:space="preserve">4. Kessner D, Chambers M, Burke R, Agus D, Mallick P. ProteoWizard: open source software for rapid proteomics tools development. Bioinformatics (Oxford, England). 2008;24:2534–6. </w:t>
      </w:r>
    </w:p>
    <w:p w14:paraId="25D2432E" w14:textId="77777777" w:rsidR="00376D12" w:rsidRPr="00376D12" w:rsidRDefault="00376D12" w:rsidP="00376D12">
      <w:pPr>
        <w:autoSpaceDE w:val="0"/>
        <w:autoSpaceDN w:val="0"/>
        <w:adjustRightInd w:val="0"/>
        <w:spacing w:line="360" w:lineRule="auto"/>
        <w:jc w:val="left"/>
        <w:rPr>
          <w:rFonts w:ascii="Times New Roman" w:hAnsi="Times New Roman" w:cs="Times New Roman"/>
          <w:noProof/>
          <w:kern w:val="0"/>
          <w:sz w:val="24"/>
          <w:szCs w:val="24"/>
        </w:rPr>
      </w:pPr>
      <w:r w:rsidRPr="00376D12">
        <w:rPr>
          <w:rFonts w:ascii="Times New Roman" w:hAnsi="Times New Roman" w:cs="Times New Roman"/>
          <w:noProof/>
          <w:kern w:val="0"/>
          <w:sz w:val="24"/>
          <w:szCs w:val="24"/>
        </w:rPr>
        <w:t xml:space="preserve">5. Röst HL, Rosenberger G, Navarro P, Gillet L, Miladinović SM, Schubert OT, et al. Publisher Correction: OpenSWATH enables automated, targeted analysis of  data-independent acquisition MS data. Nature biotechnology. United States; 2020;38:374. </w:t>
      </w:r>
    </w:p>
    <w:p w14:paraId="0E680286" w14:textId="77777777" w:rsidR="00376D12" w:rsidRPr="00376D12" w:rsidRDefault="00376D12" w:rsidP="00376D12">
      <w:pPr>
        <w:autoSpaceDE w:val="0"/>
        <w:autoSpaceDN w:val="0"/>
        <w:adjustRightInd w:val="0"/>
        <w:spacing w:line="360" w:lineRule="auto"/>
        <w:jc w:val="left"/>
        <w:rPr>
          <w:rFonts w:ascii="Times New Roman" w:hAnsi="Times New Roman" w:cs="Times New Roman"/>
          <w:noProof/>
          <w:kern w:val="0"/>
          <w:sz w:val="24"/>
          <w:szCs w:val="24"/>
        </w:rPr>
      </w:pPr>
      <w:r w:rsidRPr="00376D12">
        <w:rPr>
          <w:rFonts w:ascii="Times New Roman" w:hAnsi="Times New Roman" w:cs="Times New Roman"/>
          <w:noProof/>
          <w:kern w:val="0"/>
          <w:sz w:val="24"/>
          <w:szCs w:val="24"/>
        </w:rPr>
        <w:t xml:space="preserve">6. Liu Y, Buil A, Collins BC, Gillet LCJ, Blum LC, Cheng L-Y, et al. Quantitative variability of 342 plasma proteins in a human twin population. Molecular systems biology. 2015;11:786. </w:t>
      </w:r>
    </w:p>
    <w:p w14:paraId="473574BE" w14:textId="77777777" w:rsidR="00376D12" w:rsidRPr="00376D12" w:rsidRDefault="00376D12" w:rsidP="00376D12">
      <w:pPr>
        <w:autoSpaceDE w:val="0"/>
        <w:autoSpaceDN w:val="0"/>
        <w:adjustRightInd w:val="0"/>
        <w:spacing w:line="360" w:lineRule="auto"/>
        <w:jc w:val="left"/>
        <w:rPr>
          <w:rFonts w:ascii="Times New Roman" w:hAnsi="Times New Roman" w:cs="Times New Roman"/>
          <w:noProof/>
          <w:kern w:val="0"/>
          <w:sz w:val="24"/>
          <w:szCs w:val="24"/>
        </w:rPr>
      </w:pPr>
      <w:r w:rsidRPr="00376D12">
        <w:rPr>
          <w:rFonts w:ascii="Times New Roman" w:hAnsi="Times New Roman" w:cs="Times New Roman"/>
          <w:noProof/>
          <w:kern w:val="0"/>
          <w:sz w:val="24"/>
          <w:szCs w:val="24"/>
        </w:rPr>
        <w:t xml:space="preserve">7. Parker SJ, Rost H, Rosenberger G, Collins BC, Malmström L, Amodei D, et al. Identification of a Set of Conserved Eukaryotic Internal Retention Time Standards  for Data-independent Acquisition Mass Spectrometry. Molecular &amp; cellular proteomics : MCP. 2015;14:2800–13. </w:t>
      </w:r>
    </w:p>
    <w:p w14:paraId="68CC815A" w14:textId="77777777" w:rsidR="00376D12" w:rsidRPr="00376D12" w:rsidRDefault="00376D12" w:rsidP="00376D12">
      <w:pPr>
        <w:autoSpaceDE w:val="0"/>
        <w:autoSpaceDN w:val="0"/>
        <w:adjustRightInd w:val="0"/>
        <w:spacing w:line="360" w:lineRule="auto"/>
        <w:jc w:val="left"/>
        <w:rPr>
          <w:rFonts w:ascii="Times New Roman" w:hAnsi="Times New Roman" w:cs="Times New Roman"/>
          <w:noProof/>
          <w:sz w:val="24"/>
        </w:rPr>
      </w:pPr>
      <w:r w:rsidRPr="00376D12">
        <w:rPr>
          <w:rFonts w:ascii="Times New Roman" w:hAnsi="Times New Roman" w:cs="Times New Roman"/>
          <w:noProof/>
          <w:kern w:val="0"/>
          <w:sz w:val="24"/>
          <w:szCs w:val="24"/>
        </w:rPr>
        <w:t xml:space="preserve">8. Caporaso JG, Kuczynski J, Stombaugh J, Bittinger K, Bushman FD, Costello EK, et al. QIIME allows analysis of high-throughput community sequencing data. Nat Methods. 2010;7:335–6. </w:t>
      </w:r>
    </w:p>
    <w:p w14:paraId="0D87F8AE" w14:textId="4FBBBA16" w:rsidR="009B5C8F" w:rsidRDefault="00C14C57" w:rsidP="00FE211E">
      <w:pPr>
        <w:spacing w:line="360" w:lineRule="auto"/>
        <w:rPr>
          <w:rFonts w:ascii="Times New Roman" w:eastAsia="等线" w:hAnsi="Times New Roman" w:cs="Times New Roman"/>
          <w:sz w:val="24"/>
        </w:rPr>
      </w:pPr>
      <w:r>
        <w:rPr>
          <w:rFonts w:ascii="Times New Roman" w:eastAsia="等线" w:hAnsi="Times New Roman" w:cs="Times New Roman"/>
          <w:sz w:val="24"/>
        </w:rPr>
        <w:fldChar w:fldCharType="end"/>
      </w:r>
      <w:bookmarkEnd w:id="3"/>
    </w:p>
    <w:p w14:paraId="358B9DA0" w14:textId="77777777" w:rsidR="006A3917" w:rsidRDefault="006A3917" w:rsidP="00FE211E">
      <w:pPr>
        <w:spacing w:line="360" w:lineRule="auto"/>
        <w:rPr>
          <w:rFonts w:ascii="Times New Roman" w:eastAsia="等线" w:hAnsi="Times New Roman" w:cs="Times New Roman"/>
          <w:sz w:val="24"/>
        </w:rPr>
      </w:pPr>
    </w:p>
    <w:p w14:paraId="685C2F07" w14:textId="77777777" w:rsidR="009B5C8F" w:rsidRPr="009B5C8F" w:rsidRDefault="009B5C8F" w:rsidP="009B5C8F">
      <w:pPr>
        <w:widowControl/>
        <w:spacing w:line="360" w:lineRule="auto"/>
        <w:jc w:val="left"/>
        <w:rPr>
          <w:rFonts w:ascii="Times New Roman" w:eastAsia="等线" w:hAnsi="Times New Roman" w:cs="Times New Roman"/>
          <w:b/>
          <w:bCs/>
          <w:sz w:val="24"/>
          <w:szCs w:val="24"/>
        </w:rPr>
      </w:pPr>
      <w:r w:rsidRPr="009B5C8F">
        <w:rPr>
          <w:rFonts w:ascii="Times New Roman" w:eastAsia="等线" w:hAnsi="Times New Roman" w:cs="Times New Roman" w:hint="eastAsia"/>
          <w:b/>
          <w:bCs/>
          <w:sz w:val="24"/>
          <w:szCs w:val="24"/>
        </w:rPr>
        <w:lastRenderedPageBreak/>
        <w:t>S</w:t>
      </w:r>
      <w:r w:rsidRPr="009B5C8F">
        <w:rPr>
          <w:rFonts w:ascii="Times New Roman" w:eastAsia="等线" w:hAnsi="Times New Roman" w:cs="Times New Roman"/>
          <w:b/>
          <w:bCs/>
          <w:sz w:val="24"/>
          <w:szCs w:val="24"/>
        </w:rPr>
        <w:t>upplementary Figure Legends</w:t>
      </w:r>
    </w:p>
    <w:p w14:paraId="338507FE" w14:textId="77777777" w:rsidR="009B5C8F" w:rsidRPr="009B5C8F" w:rsidRDefault="009B5C8F" w:rsidP="009B5C8F">
      <w:pPr>
        <w:widowControl/>
        <w:spacing w:line="360" w:lineRule="auto"/>
        <w:jc w:val="left"/>
        <w:rPr>
          <w:rFonts w:ascii="Times New Roman" w:eastAsia="等线" w:hAnsi="Times New Roman" w:cs="Times New Roman"/>
          <w:sz w:val="24"/>
          <w:szCs w:val="24"/>
        </w:rPr>
      </w:pPr>
      <w:r w:rsidRPr="009B5C8F">
        <w:rPr>
          <w:rFonts w:ascii="Times New Roman" w:eastAsia="等线" w:hAnsi="Times New Roman" w:cs="Times New Roman"/>
          <w:b/>
          <w:bCs/>
          <w:sz w:val="24"/>
          <w:szCs w:val="24"/>
        </w:rPr>
        <w:t xml:space="preserve">Figure S1. </w:t>
      </w:r>
      <w:bookmarkStart w:id="4" w:name="OLE_LINK77"/>
      <w:bookmarkStart w:id="5" w:name="OLE_LINK78"/>
      <w:r w:rsidRPr="009B5C8F">
        <w:rPr>
          <w:rFonts w:ascii="Times New Roman" w:eastAsia="等线" w:hAnsi="Times New Roman" w:cs="Times New Roman"/>
          <w:b/>
          <w:bCs/>
          <w:sz w:val="24"/>
          <w:szCs w:val="24"/>
        </w:rPr>
        <w:t xml:space="preserve">Timeline of the participants enrollment, follow-up visit and sample collection </w:t>
      </w:r>
      <w:bookmarkEnd w:id="4"/>
      <w:bookmarkEnd w:id="5"/>
      <w:r w:rsidRPr="009B5C8F">
        <w:rPr>
          <w:rFonts w:ascii="Times New Roman" w:eastAsia="等线" w:hAnsi="Times New Roman" w:cs="Times New Roman"/>
          <w:b/>
          <w:bCs/>
          <w:sz w:val="24"/>
          <w:szCs w:val="24"/>
        </w:rPr>
        <w:t>in the Guangzhou Health and Nutrition Study. (A)</w:t>
      </w:r>
      <w:r w:rsidRPr="009B5C8F">
        <w:rPr>
          <w:rFonts w:ascii="Times New Roman" w:eastAsia="等线" w:hAnsi="Times New Roman" w:cs="Times New Roman"/>
          <w:sz w:val="24"/>
          <w:szCs w:val="24"/>
        </w:rPr>
        <w:t xml:space="preserve"> At baseline, 4048 subjects provided completed metadata (required for analysis in the present study), and 1114 subjects provided blood samples (1114 for proteomic analysis and 990 for measurement of inflammatory factors). At follow-up visit, 2172 subjects provided stool samples (n=1729 for 16s rRNA sequencing; n=987 for metabolomic analysis) , among which 667 subjects provided blood samples (n=301 for proteomic analysis; n=366 for measurement of inflammatory factors). (B) Detail information about the number of participants in the dataset1-dataset4 used in the present study. (C) Detail information about the number of participants in the dataset5 used in the present study.</w:t>
      </w:r>
    </w:p>
    <w:p w14:paraId="11907D0F" w14:textId="77777777" w:rsidR="009B5C8F" w:rsidRPr="009B5C8F" w:rsidRDefault="009B5C8F" w:rsidP="009B5C8F">
      <w:pPr>
        <w:widowControl/>
        <w:spacing w:line="360" w:lineRule="auto"/>
        <w:jc w:val="left"/>
        <w:rPr>
          <w:rFonts w:ascii="Times New Roman" w:eastAsia="等线" w:hAnsi="Times New Roman" w:cs="Times New Roman"/>
          <w:sz w:val="24"/>
          <w:szCs w:val="24"/>
        </w:rPr>
      </w:pPr>
    </w:p>
    <w:p w14:paraId="6181C20D" w14:textId="1DA4CF86" w:rsidR="009B5C8F" w:rsidRPr="00F13516" w:rsidRDefault="009B5C8F" w:rsidP="00F13516">
      <w:pPr>
        <w:spacing w:line="360" w:lineRule="auto"/>
        <w:jc w:val="left"/>
        <w:rPr>
          <w:rFonts w:ascii="Times New Roman" w:eastAsia="等线" w:hAnsi="Times New Roman" w:cs="Times New Roman"/>
          <w:sz w:val="24"/>
          <w:szCs w:val="24"/>
        </w:rPr>
      </w:pPr>
      <w:r w:rsidRPr="009B5C8F">
        <w:rPr>
          <w:rFonts w:ascii="Times New Roman" w:eastAsia="等线" w:hAnsi="Times New Roman" w:cs="Times New Roman" w:hint="eastAsia"/>
          <w:b/>
          <w:bCs/>
          <w:sz w:val="24"/>
          <w:szCs w:val="24"/>
        </w:rPr>
        <w:t>F</w:t>
      </w:r>
      <w:r w:rsidRPr="009B5C8F">
        <w:rPr>
          <w:rFonts w:ascii="Times New Roman" w:eastAsia="等线" w:hAnsi="Times New Roman" w:cs="Times New Roman"/>
          <w:b/>
          <w:bCs/>
          <w:sz w:val="24"/>
          <w:szCs w:val="24"/>
        </w:rPr>
        <w:t xml:space="preserve">igure S2. The correlation of the blood proteomic biomarkers and PRS with </w:t>
      </w:r>
      <w:r w:rsidRPr="009B5C8F">
        <w:rPr>
          <w:rFonts w:ascii="Times New Roman" w:eastAsia="等线" w:hAnsi="Times New Roman" w:cs="Times New Roman" w:hint="eastAsia"/>
          <w:b/>
          <w:bCs/>
          <w:sz w:val="24"/>
          <w:szCs w:val="24"/>
        </w:rPr>
        <w:t>host inflammat</w:t>
      </w:r>
      <w:r w:rsidRPr="009B5C8F">
        <w:rPr>
          <w:rFonts w:ascii="Times New Roman" w:eastAsia="等线" w:hAnsi="Times New Roman" w:cs="Times New Roman"/>
          <w:b/>
          <w:bCs/>
          <w:sz w:val="24"/>
          <w:szCs w:val="24"/>
        </w:rPr>
        <w:t>ory</w:t>
      </w:r>
      <w:r w:rsidRPr="009B5C8F">
        <w:rPr>
          <w:rFonts w:ascii="Times New Roman" w:eastAsia="等线" w:hAnsi="Times New Roman" w:cs="Times New Roman" w:hint="eastAsia"/>
          <w:b/>
          <w:bCs/>
          <w:sz w:val="24"/>
          <w:szCs w:val="24"/>
        </w:rPr>
        <w:t xml:space="preserve"> markers</w:t>
      </w:r>
      <w:r w:rsidRPr="009B5C8F">
        <w:rPr>
          <w:rFonts w:ascii="Times New Roman" w:eastAsia="等线" w:hAnsi="Times New Roman" w:cs="Times New Roman"/>
          <w:b/>
          <w:bCs/>
          <w:sz w:val="24"/>
          <w:szCs w:val="24"/>
        </w:rPr>
        <w:t xml:space="preserve"> </w:t>
      </w:r>
      <w:r w:rsidRPr="009B5C8F">
        <w:rPr>
          <w:rFonts w:ascii="Times New Roman" w:eastAsia="等线" w:hAnsi="Times New Roman" w:cs="Times New Roman" w:hint="eastAsia"/>
          <w:b/>
          <w:bCs/>
          <w:sz w:val="24"/>
          <w:szCs w:val="24"/>
        </w:rPr>
        <w:t xml:space="preserve">stratified by </w:t>
      </w:r>
      <w:r w:rsidRPr="009B5C8F">
        <w:rPr>
          <w:rFonts w:ascii="Times New Roman" w:eastAsia="等线" w:hAnsi="Times New Roman" w:cs="Times New Roman"/>
          <w:b/>
          <w:bCs/>
          <w:sz w:val="24"/>
          <w:szCs w:val="24"/>
        </w:rPr>
        <w:t xml:space="preserve">sex (n=990). </w:t>
      </w:r>
      <w:r w:rsidRPr="009B5C8F">
        <w:rPr>
          <w:rFonts w:ascii="Times New Roman" w:eastAsia="等线" w:hAnsi="Times New Roman" w:cs="Times New Roman"/>
          <w:sz w:val="24"/>
          <w:szCs w:val="24"/>
        </w:rPr>
        <w:t xml:space="preserve">The color of the heatmap indicates the </w:t>
      </w:r>
      <w:r w:rsidRPr="009B5C8F">
        <w:rPr>
          <w:rFonts w:ascii="Times New Roman" w:eastAsia="等线" w:hAnsi="Times New Roman" w:cs="Times New Roman" w:hint="eastAsia"/>
          <w:sz w:val="24"/>
          <w:szCs w:val="24"/>
        </w:rPr>
        <w:t>S</w:t>
      </w:r>
      <w:r w:rsidRPr="009B5C8F">
        <w:rPr>
          <w:rFonts w:ascii="Times New Roman" w:eastAsia="等线" w:hAnsi="Times New Roman" w:cs="Times New Roman"/>
          <w:sz w:val="24"/>
          <w:szCs w:val="24"/>
        </w:rPr>
        <w:t>pearman correlation coefficients (blue-negative, red-positive). # protein down-regulated in severe patients, else, up-regulated.</w:t>
      </w:r>
      <w:r w:rsidRPr="009B5C8F">
        <w:rPr>
          <w:rFonts w:ascii="Times New Roman" w:eastAsia="等线" w:hAnsi="Times New Roman" w:cs="Times New Roman" w:hint="eastAsia"/>
          <w:sz w:val="24"/>
          <w:szCs w:val="24"/>
        </w:rPr>
        <w:t xml:space="preserve"> </w:t>
      </w:r>
    </w:p>
    <w:p w14:paraId="49FE62BC" w14:textId="56BA1AA0" w:rsidR="009B5C8F" w:rsidRDefault="009B5C8F" w:rsidP="009B5C8F">
      <w:pPr>
        <w:widowControl/>
        <w:spacing w:line="360" w:lineRule="auto"/>
        <w:jc w:val="left"/>
        <w:rPr>
          <w:rFonts w:ascii="Times New Roman" w:eastAsia="等线" w:hAnsi="Times New Roman" w:cs="Times New Roman"/>
          <w:sz w:val="24"/>
          <w:szCs w:val="24"/>
        </w:rPr>
      </w:pPr>
      <w:r w:rsidRPr="009B5C8F">
        <w:rPr>
          <w:rFonts w:ascii="Times New Roman" w:eastAsia="等线" w:hAnsi="Times New Roman" w:cs="Times New Roman" w:hint="eastAsia"/>
          <w:b/>
          <w:bCs/>
          <w:sz w:val="24"/>
          <w:szCs w:val="24"/>
        </w:rPr>
        <w:t>F</w:t>
      </w:r>
      <w:r w:rsidRPr="009B5C8F">
        <w:rPr>
          <w:rFonts w:ascii="Times New Roman" w:eastAsia="等线" w:hAnsi="Times New Roman" w:cs="Times New Roman"/>
          <w:b/>
          <w:bCs/>
          <w:sz w:val="24"/>
          <w:szCs w:val="24"/>
        </w:rPr>
        <w:t xml:space="preserve">igure S3. Co-variation of the core OTUs abundance and predictive proteomic biomarkers of COVID-19 (n=132). </w:t>
      </w:r>
      <w:r w:rsidRPr="009B5C8F">
        <w:rPr>
          <w:rFonts w:ascii="Times New Roman" w:eastAsia="等线" w:hAnsi="Times New Roman" w:cs="Times New Roman"/>
          <w:sz w:val="24"/>
          <w:szCs w:val="24"/>
        </w:rPr>
        <w:t xml:space="preserve">Co-inertia analysis of the relationship between 20 identified OTUs and 20 predictive proteomic biomarkers among a cross-sectional subset of 132 individuals. </w:t>
      </w:r>
      <w:r w:rsidRPr="009B5C8F">
        <w:rPr>
          <w:rFonts w:ascii="Times New Roman" w:eastAsia="等线" w:hAnsi="Times New Roman" w:cs="Times New Roman" w:hint="eastAsia"/>
          <w:sz w:val="24"/>
          <w:szCs w:val="24"/>
        </w:rPr>
        <w:t>E</w:t>
      </w:r>
      <w:r w:rsidRPr="009B5C8F">
        <w:rPr>
          <w:rFonts w:ascii="Times New Roman" w:eastAsia="等线" w:hAnsi="Times New Roman" w:cs="Times New Roman"/>
          <w:sz w:val="24"/>
          <w:szCs w:val="24"/>
        </w:rPr>
        <w:t xml:space="preserve">ach sample is represented with an arrow. The sample projection in the OTUs and the proteomic biomarkers space are represented by the starting point and the end of the arrow, respectively. Length of the arrow represents distance between the projections. (A, overall; B, age ≥ </w:t>
      </w:r>
      <w:r w:rsidRPr="009B5C8F">
        <w:rPr>
          <w:rFonts w:ascii="Times New Roman" w:eastAsia="等线" w:hAnsi="Times New Roman" w:cs="Times New Roman" w:hint="eastAsia"/>
          <w:sz w:val="24"/>
          <w:szCs w:val="24"/>
        </w:rPr>
        <w:t>58</w:t>
      </w:r>
      <w:r w:rsidRPr="009B5C8F">
        <w:rPr>
          <w:rFonts w:ascii="Times New Roman" w:eastAsia="等线" w:hAnsi="Times New Roman" w:cs="Times New Roman"/>
          <w:sz w:val="24"/>
          <w:szCs w:val="24"/>
        </w:rPr>
        <w:t xml:space="preserve">; C, age &lt;58). </w:t>
      </w:r>
    </w:p>
    <w:p w14:paraId="3C9C48E3" w14:textId="77777777" w:rsidR="00F13516" w:rsidRDefault="00F13516" w:rsidP="009B5C8F">
      <w:pPr>
        <w:widowControl/>
        <w:spacing w:line="360" w:lineRule="auto"/>
        <w:jc w:val="left"/>
        <w:rPr>
          <w:rFonts w:ascii="Times New Roman" w:eastAsia="等线" w:hAnsi="Times New Roman" w:cs="Times New Roman"/>
          <w:sz w:val="24"/>
          <w:szCs w:val="24"/>
        </w:rPr>
      </w:pPr>
    </w:p>
    <w:p w14:paraId="156DCAD4" w14:textId="77777777" w:rsidR="009B5C8F" w:rsidRPr="009B5C8F" w:rsidRDefault="009B5C8F" w:rsidP="00F13516">
      <w:pPr>
        <w:jc w:val="left"/>
        <w:rPr>
          <w:rFonts w:ascii="Times New Roman" w:eastAsia="等线" w:hAnsi="Times New Roman" w:cs="Times New Roman"/>
          <w:b/>
          <w:bCs/>
          <w:sz w:val="24"/>
          <w:szCs w:val="24"/>
        </w:rPr>
      </w:pPr>
      <w:r w:rsidRPr="009B5C8F">
        <w:rPr>
          <w:rFonts w:ascii="Times New Roman" w:eastAsia="等线" w:hAnsi="Times New Roman" w:cs="Times New Roman" w:hint="eastAsia"/>
          <w:b/>
          <w:bCs/>
          <w:sz w:val="24"/>
          <w:szCs w:val="24"/>
        </w:rPr>
        <w:t>S</w:t>
      </w:r>
      <w:r w:rsidRPr="009B5C8F">
        <w:rPr>
          <w:rFonts w:ascii="Times New Roman" w:eastAsia="等线" w:hAnsi="Times New Roman" w:cs="Times New Roman"/>
          <w:b/>
          <w:bCs/>
          <w:sz w:val="24"/>
          <w:szCs w:val="24"/>
        </w:rPr>
        <w:t>upplementary Table</w:t>
      </w:r>
      <w:r w:rsidRPr="009B5C8F">
        <w:rPr>
          <w:rFonts w:ascii="Times New Roman" w:eastAsia="等线" w:hAnsi="Times New Roman" w:cs="Times New Roman" w:hint="eastAsia"/>
          <w:b/>
          <w:bCs/>
          <w:sz w:val="24"/>
          <w:szCs w:val="24"/>
        </w:rPr>
        <w:t>s</w:t>
      </w:r>
    </w:p>
    <w:p w14:paraId="300AE8A7" w14:textId="77777777" w:rsidR="009B5C8F" w:rsidRPr="009B5C8F" w:rsidRDefault="009B5C8F" w:rsidP="00F13516">
      <w:pPr>
        <w:rPr>
          <w:rFonts w:ascii="等线" w:eastAsia="等线" w:hAnsi="等线" w:cs="Times New Roman"/>
          <w:szCs w:val="21"/>
        </w:rPr>
      </w:pPr>
      <w:r w:rsidRPr="009B5C8F">
        <w:rPr>
          <w:rFonts w:ascii="Times New Roman" w:eastAsia="等线" w:hAnsi="Times New Roman" w:cs="Times New Roman" w:hint="eastAsia"/>
          <w:b/>
          <w:bCs/>
          <w:sz w:val="24"/>
          <w:szCs w:val="24"/>
        </w:rPr>
        <w:t>T</w:t>
      </w:r>
      <w:r w:rsidRPr="009B5C8F">
        <w:rPr>
          <w:rFonts w:ascii="Times New Roman" w:eastAsia="等线" w:hAnsi="Times New Roman" w:cs="Times New Roman"/>
          <w:b/>
          <w:bCs/>
          <w:sz w:val="24"/>
          <w:szCs w:val="24"/>
        </w:rPr>
        <w:t>able S1. Characteristics of the data analysis sets</w:t>
      </w:r>
    </w:p>
    <w:p w14:paraId="2D8C2D01" w14:textId="77777777" w:rsidR="009B5C8F" w:rsidRPr="009B5C8F" w:rsidRDefault="009B5C8F" w:rsidP="00F13516">
      <w:pPr>
        <w:rPr>
          <w:rFonts w:ascii="等线" w:eastAsia="等线" w:hAnsi="等线" w:cs="Times New Roman"/>
          <w:szCs w:val="21"/>
        </w:rPr>
      </w:pPr>
      <w:r w:rsidRPr="009B5C8F">
        <w:rPr>
          <w:rFonts w:ascii="Times New Roman" w:eastAsia="等线" w:hAnsi="Times New Roman" w:cs="Times New Roman" w:hint="eastAsia"/>
          <w:b/>
          <w:bCs/>
          <w:sz w:val="24"/>
          <w:szCs w:val="24"/>
        </w:rPr>
        <w:t>T</w:t>
      </w:r>
      <w:r w:rsidRPr="009B5C8F">
        <w:rPr>
          <w:rFonts w:ascii="Times New Roman" w:eastAsia="等线" w:hAnsi="Times New Roman" w:cs="Times New Roman"/>
          <w:b/>
          <w:bCs/>
          <w:sz w:val="24"/>
          <w:szCs w:val="24"/>
        </w:rPr>
        <w:t>able S2. List of the 20 proteomic biomarkers integrated in the proteomic risk score</w:t>
      </w:r>
    </w:p>
    <w:p w14:paraId="41B4AC0B" w14:textId="52E4A6C3" w:rsidR="009B5C8F" w:rsidRDefault="009B5C8F" w:rsidP="00F13516">
      <w:pPr>
        <w:rPr>
          <w:rFonts w:ascii="Times New Roman" w:eastAsia="等线" w:hAnsi="Times New Roman" w:cs="Times New Roman"/>
          <w:b/>
          <w:bCs/>
          <w:sz w:val="24"/>
          <w:szCs w:val="24"/>
        </w:rPr>
      </w:pPr>
      <w:r w:rsidRPr="009B5C8F">
        <w:rPr>
          <w:rFonts w:ascii="Times New Roman" w:eastAsia="等线" w:hAnsi="Times New Roman" w:cs="Times New Roman" w:hint="eastAsia"/>
          <w:b/>
          <w:bCs/>
          <w:sz w:val="24"/>
          <w:szCs w:val="24"/>
        </w:rPr>
        <w:t>T</w:t>
      </w:r>
      <w:r w:rsidRPr="009B5C8F">
        <w:rPr>
          <w:rFonts w:ascii="Times New Roman" w:eastAsia="等线" w:hAnsi="Times New Roman" w:cs="Times New Roman"/>
          <w:b/>
          <w:bCs/>
          <w:sz w:val="24"/>
          <w:szCs w:val="24"/>
        </w:rPr>
        <w:t>able S3. List and taxonomic classifications of the PRS-related core microbial OTUs</w:t>
      </w:r>
    </w:p>
    <w:p w14:paraId="17BB4D07" w14:textId="606BF5F2" w:rsidR="00C56A2A" w:rsidRPr="00C56A2A" w:rsidRDefault="00C56A2A" w:rsidP="00C56A2A">
      <w:pPr>
        <w:spacing w:line="360" w:lineRule="auto"/>
        <w:rPr>
          <w:rFonts w:ascii="Times New Roman" w:eastAsia="等线" w:hAnsi="Times New Roman" w:cs="Times New Roman"/>
          <w:b/>
          <w:bCs/>
          <w:sz w:val="24"/>
          <w:szCs w:val="24"/>
        </w:rPr>
      </w:pPr>
      <w:r w:rsidRPr="00C56A2A">
        <w:rPr>
          <w:rFonts w:ascii="Times New Roman" w:eastAsia="等线" w:hAnsi="Times New Roman" w:cs="Times New Roman"/>
          <w:b/>
          <w:bCs/>
          <w:sz w:val="24"/>
          <w:szCs w:val="24"/>
        </w:rPr>
        <w:t>Table S4</w:t>
      </w:r>
      <w:r>
        <w:rPr>
          <w:rFonts w:ascii="Times New Roman" w:eastAsia="等线" w:hAnsi="Times New Roman" w:cs="Times New Roman"/>
          <w:b/>
          <w:bCs/>
          <w:sz w:val="24"/>
          <w:szCs w:val="24"/>
        </w:rPr>
        <w:t>.</w:t>
      </w:r>
      <w:r w:rsidRPr="00C56A2A">
        <w:rPr>
          <w:rFonts w:ascii="Times New Roman" w:eastAsia="等线" w:hAnsi="Times New Roman" w:cs="Times New Roman"/>
          <w:b/>
          <w:bCs/>
          <w:sz w:val="24"/>
          <w:szCs w:val="24"/>
        </w:rPr>
        <w:t xml:space="preserve"> Isolation variable windows of SWATH-MS method</w:t>
      </w:r>
    </w:p>
    <w:p w14:paraId="52778187" w14:textId="77777777" w:rsidR="006A3917" w:rsidRPr="00C56A2A" w:rsidRDefault="006A3917" w:rsidP="009B5C8F">
      <w:pPr>
        <w:spacing w:line="360" w:lineRule="auto"/>
        <w:rPr>
          <w:rFonts w:ascii="Times New Roman" w:eastAsia="等线" w:hAnsi="Times New Roman" w:cs="Times New Roman"/>
          <w:b/>
          <w:bCs/>
          <w:sz w:val="24"/>
          <w:szCs w:val="24"/>
        </w:rPr>
      </w:pPr>
    </w:p>
    <w:p w14:paraId="0CD38557" w14:textId="77777777" w:rsidR="009B5C8F" w:rsidRPr="009B5C8F" w:rsidRDefault="009B5C8F" w:rsidP="009B5C8F">
      <w:pPr>
        <w:spacing w:line="360" w:lineRule="auto"/>
        <w:jc w:val="left"/>
        <w:rPr>
          <w:rFonts w:ascii="Times New Roman" w:eastAsia="等线" w:hAnsi="Times New Roman" w:cs="Times New Roman"/>
          <w:b/>
          <w:bCs/>
          <w:sz w:val="24"/>
          <w:szCs w:val="24"/>
          <w:lang w:val="en-GB"/>
        </w:rPr>
      </w:pPr>
      <w:r w:rsidRPr="009B5C8F">
        <w:rPr>
          <w:rFonts w:ascii="Times New Roman" w:eastAsia="等线" w:hAnsi="Times New Roman" w:cs="Times New Roman"/>
          <w:b/>
          <w:bCs/>
          <w:sz w:val="24"/>
          <w:szCs w:val="24"/>
          <w:lang w:val="en-GB"/>
        </w:rPr>
        <w:lastRenderedPageBreak/>
        <w:t>Figure S1</w:t>
      </w:r>
    </w:p>
    <w:p w14:paraId="29AF19FF" w14:textId="77777777" w:rsidR="009B5C8F" w:rsidRPr="009B5C8F" w:rsidRDefault="009B5C8F" w:rsidP="009B5C8F">
      <w:pPr>
        <w:spacing w:line="360" w:lineRule="auto"/>
        <w:jc w:val="left"/>
        <w:rPr>
          <w:rFonts w:ascii="Times New Roman" w:eastAsia="等线" w:hAnsi="Times New Roman" w:cs="Times New Roman"/>
          <w:b/>
          <w:bCs/>
          <w:sz w:val="24"/>
          <w:szCs w:val="24"/>
          <w:lang w:val="en-GB"/>
        </w:rPr>
      </w:pPr>
      <w:r w:rsidRPr="009B5C8F">
        <w:rPr>
          <w:rFonts w:ascii="等线" w:eastAsia="等线" w:hAnsi="等线" w:cs="Times New Roman"/>
          <w:noProof/>
        </w:rPr>
        <w:drawing>
          <wp:inline distT="0" distB="0" distL="0" distR="0" wp14:anchorId="2848A244" wp14:editId="0585CD65">
            <wp:extent cx="5274310" cy="7459980"/>
            <wp:effectExtent l="0" t="0" r="254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7459980"/>
                    </a:xfrm>
                    <a:prstGeom prst="rect">
                      <a:avLst/>
                    </a:prstGeom>
                    <a:noFill/>
                    <a:ln>
                      <a:noFill/>
                    </a:ln>
                  </pic:spPr>
                </pic:pic>
              </a:graphicData>
            </a:graphic>
          </wp:inline>
        </w:drawing>
      </w:r>
    </w:p>
    <w:p w14:paraId="3D8518BD" w14:textId="77777777" w:rsidR="009B5C8F" w:rsidRPr="009B5C8F" w:rsidRDefault="009B5C8F" w:rsidP="009B5C8F">
      <w:pPr>
        <w:spacing w:line="360" w:lineRule="auto"/>
        <w:jc w:val="left"/>
        <w:rPr>
          <w:rFonts w:ascii="Times New Roman" w:eastAsia="等线" w:hAnsi="Times New Roman" w:cs="Times New Roman"/>
          <w:sz w:val="24"/>
          <w:szCs w:val="24"/>
          <w:lang w:val="en-GB"/>
        </w:rPr>
      </w:pPr>
    </w:p>
    <w:p w14:paraId="0D4DBA41" w14:textId="77777777" w:rsidR="009B5C8F" w:rsidRPr="009B5C8F" w:rsidRDefault="009B5C8F" w:rsidP="009B5C8F">
      <w:pPr>
        <w:spacing w:line="360" w:lineRule="auto"/>
        <w:jc w:val="left"/>
        <w:rPr>
          <w:rFonts w:ascii="Times New Roman" w:eastAsia="等线" w:hAnsi="Times New Roman" w:cs="Times New Roman"/>
          <w:sz w:val="24"/>
          <w:szCs w:val="24"/>
          <w:lang w:val="en-GB"/>
        </w:rPr>
      </w:pPr>
    </w:p>
    <w:p w14:paraId="79EF0482" w14:textId="77777777" w:rsidR="009B5C8F" w:rsidRPr="009B5C8F" w:rsidRDefault="009B5C8F" w:rsidP="009B5C8F">
      <w:pPr>
        <w:widowControl/>
        <w:jc w:val="left"/>
        <w:rPr>
          <w:rFonts w:ascii="Times New Roman" w:eastAsia="等线" w:hAnsi="Times New Roman" w:cs="Times New Roman"/>
          <w:b/>
          <w:bCs/>
          <w:sz w:val="24"/>
          <w:szCs w:val="24"/>
          <w:lang w:val="en-GB"/>
        </w:rPr>
      </w:pPr>
      <w:r w:rsidRPr="009B5C8F">
        <w:rPr>
          <w:rFonts w:ascii="Times New Roman" w:eastAsia="等线" w:hAnsi="Times New Roman" w:cs="Times New Roman"/>
          <w:sz w:val="24"/>
          <w:szCs w:val="24"/>
          <w:lang w:val="en-GB"/>
        </w:rPr>
        <w:br w:type="page"/>
      </w:r>
      <w:r w:rsidRPr="009B5C8F">
        <w:rPr>
          <w:rFonts w:ascii="Times New Roman" w:eastAsia="等线" w:hAnsi="Times New Roman" w:cs="Times New Roman" w:hint="eastAsia"/>
          <w:b/>
          <w:bCs/>
          <w:sz w:val="24"/>
          <w:szCs w:val="24"/>
          <w:lang w:val="en-GB"/>
        </w:rPr>
        <w:lastRenderedPageBreak/>
        <w:t>F</w:t>
      </w:r>
      <w:r w:rsidRPr="009B5C8F">
        <w:rPr>
          <w:rFonts w:ascii="Times New Roman" w:eastAsia="等线" w:hAnsi="Times New Roman" w:cs="Times New Roman"/>
          <w:b/>
          <w:bCs/>
          <w:sz w:val="24"/>
          <w:szCs w:val="24"/>
          <w:lang w:val="en-GB"/>
        </w:rPr>
        <w:t>igure S2</w:t>
      </w:r>
    </w:p>
    <w:p w14:paraId="618CF892" w14:textId="77777777" w:rsidR="009B5C8F" w:rsidRPr="009B5C8F" w:rsidRDefault="009B5C8F" w:rsidP="009B5C8F">
      <w:pPr>
        <w:jc w:val="center"/>
        <w:rPr>
          <w:rFonts w:ascii="Times New Roman" w:eastAsia="等线" w:hAnsi="Times New Roman" w:cs="Times New Roman"/>
          <w:b/>
          <w:bCs/>
          <w:sz w:val="24"/>
          <w:szCs w:val="24"/>
          <w:lang w:val="en-GB"/>
        </w:rPr>
      </w:pPr>
      <w:r w:rsidRPr="009B5C8F">
        <w:rPr>
          <w:rFonts w:ascii="等线" w:eastAsia="等线" w:hAnsi="等线" w:cs="Times New Roman"/>
          <w:noProof/>
        </w:rPr>
        <w:drawing>
          <wp:inline distT="0" distB="0" distL="0" distR="0" wp14:anchorId="79254220" wp14:editId="2566CCCC">
            <wp:extent cx="5498783" cy="6762750"/>
            <wp:effectExtent l="0" t="0" r="698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502629" cy="6767480"/>
                    </a:xfrm>
                    <a:prstGeom prst="rect">
                      <a:avLst/>
                    </a:prstGeom>
                    <a:noFill/>
                    <a:ln>
                      <a:noFill/>
                    </a:ln>
                  </pic:spPr>
                </pic:pic>
              </a:graphicData>
            </a:graphic>
          </wp:inline>
        </w:drawing>
      </w:r>
    </w:p>
    <w:p w14:paraId="7828D0ED" w14:textId="77777777" w:rsidR="009B5C8F" w:rsidRPr="009B5C8F" w:rsidRDefault="009B5C8F" w:rsidP="009B5C8F">
      <w:pPr>
        <w:jc w:val="left"/>
        <w:rPr>
          <w:rFonts w:ascii="Times New Roman" w:eastAsia="等线" w:hAnsi="Times New Roman" w:cs="Times New Roman"/>
          <w:b/>
          <w:bCs/>
          <w:sz w:val="24"/>
          <w:szCs w:val="24"/>
          <w:lang w:val="en-GB"/>
        </w:rPr>
      </w:pPr>
    </w:p>
    <w:p w14:paraId="50E416C6" w14:textId="77777777" w:rsidR="009B5C8F" w:rsidRPr="009B5C8F" w:rsidRDefault="009B5C8F" w:rsidP="009B5C8F">
      <w:pPr>
        <w:widowControl/>
        <w:jc w:val="left"/>
        <w:rPr>
          <w:rFonts w:ascii="Times New Roman" w:eastAsia="等线" w:hAnsi="Times New Roman" w:cs="Times New Roman"/>
          <w:b/>
          <w:bCs/>
          <w:sz w:val="24"/>
          <w:szCs w:val="24"/>
          <w:lang w:val="en-GB"/>
        </w:rPr>
      </w:pPr>
      <w:r w:rsidRPr="009B5C8F">
        <w:rPr>
          <w:rFonts w:ascii="Times New Roman" w:eastAsia="等线" w:hAnsi="Times New Roman" w:cs="Times New Roman"/>
          <w:b/>
          <w:bCs/>
          <w:sz w:val="24"/>
          <w:szCs w:val="24"/>
          <w:lang w:val="en-GB"/>
        </w:rPr>
        <w:br w:type="page"/>
      </w:r>
    </w:p>
    <w:p w14:paraId="594A7B60" w14:textId="77777777" w:rsidR="009B5C8F" w:rsidRPr="009B5C8F" w:rsidRDefault="009B5C8F" w:rsidP="009B5C8F">
      <w:pPr>
        <w:jc w:val="left"/>
        <w:rPr>
          <w:rFonts w:ascii="Times New Roman" w:eastAsia="等线" w:hAnsi="Times New Roman" w:cs="Times New Roman"/>
          <w:b/>
          <w:bCs/>
          <w:sz w:val="24"/>
          <w:szCs w:val="24"/>
          <w:lang w:val="en-GB"/>
        </w:rPr>
      </w:pPr>
      <w:r w:rsidRPr="009B5C8F">
        <w:rPr>
          <w:rFonts w:ascii="Times New Roman" w:eastAsia="等线" w:hAnsi="Times New Roman" w:cs="Times New Roman" w:hint="eastAsia"/>
          <w:b/>
          <w:bCs/>
          <w:sz w:val="24"/>
          <w:szCs w:val="24"/>
          <w:lang w:val="en-GB"/>
        </w:rPr>
        <w:lastRenderedPageBreak/>
        <w:t>F</w:t>
      </w:r>
      <w:r w:rsidRPr="009B5C8F">
        <w:rPr>
          <w:rFonts w:ascii="Times New Roman" w:eastAsia="等线" w:hAnsi="Times New Roman" w:cs="Times New Roman"/>
          <w:b/>
          <w:bCs/>
          <w:sz w:val="24"/>
          <w:szCs w:val="24"/>
          <w:lang w:val="en-GB"/>
        </w:rPr>
        <w:t>igure S3</w:t>
      </w:r>
    </w:p>
    <w:p w14:paraId="196BFCBA" w14:textId="77777777" w:rsidR="009B5C8F" w:rsidRPr="009B5C8F" w:rsidRDefault="009B5C8F" w:rsidP="009B5C8F">
      <w:pPr>
        <w:jc w:val="center"/>
        <w:rPr>
          <w:rFonts w:ascii="Times New Roman" w:eastAsia="等线" w:hAnsi="Times New Roman" w:cs="Times New Roman"/>
          <w:b/>
          <w:bCs/>
          <w:sz w:val="24"/>
          <w:szCs w:val="24"/>
          <w:lang w:val="en-GB"/>
        </w:rPr>
      </w:pPr>
      <w:r w:rsidRPr="009B5C8F">
        <w:rPr>
          <w:rFonts w:ascii="等线" w:eastAsia="等线" w:hAnsi="等线" w:cs="Times New Roman"/>
          <w:noProof/>
        </w:rPr>
        <w:drawing>
          <wp:inline distT="0" distB="0" distL="0" distR="0" wp14:anchorId="73CB7BA8" wp14:editId="6053DC28">
            <wp:extent cx="5798000" cy="47244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803776" cy="4729107"/>
                    </a:xfrm>
                    <a:prstGeom prst="rect">
                      <a:avLst/>
                    </a:prstGeom>
                    <a:noFill/>
                    <a:ln>
                      <a:noFill/>
                    </a:ln>
                  </pic:spPr>
                </pic:pic>
              </a:graphicData>
            </a:graphic>
          </wp:inline>
        </w:drawing>
      </w:r>
    </w:p>
    <w:p w14:paraId="5ECB1FCB" w14:textId="77777777" w:rsidR="009B5C8F" w:rsidRPr="009B5C8F" w:rsidRDefault="009B5C8F" w:rsidP="009B5C8F">
      <w:pPr>
        <w:widowControl/>
        <w:jc w:val="left"/>
        <w:rPr>
          <w:rFonts w:ascii="Times New Roman" w:eastAsia="等线" w:hAnsi="Times New Roman" w:cs="Times New Roman"/>
          <w:b/>
          <w:bCs/>
          <w:sz w:val="24"/>
          <w:szCs w:val="24"/>
          <w:lang w:val="en-GB"/>
        </w:rPr>
      </w:pPr>
      <w:r w:rsidRPr="009B5C8F">
        <w:rPr>
          <w:rFonts w:ascii="Times New Roman" w:eastAsia="等线" w:hAnsi="Times New Roman" w:cs="Times New Roman"/>
          <w:b/>
          <w:bCs/>
          <w:sz w:val="24"/>
          <w:szCs w:val="24"/>
          <w:lang w:val="en-GB"/>
        </w:rPr>
        <w:br w:type="page"/>
      </w:r>
    </w:p>
    <w:p w14:paraId="318F9FBD" w14:textId="77777777" w:rsidR="009B5C8F" w:rsidRPr="00C56A2A" w:rsidRDefault="009B5C8F" w:rsidP="009B5C8F">
      <w:pPr>
        <w:spacing w:line="480" w:lineRule="auto"/>
        <w:jc w:val="left"/>
        <w:rPr>
          <w:rFonts w:ascii="Times New Roman" w:eastAsia="等线" w:hAnsi="Times New Roman" w:cs="Times New Roman"/>
          <w:b/>
          <w:bCs/>
          <w:sz w:val="20"/>
          <w:szCs w:val="20"/>
        </w:rPr>
      </w:pPr>
      <w:r w:rsidRPr="00C56A2A">
        <w:rPr>
          <w:rFonts w:ascii="Times New Roman" w:eastAsia="等线" w:hAnsi="Times New Roman" w:cs="Times New Roman"/>
          <w:b/>
          <w:bCs/>
          <w:sz w:val="20"/>
          <w:szCs w:val="20"/>
        </w:rPr>
        <w:lastRenderedPageBreak/>
        <w:t>Table S1. Characteristics of the data analysis set</w:t>
      </w:r>
      <w:r w:rsidRPr="00C56A2A">
        <w:rPr>
          <w:rFonts w:ascii="Times New Roman" w:eastAsia="等线" w:hAnsi="Times New Roman" w:cs="Times New Roman"/>
          <w:b/>
          <w:bCs/>
          <w:sz w:val="20"/>
          <w:szCs w:val="20"/>
          <w:vertAlign w:val="superscript"/>
        </w:rPr>
        <w:t>a</w:t>
      </w:r>
    </w:p>
    <w:tbl>
      <w:tblPr>
        <w:tblStyle w:val="a7"/>
        <w:tblW w:w="0" w:type="auto"/>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2323"/>
        <w:gridCol w:w="1046"/>
        <w:gridCol w:w="1275"/>
        <w:gridCol w:w="1211"/>
        <w:gridCol w:w="1483"/>
        <w:gridCol w:w="1184"/>
      </w:tblGrid>
      <w:tr w:rsidR="009B5C8F" w:rsidRPr="009B5C8F" w14:paraId="2E0A13B0" w14:textId="77777777" w:rsidTr="003B3198">
        <w:trPr>
          <w:trHeight w:val="255"/>
        </w:trPr>
        <w:tc>
          <w:tcPr>
            <w:tcW w:w="2323" w:type="dxa"/>
            <w:tcBorders>
              <w:top w:val="single" w:sz="4" w:space="0" w:color="auto"/>
              <w:left w:val="nil"/>
              <w:bottom w:val="single" w:sz="4" w:space="0" w:color="auto"/>
              <w:right w:val="nil"/>
            </w:tcBorders>
            <w:noWrap/>
          </w:tcPr>
          <w:p w14:paraId="6DEFEC33" w14:textId="77777777" w:rsidR="009B5C8F" w:rsidRPr="009B5C8F" w:rsidRDefault="009B5C8F" w:rsidP="009B5C8F">
            <w:pPr>
              <w:jc w:val="left"/>
              <w:rPr>
                <w:b/>
                <w:bCs/>
                <w:sz w:val="16"/>
                <w:szCs w:val="16"/>
              </w:rPr>
            </w:pPr>
            <w:r w:rsidRPr="009B5C8F">
              <w:rPr>
                <w:rFonts w:hint="eastAsia"/>
                <w:b/>
                <w:bCs/>
                <w:sz w:val="16"/>
                <w:szCs w:val="16"/>
              </w:rPr>
              <w:t>C</w:t>
            </w:r>
            <w:r w:rsidRPr="009B5C8F">
              <w:rPr>
                <w:b/>
                <w:bCs/>
                <w:sz w:val="16"/>
                <w:szCs w:val="16"/>
              </w:rPr>
              <w:t>haracteristics</w:t>
            </w:r>
          </w:p>
        </w:tc>
        <w:tc>
          <w:tcPr>
            <w:tcW w:w="1046" w:type="dxa"/>
            <w:tcBorders>
              <w:top w:val="single" w:sz="4" w:space="0" w:color="auto"/>
              <w:left w:val="nil"/>
              <w:bottom w:val="single" w:sz="4" w:space="0" w:color="auto"/>
              <w:right w:val="nil"/>
            </w:tcBorders>
            <w:noWrap/>
          </w:tcPr>
          <w:p w14:paraId="284558DD" w14:textId="77777777" w:rsidR="009B5C8F" w:rsidRPr="009B5C8F" w:rsidRDefault="009B5C8F" w:rsidP="009B5C8F">
            <w:pPr>
              <w:rPr>
                <w:b/>
                <w:bCs/>
                <w:sz w:val="16"/>
                <w:szCs w:val="16"/>
              </w:rPr>
            </w:pPr>
            <w:r w:rsidRPr="009B5C8F">
              <w:rPr>
                <w:b/>
                <w:bCs/>
                <w:sz w:val="16"/>
                <w:szCs w:val="16"/>
              </w:rPr>
              <w:t>dataset1</w:t>
            </w:r>
          </w:p>
        </w:tc>
        <w:tc>
          <w:tcPr>
            <w:tcW w:w="1275" w:type="dxa"/>
            <w:tcBorders>
              <w:top w:val="single" w:sz="4" w:space="0" w:color="auto"/>
              <w:left w:val="nil"/>
              <w:bottom w:val="single" w:sz="4" w:space="0" w:color="auto"/>
              <w:right w:val="nil"/>
            </w:tcBorders>
            <w:noWrap/>
          </w:tcPr>
          <w:p w14:paraId="076EE557" w14:textId="77777777" w:rsidR="009B5C8F" w:rsidRPr="009B5C8F" w:rsidRDefault="009B5C8F" w:rsidP="009B5C8F">
            <w:pPr>
              <w:rPr>
                <w:b/>
                <w:bCs/>
                <w:sz w:val="16"/>
                <w:szCs w:val="16"/>
              </w:rPr>
            </w:pPr>
            <w:r w:rsidRPr="009B5C8F">
              <w:rPr>
                <w:b/>
                <w:bCs/>
                <w:sz w:val="16"/>
                <w:szCs w:val="16"/>
              </w:rPr>
              <w:t>dataset2</w:t>
            </w:r>
          </w:p>
        </w:tc>
        <w:tc>
          <w:tcPr>
            <w:tcW w:w="1211" w:type="dxa"/>
            <w:tcBorders>
              <w:top w:val="single" w:sz="4" w:space="0" w:color="auto"/>
              <w:left w:val="nil"/>
              <w:bottom w:val="single" w:sz="4" w:space="0" w:color="auto"/>
              <w:right w:val="nil"/>
            </w:tcBorders>
            <w:noWrap/>
          </w:tcPr>
          <w:p w14:paraId="4460DFEB" w14:textId="77777777" w:rsidR="009B5C8F" w:rsidRPr="009B5C8F" w:rsidRDefault="009B5C8F" w:rsidP="009B5C8F">
            <w:pPr>
              <w:rPr>
                <w:b/>
                <w:bCs/>
                <w:sz w:val="16"/>
                <w:szCs w:val="16"/>
              </w:rPr>
            </w:pPr>
            <w:r w:rsidRPr="009B5C8F">
              <w:rPr>
                <w:b/>
                <w:bCs/>
                <w:sz w:val="16"/>
                <w:szCs w:val="16"/>
              </w:rPr>
              <w:t>dataset3</w:t>
            </w:r>
          </w:p>
        </w:tc>
        <w:tc>
          <w:tcPr>
            <w:tcW w:w="1483" w:type="dxa"/>
            <w:tcBorders>
              <w:top w:val="single" w:sz="4" w:space="0" w:color="auto"/>
              <w:left w:val="nil"/>
              <w:bottom w:val="single" w:sz="4" w:space="0" w:color="auto"/>
              <w:right w:val="nil"/>
            </w:tcBorders>
            <w:noWrap/>
          </w:tcPr>
          <w:p w14:paraId="537B25BE" w14:textId="77777777" w:rsidR="009B5C8F" w:rsidRPr="009B5C8F" w:rsidRDefault="009B5C8F" w:rsidP="009B5C8F">
            <w:pPr>
              <w:rPr>
                <w:b/>
                <w:bCs/>
                <w:sz w:val="16"/>
                <w:szCs w:val="16"/>
              </w:rPr>
            </w:pPr>
            <w:r w:rsidRPr="009B5C8F">
              <w:rPr>
                <w:b/>
                <w:bCs/>
                <w:sz w:val="16"/>
                <w:szCs w:val="16"/>
              </w:rPr>
              <w:t>dataset4</w:t>
            </w:r>
          </w:p>
        </w:tc>
        <w:tc>
          <w:tcPr>
            <w:tcW w:w="1184" w:type="dxa"/>
            <w:tcBorders>
              <w:top w:val="single" w:sz="4" w:space="0" w:color="auto"/>
              <w:left w:val="nil"/>
              <w:bottom w:val="single" w:sz="4" w:space="0" w:color="auto"/>
              <w:right w:val="nil"/>
            </w:tcBorders>
            <w:noWrap/>
          </w:tcPr>
          <w:p w14:paraId="3663CF07" w14:textId="77777777" w:rsidR="009B5C8F" w:rsidRPr="009B5C8F" w:rsidRDefault="009B5C8F" w:rsidP="009B5C8F">
            <w:pPr>
              <w:rPr>
                <w:b/>
                <w:bCs/>
                <w:sz w:val="16"/>
                <w:szCs w:val="16"/>
              </w:rPr>
            </w:pPr>
            <w:r w:rsidRPr="009B5C8F">
              <w:rPr>
                <w:b/>
                <w:bCs/>
                <w:sz w:val="16"/>
                <w:szCs w:val="16"/>
              </w:rPr>
              <w:t>dataset5</w:t>
            </w:r>
          </w:p>
        </w:tc>
      </w:tr>
      <w:tr w:rsidR="009B5C8F" w:rsidRPr="009B5C8F" w14:paraId="58F22A4A" w14:textId="77777777" w:rsidTr="003B3198">
        <w:trPr>
          <w:trHeight w:val="255"/>
        </w:trPr>
        <w:tc>
          <w:tcPr>
            <w:tcW w:w="2323" w:type="dxa"/>
            <w:tcBorders>
              <w:top w:val="single" w:sz="4" w:space="0" w:color="auto"/>
              <w:left w:val="nil"/>
              <w:bottom w:val="nil"/>
              <w:right w:val="nil"/>
            </w:tcBorders>
            <w:noWrap/>
            <w:vAlign w:val="bottom"/>
          </w:tcPr>
          <w:p w14:paraId="53A2201A" w14:textId="77777777" w:rsidR="009B5C8F" w:rsidRPr="009B5C8F" w:rsidRDefault="009B5C8F" w:rsidP="009B5C8F">
            <w:pPr>
              <w:jc w:val="left"/>
              <w:rPr>
                <w:sz w:val="16"/>
                <w:szCs w:val="16"/>
              </w:rPr>
            </w:pPr>
            <w:r w:rsidRPr="009B5C8F">
              <w:rPr>
                <w:color w:val="000000"/>
                <w:sz w:val="16"/>
                <w:szCs w:val="16"/>
              </w:rPr>
              <w:t>No. of participants</w:t>
            </w:r>
          </w:p>
        </w:tc>
        <w:tc>
          <w:tcPr>
            <w:tcW w:w="1046" w:type="dxa"/>
            <w:tcBorders>
              <w:top w:val="single" w:sz="4" w:space="0" w:color="auto"/>
              <w:left w:val="nil"/>
              <w:bottom w:val="nil"/>
              <w:right w:val="nil"/>
            </w:tcBorders>
            <w:noWrap/>
          </w:tcPr>
          <w:p w14:paraId="0DB66522" w14:textId="77777777" w:rsidR="009B5C8F" w:rsidRPr="009B5C8F" w:rsidRDefault="009B5C8F" w:rsidP="009B5C8F">
            <w:pPr>
              <w:rPr>
                <w:sz w:val="16"/>
                <w:szCs w:val="16"/>
              </w:rPr>
            </w:pPr>
            <w:r w:rsidRPr="009B5C8F">
              <w:rPr>
                <w:sz w:val="16"/>
                <w:szCs w:val="16"/>
              </w:rPr>
              <w:t>990</w:t>
            </w:r>
          </w:p>
        </w:tc>
        <w:tc>
          <w:tcPr>
            <w:tcW w:w="1275" w:type="dxa"/>
            <w:tcBorders>
              <w:top w:val="single" w:sz="4" w:space="0" w:color="auto"/>
              <w:left w:val="nil"/>
              <w:bottom w:val="nil"/>
              <w:right w:val="nil"/>
            </w:tcBorders>
            <w:noWrap/>
          </w:tcPr>
          <w:p w14:paraId="29527B1B" w14:textId="77777777" w:rsidR="009B5C8F" w:rsidRPr="009B5C8F" w:rsidRDefault="009B5C8F" w:rsidP="009B5C8F">
            <w:pPr>
              <w:rPr>
                <w:sz w:val="16"/>
                <w:szCs w:val="16"/>
              </w:rPr>
            </w:pPr>
            <w:r w:rsidRPr="009B5C8F">
              <w:rPr>
                <w:sz w:val="16"/>
                <w:szCs w:val="16"/>
              </w:rPr>
              <w:t>301</w:t>
            </w:r>
          </w:p>
        </w:tc>
        <w:tc>
          <w:tcPr>
            <w:tcW w:w="1211" w:type="dxa"/>
            <w:tcBorders>
              <w:top w:val="single" w:sz="4" w:space="0" w:color="auto"/>
              <w:left w:val="nil"/>
              <w:bottom w:val="nil"/>
              <w:right w:val="nil"/>
            </w:tcBorders>
            <w:noWrap/>
          </w:tcPr>
          <w:p w14:paraId="5C4985A9" w14:textId="77777777" w:rsidR="009B5C8F" w:rsidRPr="009B5C8F" w:rsidRDefault="009B5C8F" w:rsidP="009B5C8F">
            <w:pPr>
              <w:rPr>
                <w:sz w:val="16"/>
                <w:szCs w:val="16"/>
              </w:rPr>
            </w:pPr>
            <w:r w:rsidRPr="009B5C8F">
              <w:rPr>
                <w:sz w:val="16"/>
                <w:szCs w:val="16"/>
              </w:rPr>
              <w:t>366</w:t>
            </w:r>
          </w:p>
        </w:tc>
        <w:tc>
          <w:tcPr>
            <w:tcW w:w="1483" w:type="dxa"/>
            <w:tcBorders>
              <w:top w:val="single" w:sz="4" w:space="0" w:color="auto"/>
              <w:left w:val="nil"/>
              <w:bottom w:val="nil"/>
              <w:right w:val="nil"/>
            </w:tcBorders>
            <w:noWrap/>
          </w:tcPr>
          <w:p w14:paraId="0B998FD8" w14:textId="77777777" w:rsidR="009B5C8F" w:rsidRPr="009B5C8F" w:rsidRDefault="009B5C8F" w:rsidP="009B5C8F">
            <w:pPr>
              <w:rPr>
                <w:sz w:val="16"/>
                <w:szCs w:val="16"/>
              </w:rPr>
            </w:pPr>
            <w:r w:rsidRPr="009B5C8F">
              <w:rPr>
                <w:sz w:val="16"/>
                <w:szCs w:val="16"/>
              </w:rPr>
              <w:t>987</w:t>
            </w:r>
          </w:p>
        </w:tc>
        <w:tc>
          <w:tcPr>
            <w:tcW w:w="1184" w:type="dxa"/>
            <w:tcBorders>
              <w:top w:val="single" w:sz="4" w:space="0" w:color="auto"/>
              <w:left w:val="nil"/>
              <w:bottom w:val="nil"/>
              <w:right w:val="nil"/>
            </w:tcBorders>
            <w:noWrap/>
          </w:tcPr>
          <w:p w14:paraId="1D301714" w14:textId="77777777" w:rsidR="009B5C8F" w:rsidRPr="009B5C8F" w:rsidRDefault="009B5C8F" w:rsidP="009B5C8F">
            <w:pPr>
              <w:rPr>
                <w:sz w:val="16"/>
                <w:szCs w:val="16"/>
              </w:rPr>
            </w:pPr>
            <w:r w:rsidRPr="009B5C8F">
              <w:rPr>
                <w:sz w:val="16"/>
                <w:szCs w:val="16"/>
              </w:rPr>
              <w:t>1729</w:t>
            </w:r>
          </w:p>
        </w:tc>
      </w:tr>
      <w:tr w:rsidR="009B5C8F" w:rsidRPr="009B5C8F" w14:paraId="5EA99BE5" w14:textId="77777777" w:rsidTr="003B3198">
        <w:trPr>
          <w:trHeight w:val="255"/>
        </w:trPr>
        <w:tc>
          <w:tcPr>
            <w:tcW w:w="2323" w:type="dxa"/>
            <w:tcBorders>
              <w:top w:val="nil"/>
              <w:left w:val="nil"/>
              <w:bottom w:val="nil"/>
              <w:right w:val="nil"/>
            </w:tcBorders>
            <w:noWrap/>
            <w:vAlign w:val="bottom"/>
          </w:tcPr>
          <w:p w14:paraId="5D4D326C" w14:textId="77777777" w:rsidR="009B5C8F" w:rsidRPr="009B5C8F" w:rsidRDefault="009B5C8F" w:rsidP="009B5C8F">
            <w:pPr>
              <w:jc w:val="left"/>
              <w:rPr>
                <w:sz w:val="16"/>
                <w:szCs w:val="16"/>
              </w:rPr>
            </w:pPr>
            <w:r w:rsidRPr="009B5C8F">
              <w:rPr>
                <w:color w:val="000000"/>
                <w:sz w:val="16"/>
                <w:szCs w:val="16"/>
              </w:rPr>
              <w:t>Age (year)</w:t>
            </w:r>
          </w:p>
        </w:tc>
        <w:tc>
          <w:tcPr>
            <w:tcW w:w="1046" w:type="dxa"/>
            <w:tcBorders>
              <w:top w:val="nil"/>
              <w:left w:val="nil"/>
              <w:bottom w:val="nil"/>
              <w:right w:val="nil"/>
            </w:tcBorders>
            <w:noWrap/>
          </w:tcPr>
          <w:p w14:paraId="75943565" w14:textId="77777777" w:rsidR="009B5C8F" w:rsidRPr="009B5C8F" w:rsidRDefault="009B5C8F" w:rsidP="009B5C8F">
            <w:pPr>
              <w:rPr>
                <w:sz w:val="16"/>
                <w:szCs w:val="16"/>
              </w:rPr>
            </w:pPr>
            <w:r w:rsidRPr="009B5C8F">
              <w:rPr>
                <w:sz w:val="16"/>
                <w:szCs w:val="16"/>
              </w:rPr>
              <w:t>58.79 (5.64)</w:t>
            </w:r>
          </w:p>
        </w:tc>
        <w:tc>
          <w:tcPr>
            <w:tcW w:w="1275" w:type="dxa"/>
            <w:tcBorders>
              <w:top w:val="nil"/>
              <w:left w:val="nil"/>
              <w:bottom w:val="nil"/>
              <w:right w:val="nil"/>
            </w:tcBorders>
            <w:noWrap/>
          </w:tcPr>
          <w:p w14:paraId="51D14D90" w14:textId="77777777" w:rsidR="009B5C8F" w:rsidRPr="009B5C8F" w:rsidRDefault="009B5C8F" w:rsidP="009B5C8F">
            <w:pPr>
              <w:rPr>
                <w:sz w:val="16"/>
                <w:szCs w:val="16"/>
              </w:rPr>
            </w:pPr>
            <w:r w:rsidRPr="009B5C8F">
              <w:rPr>
                <w:sz w:val="16"/>
                <w:szCs w:val="16"/>
              </w:rPr>
              <w:t>66.21 (6.41)</w:t>
            </w:r>
          </w:p>
        </w:tc>
        <w:tc>
          <w:tcPr>
            <w:tcW w:w="1211" w:type="dxa"/>
            <w:tcBorders>
              <w:top w:val="nil"/>
              <w:left w:val="nil"/>
              <w:bottom w:val="nil"/>
              <w:right w:val="nil"/>
            </w:tcBorders>
            <w:noWrap/>
          </w:tcPr>
          <w:p w14:paraId="6599807A" w14:textId="77777777" w:rsidR="009B5C8F" w:rsidRPr="009B5C8F" w:rsidRDefault="009B5C8F" w:rsidP="009B5C8F">
            <w:pPr>
              <w:rPr>
                <w:sz w:val="16"/>
                <w:szCs w:val="16"/>
              </w:rPr>
            </w:pPr>
            <w:r w:rsidRPr="009B5C8F">
              <w:rPr>
                <w:sz w:val="16"/>
                <w:szCs w:val="16"/>
              </w:rPr>
              <w:t>66.09 (5.27)</w:t>
            </w:r>
          </w:p>
        </w:tc>
        <w:tc>
          <w:tcPr>
            <w:tcW w:w="1483" w:type="dxa"/>
            <w:tcBorders>
              <w:top w:val="nil"/>
              <w:left w:val="nil"/>
              <w:bottom w:val="nil"/>
              <w:right w:val="nil"/>
            </w:tcBorders>
            <w:noWrap/>
          </w:tcPr>
          <w:p w14:paraId="4CE2A921" w14:textId="77777777" w:rsidR="009B5C8F" w:rsidRPr="009B5C8F" w:rsidRDefault="009B5C8F" w:rsidP="009B5C8F">
            <w:pPr>
              <w:rPr>
                <w:sz w:val="16"/>
                <w:szCs w:val="16"/>
              </w:rPr>
            </w:pPr>
            <w:r w:rsidRPr="009B5C8F">
              <w:rPr>
                <w:sz w:val="16"/>
                <w:szCs w:val="16"/>
              </w:rPr>
              <w:t>64.71 (5.77)</w:t>
            </w:r>
          </w:p>
        </w:tc>
        <w:tc>
          <w:tcPr>
            <w:tcW w:w="1184" w:type="dxa"/>
            <w:tcBorders>
              <w:top w:val="nil"/>
              <w:left w:val="nil"/>
              <w:bottom w:val="nil"/>
              <w:right w:val="nil"/>
            </w:tcBorders>
            <w:noWrap/>
          </w:tcPr>
          <w:p w14:paraId="2E7F248A" w14:textId="77777777" w:rsidR="009B5C8F" w:rsidRPr="009B5C8F" w:rsidRDefault="009B5C8F" w:rsidP="009B5C8F">
            <w:pPr>
              <w:rPr>
                <w:sz w:val="16"/>
                <w:szCs w:val="16"/>
              </w:rPr>
            </w:pPr>
            <w:r w:rsidRPr="009B5C8F">
              <w:rPr>
                <w:sz w:val="16"/>
                <w:szCs w:val="16"/>
              </w:rPr>
              <w:t>58.54 (6.06)</w:t>
            </w:r>
          </w:p>
        </w:tc>
      </w:tr>
      <w:tr w:rsidR="009B5C8F" w:rsidRPr="009B5C8F" w14:paraId="076F02C9" w14:textId="77777777" w:rsidTr="003B3198">
        <w:trPr>
          <w:trHeight w:val="255"/>
        </w:trPr>
        <w:tc>
          <w:tcPr>
            <w:tcW w:w="2323" w:type="dxa"/>
            <w:tcBorders>
              <w:top w:val="nil"/>
              <w:left w:val="nil"/>
              <w:bottom w:val="nil"/>
              <w:right w:val="nil"/>
            </w:tcBorders>
            <w:noWrap/>
            <w:vAlign w:val="bottom"/>
          </w:tcPr>
          <w:p w14:paraId="2BCE9142" w14:textId="77777777" w:rsidR="009B5C8F" w:rsidRPr="009B5C8F" w:rsidRDefault="009B5C8F" w:rsidP="009B5C8F">
            <w:pPr>
              <w:jc w:val="left"/>
              <w:rPr>
                <w:sz w:val="16"/>
                <w:szCs w:val="16"/>
              </w:rPr>
            </w:pPr>
            <w:r w:rsidRPr="009B5C8F">
              <w:rPr>
                <w:color w:val="000000"/>
                <w:sz w:val="16"/>
                <w:szCs w:val="16"/>
              </w:rPr>
              <w:t>Sex</w:t>
            </w:r>
          </w:p>
        </w:tc>
        <w:tc>
          <w:tcPr>
            <w:tcW w:w="1046" w:type="dxa"/>
            <w:tcBorders>
              <w:top w:val="nil"/>
              <w:left w:val="nil"/>
              <w:bottom w:val="nil"/>
              <w:right w:val="nil"/>
            </w:tcBorders>
            <w:noWrap/>
          </w:tcPr>
          <w:p w14:paraId="2EA76E7D" w14:textId="77777777" w:rsidR="009B5C8F" w:rsidRPr="009B5C8F" w:rsidRDefault="009B5C8F" w:rsidP="009B5C8F">
            <w:pPr>
              <w:rPr>
                <w:sz w:val="16"/>
                <w:szCs w:val="16"/>
              </w:rPr>
            </w:pPr>
          </w:p>
        </w:tc>
        <w:tc>
          <w:tcPr>
            <w:tcW w:w="1275" w:type="dxa"/>
            <w:tcBorders>
              <w:top w:val="nil"/>
              <w:left w:val="nil"/>
              <w:bottom w:val="nil"/>
              <w:right w:val="nil"/>
            </w:tcBorders>
            <w:noWrap/>
          </w:tcPr>
          <w:p w14:paraId="68467F42" w14:textId="77777777" w:rsidR="009B5C8F" w:rsidRPr="009B5C8F" w:rsidRDefault="009B5C8F" w:rsidP="009B5C8F">
            <w:pPr>
              <w:rPr>
                <w:sz w:val="16"/>
                <w:szCs w:val="16"/>
              </w:rPr>
            </w:pPr>
          </w:p>
        </w:tc>
        <w:tc>
          <w:tcPr>
            <w:tcW w:w="1211" w:type="dxa"/>
            <w:tcBorders>
              <w:top w:val="nil"/>
              <w:left w:val="nil"/>
              <w:bottom w:val="nil"/>
              <w:right w:val="nil"/>
            </w:tcBorders>
            <w:noWrap/>
          </w:tcPr>
          <w:p w14:paraId="738CFC9C" w14:textId="77777777" w:rsidR="009B5C8F" w:rsidRPr="009B5C8F" w:rsidRDefault="009B5C8F" w:rsidP="009B5C8F">
            <w:pPr>
              <w:rPr>
                <w:sz w:val="16"/>
                <w:szCs w:val="16"/>
              </w:rPr>
            </w:pPr>
          </w:p>
        </w:tc>
        <w:tc>
          <w:tcPr>
            <w:tcW w:w="1483" w:type="dxa"/>
            <w:tcBorders>
              <w:top w:val="nil"/>
              <w:left w:val="nil"/>
              <w:bottom w:val="nil"/>
              <w:right w:val="nil"/>
            </w:tcBorders>
            <w:noWrap/>
          </w:tcPr>
          <w:p w14:paraId="02C3F39F" w14:textId="77777777" w:rsidR="009B5C8F" w:rsidRPr="009B5C8F" w:rsidRDefault="009B5C8F" w:rsidP="009B5C8F">
            <w:pPr>
              <w:rPr>
                <w:sz w:val="16"/>
                <w:szCs w:val="16"/>
              </w:rPr>
            </w:pPr>
          </w:p>
        </w:tc>
        <w:tc>
          <w:tcPr>
            <w:tcW w:w="1184" w:type="dxa"/>
            <w:tcBorders>
              <w:top w:val="nil"/>
              <w:left w:val="nil"/>
              <w:bottom w:val="nil"/>
              <w:right w:val="nil"/>
            </w:tcBorders>
            <w:noWrap/>
          </w:tcPr>
          <w:p w14:paraId="3265D37C" w14:textId="77777777" w:rsidR="009B5C8F" w:rsidRPr="009B5C8F" w:rsidRDefault="009B5C8F" w:rsidP="009B5C8F">
            <w:pPr>
              <w:rPr>
                <w:sz w:val="16"/>
                <w:szCs w:val="16"/>
              </w:rPr>
            </w:pPr>
          </w:p>
        </w:tc>
      </w:tr>
      <w:tr w:rsidR="009B5C8F" w:rsidRPr="009B5C8F" w14:paraId="5F93360D" w14:textId="77777777" w:rsidTr="003B3198">
        <w:trPr>
          <w:trHeight w:val="255"/>
        </w:trPr>
        <w:tc>
          <w:tcPr>
            <w:tcW w:w="2323" w:type="dxa"/>
            <w:tcBorders>
              <w:top w:val="nil"/>
              <w:left w:val="nil"/>
              <w:bottom w:val="nil"/>
              <w:right w:val="nil"/>
            </w:tcBorders>
            <w:shd w:val="clear" w:color="auto" w:fill="FFFFFF"/>
            <w:noWrap/>
            <w:vAlign w:val="bottom"/>
          </w:tcPr>
          <w:p w14:paraId="48CA8F1E" w14:textId="77777777" w:rsidR="009B5C8F" w:rsidRPr="009B5C8F" w:rsidRDefault="009B5C8F" w:rsidP="009B5C8F">
            <w:pPr>
              <w:jc w:val="right"/>
              <w:rPr>
                <w:sz w:val="16"/>
                <w:szCs w:val="16"/>
              </w:rPr>
            </w:pPr>
            <w:r w:rsidRPr="009B5C8F">
              <w:rPr>
                <w:sz w:val="16"/>
                <w:szCs w:val="16"/>
              </w:rPr>
              <w:t>Women</w:t>
            </w:r>
          </w:p>
        </w:tc>
        <w:tc>
          <w:tcPr>
            <w:tcW w:w="1046" w:type="dxa"/>
            <w:tcBorders>
              <w:top w:val="nil"/>
              <w:left w:val="nil"/>
              <w:bottom w:val="nil"/>
              <w:right w:val="nil"/>
            </w:tcBorders>
            <w:noWrap/>
          </w:tcPr>
          <w:p w14:paraId="1DE15149" w14:textId="77777777" w:rsidR="009B5C8F" w:rsidRPr="009B5C8F" w:rsidRDefault="009B5C8F" w:rsidP="009B5C8F">
            <w:pPr>
              <w:rPr>
                <w:sz w:val="16"/>
                <w:szCs w:val="16"/>
              </w:rPr>
            </w:pPr>
            <w:r w:rsidRPr="009B5C8F">
              <w:rPr>
                <w:sz w:val="16"/>
                <w:szCs w:val="16"/>
              </w:rPr>
              <w:t>668 (67.5%)</w:t>
            </w:r>
          </w:p>
        </w:tc>
        <w:tc>
          <w:tcPr>
            <w:tcW w:w="1275" w:type="dxa"/>
            <w:tcBorders>
              <w:top w:val="nil"/>
              <w:left w:val="nil"/>
              <w:bottom w:val="nil"/>
              <w:right w:val="nil"/>
            </w:tcBorders>
            <w:noWrap/>
          </w:tcPr>
          <w:p w14:paraId="67F819C3" w14:textId="77777777" w:rsidR="009B5C8F" w:rsidRPr="009B5C8F" w:rsidRDefault="009B5C8F" w:rsidP="009B5C8F">
            <w:pPr>
              <w:rPr>
                <w:sz w:val="16"/>
                <w:szCs w:val="16"/>
              </w:rPr>
            </w:pPr>
            <w:r w:rsidRPr="009B5C8F">
              <w:rPr>
                <w:sz w:val="16"/>
                <w:szCs w:val="16"/>
              </w:rPr>
              <w:t>227 (75.4%)</w:t>
            </w:r>
          </w:p>
        </w:tc>
        <w:tc>
          <w:tcPr>
            <w:tcW w:w="1211" w:type="dxa"/>
            <w:tcBorders>
              <w:top w:val="nil"/>
              <w:left w:val="nil"/>
              <w:bottom w:val="nil"/>
              <w:right w:val="nil"/>
            </w:tcBorders>
            <w:noWrap/>
          </w:tcPr>
          <w:p w14:paraId="3401292E" w14:textId="77777777" w:rsidR="009B5C8F" w:rsidRPr="009B5C8F" w:rsidRDefault="009B5C8F" w:rsidP="009B5C8F">
            <w:pPr>
              <w:rPr>
                <w:sz w:val="16"/>
                <w:szCs w:val="16"/>
              </w:rPr>
            </w:pPr>
            <w:r w:rsidRPr="009B5C8F">
              <w:rPr>
                <w:sz w:val="16"/>
                <w:szCs w:val="16"/>
              </w:rPr>
              <w:t>241 (65.8%)</w:t>
            </w:r>
          </w:p>
        </w:tc>
        <w:tc>
          <w:tcPr>
            <w:tcW w:w="1483" w:type="dxa"/>
            <w:tcBorders>
              <w:top w:val="nil"/>
              <w:left w:val="nil"/>
              <w:bottom w:val="nil"/>
              <w:right w:val="nil"/>
            </w:tcBorders>
            <w:noWrap/>
          </w:tcPr>
          <w:p w14:paraId="2B958D4C" w14:textId="77777777" w:rsidR="009B5C8F" w:rsidRPr="009B5C8F" w:rsidRDefault="009B5C8F" w:rsidP="009B5C8F">
            <w:pPr>
              <w:rPr>
                <w:sz w:val="16"/>
                <w:szCs w:val="16"/>
              </w:rPr>
            </w:pPr>
            <w:r w:rsidRPr="009B5C8F">
              <w:rPr>
                <w:sz w:val="16"/>
                <w:szCs w:val="16"/>
              </w:rPr>
              <w:t>690 (69.9%)</w:t>
            </w:r>
          </w:p>
        </w:tc>
        <w:tc>
          <w:tcPr>
            <w:tcW w:w="1184" w:type="dxa"/>
            <w:tcBorders>
              <w:top w:val="nil"/>
              <w:left w:val="nil"/>
              <w:bottom w:val="nil"/>
              <w:right w:val="nil"/>
            </w:tcBorders>
            <w:noWrap/>
          </w:tcPr>
          <w:p w14:paraId="235A704E" w14:textId="77777777" w:rsidR="009B5C8F" w:rsidRPr="009B5C8F" w:rsidRDefault="009B5C8F" w:rsidP="009B5C8F">
            <w:pPr>
              <w:rPr>
                <w:sz w:val="16"/>
                <w:szCs w:val="16"/>
              </w:rPr>
            </w:pPr>
            <w:r w:rsidRPr="009B5C8F">
              <w:rPr>
                <w:sz w:val="16"/>
                <w:szCs w:val="16"/>
              </w:rPr>
              <w:t>1159 (67.0%)</w:t>
            </w:r>
          </w:p>
        </w:tc>
      </w:tr>
      <w:tr w:rsidR="009B5C8F" w:rsidRPr="009B5C8F" w14:paraId="4B19AF54" w14:textId="77777777" w:rsidTr="003B3198">
        <w:trPr>
          <w:trHeight w:val="255"/>
        </w:trPr>
        <w:tc>
          <w:tcPr>
            <w:tcW w:w="2323" w:type="dxa"/>
            <w:tcBorders>
              <w:top w:val="nil"/>
              <w:left w:val="nil"/>
              <w:bottom w:val="nil"/>
              <w:right w:val="nil"/>
            </w:tcBorders>
            <w:shd w:val="clear" w:color="auto" w:fill="FFFFFF"/>
            <w:noWrap/>
            <w:vAlign w:val="bottom"/>
          </w:tcPr>
          <w:p w14:paraId="2D8D8922" w14:textId="77777777" w:rsidR="009B5C8F" w:rsidRPr="009B5C8F" w:rsidRDefault="009B5C8F" w:rsidP="009B5C8F">
            <w:pPr>
              <w:jc w:val="right"/>
              <w:rPr>
                <w:sz w:val="16"/>
                <w:szCs w:val="16"/>
              </w:rPr>
            </w:pPr>
            <w:r w:rsidRPr="009B5C8F">
              <w:rPr>
                <w:sz w:val="16"/>
                <w:szCs w:val="16"/>
              </w:rPr>
              <w:t>Men</w:t>
            </w:r>
          </w:p>
        </w:tc>
        <w:tc>
          <w:tcPr>
            <w:tcW w:w="1046" w:type="dxa"/>
            <w:tcBorders>
              <w:top w:val="nil"/>
              <w:left w:val="nil"/>
              <w:bottom w:val="nil"/>
              <w:right w:val="nil"/>
            </w:tcBorders>
            <w:noWrap/>
          </w:tcPr>
          <w:p w14:paraId="29D2B339" w14:textId="77777777" w:rsidR="009B5C8F" w:rsidRPr="009B5C8F" w:rsidRDefault="009B5C8F" w:rsidP="009B5C8F">
            <w:pPr>
              <w:rPr>
                <w:sz w:val="16"/>
                <w:szCs w:val="16"/>
              </w:rPr>
            </w:pPr>
            <w:r w:rsidRPr="009B5C8F">
              <w:rPr>
                <w:sz w:val="16"/>
                <w:szCs w:val="16"/>
              </w:rPr>
              <w:t>322 (32.5%)</w:t>
            </w:r>
          </w:p>
        </w:tc>
        <w:tc>
          <w:tcPr>
            <w:tcW w:w="1275" w:type="dxa"/>
            <w:tcBorders>
              <w:top w:val="nil"/>
              <w:left w:val="nil"/>
              <w:bottom w:val="nil"/>
              <w:right w:val="nil"/>
            </w:tcBorders>
            <w:noWrap/>
          </w:tcPr>
          <w:p w14:paraId="13324B54" w14:textId="77777777" w:rsidR="009B5C8F" w:rsidRPr="009B5C8F" w:rsidRDefault="009B5C8F" w:rsidP="009B5C8F">
            <w:pPr>
              <w:rPr>
                <w:sz w:val="16"/>
                <w:szCs w:val="16"/>
              </w:rPr>
            </w:pPr>
            <w:r w:rsidRPr="009B5C8F">
              <w:rPr>
                <w:sz w:val="16"/>
                <w:szCs w:val="16"/>
              </w:rPr>
              <w:t>74 (24.6%)</w:t>
            </w:r>
          </w:p>
        </w:tc>
        <w:tc>
          <w:tcPr>
            <w:tcW w:w="1211" w:type="dxa"/>
            <w:tcBorders>
              <w:top w:val="nil"/>
              <w:left w:val="nil"/>
              <w:bottom w:val="nil"/>
              <w:right w:val="nil"/>
            </w:tcBorders>
            <w:noWrap/>
          </w:tcPr>
          <w:p w14:paraId="0B80A325" w14:textId="77777777" w:rsidR="009B5C8F" w:rsidRPr="009B5C8F" w:rsidRDefault="009B5C8F" w:rsidP="009B5C8F">
            <w:pPr>
              <w:rPr>
                <w:sz w:val="16"/>
                <w:szCs w:val="16"/>
              </w:rPr>
            </w:pPr>
            <w:r w:rsidRPr="009B5C8F">
              <w:rPr>
                <w:sz w:val="16"/>
                <w:szCs w:val="16"/>
              </w:rPr>
              <w:t>125 (34.2%)</w:t>
            </w:r>
          </w:p>
        </w:tc>
        <w:tc>
          <w:tcPr>
            <w:tcW w:w="1483" w:type="dxa"/>
            <w:tcBorders>
              <w:top w:val="nil"/>
              <w:left w:val="nil"/>
              <w:bottom w:val="nil"/>
              <w:right w:val="nil"/>
            </w:tcBorders>
            <w:noWrap/>
          </w:tcPr>
          <w:p w14:paraId="60FF7CCF" w14:textId="77777777" w:rsidR="009B5C8F" w:rsidRPr="009B5C8F" w:rsidRDefault="009B5C8F" w:rsidP="009B5C8F">
            <w:pPr>
              <w:rPr>
                <w:sz w:val="16"/>
                <w:szCs w:val="16"/>
              </w:rPr>
            </w:pPr>
            <w:r w:rsidRPr="009B5C8F">
              <w:rPr>
                <w:sz w:val="16"/>
                <w:szCs w:val="16"/>
              </w:rPr>
              <w:t>297 (30.1%)</w:t>
            </w:r>
          </w:p>
        </w:tc>
        <w:tc>
          <w:tcPr>
            <w:tcW w:w="1184" w:type="dxa"/>
            <w:tcBorders>
              <w:top w:val="nil"/>
              <w:left w:val="nil"/>
              <w:bottom w:val="nil"/>
              <w:right w:val="nil"/>
            </w:tcBorders>
            <w:noWrap/>
          </w:tcPr>
          <w:p w14:paraId="4463FE25" w14:textId="77777777" w:rsidR="009B5C8F" w:rsidRPr="009B5C8F" w:rsidRDefault="009B5C8F" w:rsidP="009B5C8F">
            <w:pPr>
              <w:rPr>
                <w:sz w:val="16"/>
                <w:szCs w:val="16"/>
              </w:rPr>
            </w:pPr>
            <w:r w:rsidRPr="009B5C8F">
              <w:rPr>
                <w:sz w:val="16"/>
                <w:szCs w:val="16"/>
              </w:rPr>
              <w:t>570 (33.0%)</w:t>
            </w:r>
          </w:p>
        </w:tc>
      </w:tr>
      <w:tr w:rsidR="009B5C8F" w:rsidRPr="009B5C8F" w14:paraId="7034EC28" w14:textId="77777777" w:rsidTr="003B3198">
        <w:trPr>
          <w:trHeight w:val="255"/>
        </w:trPr>
        <w:tc>
          <w:tcPr>
            <w:tcW w:w="2323" w:type="dxa"/>
            <w:tcBorders>
              <w:top w:val="nil"/>
              <w:left w:val="nil"/>
              <w:bottom w:val="nil"/>
              <w:right w:val="nil"/>
            </w:tcBorders>
            <w:noWrap/>
          </w:tcPr>
          <w:p w14:paraId="3367F3D8" w14:textId="77777777" w:rsidR="009B5C8F" w:rsidRPr="009B5C8F" w:rsidRDefault="009B5C8F" w:rsidP="009B5C8F">
            <w:pPr>
              <w:jc w:val="left"/>
              <w:rPr>
                <w:sz w:val="16"/>
                <w:szCs w:val="16"/>
              </w:rPr>
            </w:pPr>
            <w:r w:rsidRPr="009B5C8F">
              <w:rPr>
                <w:sz w:val="16"/>
                <w:szCs w:val="16"/>
              </w:rPr>
              <w:t>BMI, kg/m</w:t>
            </w:r>
            <w:r w:rsidRPr="009B5C8F">
              <w:rPr>
                <w:sz w:val="16"/>
                <w:szCs w:val="16"/>
                <w:vertAlign w:val="superscript"/>
              </w:rPr>
              <w:t>2</w:t>
            </w:r>
          </w:p>
        </w:tc>
        <w:tc>
          <w:tcPr>
            <w:tcW w:w="1046" w:type="dxa"/>
            <w:tcBorders>
              <w:top w:val="nil"/>
              <w:left w:val="nil"/>
              <w:bottom w:val="nil"/>
              <w:right w:val="nil"/>
            </w:tcBorders>
            <w:noWrap/>
          </w:tcPr>
          <w:p w14:paraId="36028680" w14:textId="77777777" w:rsidR="009B5C8F" w:rsidRPr="009B5C8F" w:rsidRDefault="009B5C8F" w:rsidP="009B5C8F">
            <w:pPr>
              <w:rPr>
                <w:sz w:val="16"/>
                <w:szCs w:val="16"/>
              </w:rPr>
            </w:pPr>
            <w:r w:rsidRPr="009B5C8F">
              <w:rPr>
                <w:sz w:val="16"/>
                <w:szCs w:val="16"/>
              </w:rPr>
              <w:t>23.55 (3.23)</w:t>
            </w:r>
          </w:p>
        </w:tc>
        <w:tc>
          <w:tcPr>
            <w:tcW w:w="1275" w:type="dxa"/>
            <w:tcBorders>
              <w:top w:val="nil"/>
              <w:left w:val="nil"/>
              <w:bottom w:val="nil"/>
              <w:right w:val="nil"/>
            </w:tcBorders>
            <w:noWrap/>
          </w:tcPr>
          <w:p w14:paraId="19EEBEF5" w14:textId="77777777" w:rsidR="009B5C8F" w:rsidRPr="009B5C8F" w:rsidRDefault="009B5C8F" w:rsidP="009B5C8F">
            <w:pPr>
              <w:rPr>
                <w:sz w:val="16"/>
                <w:szCs w:val="16"/>
              </w:rPr>
            </w:pPr>
            <w:r w:rsidRPr="009B5C8F">
              <w:rPr>
                <w:sz w:val="16"/>
                <w:szCs w:val="16"/>
              </w:rPr>
              <w:t>23.57 (3.04)</w:t>
            </w:r>
          </w:p>
        </w:tc>
        <w:tc>
          <w:tcPr>
            <w:tcW w:w="1211" w:type="dxa"/>
            <w:tcBorders>
              <w:top w:val="nil"/>
              <w:left w:val="nil"/>
              <w:bottom w:val="nil"/>
              <w:right w:val="nil"/>
            </w:tcBorders>
            <w:noWrap/>
          </w:tcPr>
          <w:p w14:paraId="77208A67" w14:textId="77777777" w:rsidR="009B5C8F" w:rsidRPr="009B5C8F" w:rsidRDefault="009B5C8F" w:rsidP="009B5C8F">
            <w:pPr>
              <w:rPr>
                <w:sz w:val="16"/>
                <w:szCs w:val="16"/>
              </w:rPr>
            </w:pPr>
            <w:r w:rsidRPr="009B5C8F">
              <w:rPr>
                <w:sz w:val="16"/>
                <w:szCs w:val="16"/>
              </w:rPr>
              <w:t>23.90 (3.65)</w:t>
            </w:r>
          </w:p>
        </w:tc>
        <w:tc>
          <w:tcPr>
            <w:tcW w:w="1483" w:type="dxa"/>
            <w:tcBorders>
              <w:top w:val="nil"/>
              <w:left w:val="nil"/>
              <w:bottom w:val="nil"/>
              <w:right w:val="nil"/>
            </w:tcBorders>
            <w:noWrap/>
          </w:tcPr>
          <w:p w14:paraId="366A839C" w14:textId="77777777" w:rsidR="009B5C8F" w:rsidRPr="009B5C8F" w:rsidRDefault="009B5C8F" w:rsidP="009B5C8F">
            <w:pPr>
              <w:rPr>
                <w:sz w:val="16"/>
                <w:szCs w:val="16"/>
              </w:rPr>
            </w:pPr>
            <w:r w:rsidRPr="009B5C8F">
              <w:rPr>
                <w:sz w:val="16"/>
                <w:szCs w:val="16"/>
              </w:rPr>
              <w:t>23.63 (3.26)</w:t>
            </w:r>
          </w:p>
        </w:tc>
        <w:tc>
          <w:tcPr>
            <w:tcW w:w="1184" w:type="dxa"/>
            <w:tcBorders>
              <w:top w:val="nil"/>
              <w:left w:val="nil"/>
              <w:bottom w:val="nil"/>
              <w:right w:val="nil"/>
            </w:tcBorders>
            <w:noWrap/>
          </w:tcPr>
          <w:p w14:paraId="2F47CA9E" w14:textId="77777777" w:rsidR="009B5C8F" w:rsidRPr="009B5C8F" w:rsidRDefault="009B5C8F" w:rsidP="009B5C8F">
            <w:pPr>
              <w:rPr>
                <w:sz w:val="16"/>
                <w:szCs w:val="16"/>
              </w:rPr>
            </w:pPr>
            <w:r w:rsidRPr="009B5C8F">
              <w:rPr>
                <w:sz w:val="16"/>
                <w:szCs w:val="16"/>
              </w:rPr>
              <w:t>23.27 (3.08)</w:t>
            </w:r>
          </w:p>
        </w:tc>
      </w:tr>
      <w:tr w:rsidR="009B5C8F" w:rsidRPr="009B5C8F" w14:paraId="3BFE999F" w14:textId="77777777" w:rsidTr="003B3198">
        <w:trPr>
          <w:trHeight w:val="255"/>
        </w:trPr>
        <w:tc>
          <w:tcPr>
            <w:tcW w:w="2323" w:type="dxa"/>
            <w:tcBorders>
              <w:top w:val="nil"/>
              <w:left w:val="nil"/>
              <w:bottom w:val="nil"/>
              <w:right w:val="nil"/>
            </w:tcBorders>
            <w:noWrap/>
          </w:tcPr>
          <w:p w14:paraId="3954B5CA" w14:textId="77777777" w:rsidR="009B5C8F" w:rsidRPr="009B5C8F" w:rsidRDefault="009B5C8F" w:rsidP="009B5C8F">
            <w:pPr>
              <w:rPr>
                <w:sz w:val="16"/>
                <w:szCs w:val="16"/>
              </w:rPr>
            </w:pPr>
            <w:r w:rsidRPr="009B5C8F">
              <w:rPr>
                <w:sz w:val="16"/>
                <w:szCs w:val="16"/>
              </w:rPr>
              <w:t>Marital status,%</w:t>
            </w:r>
          </w:p>
        </w:tc>
        <w:tc>
          <w:tcPr>
            <w:tcW w:w="1046" w:type="dxa"/>
            <w:tcBorders>
              <w:top w:val="nil"/>
              <w:left w:val="nil"/>
              <w:bottom w:val="nil"/>
              <w:right w:val="nil"/>
            </w:tcBorders>
            <w:noWrap/>
          </w:tcPr>
          <w:p w14:paraId="01CED895" w14:textId="77777777" w:rsidR="009B5C8F" w:rsidRPr="009B5C8F" w:rsidRDefault="009B5C8F" w:rsidP="009B5C8F">
            <w:pPr>
              <w:rPr>
                <w:sz w:val="16"/>
                <w:szCs w:val="16"/>
              </w:rPr>
            </w:pPr>
          </w:p>
        </w:tc>
        <w:tc>
          <w:tcPr>
            <w:tcW w:w="1275" w:type="dxa"/>
            <w:tcBorders>
              <w:top w:val="nil"/>
              <w:left w:val="nil"/>
              <w:bottom w:val="nil"/>
              <w:right w:val="nil"/>
            </w:tcBorders>
            <w:noWrap/>
          </w:tcPr>
          <w:p w14:paraId="77578991" w14:textId="77777777" w:rsidR="009B5C8F" w:rsidRPr="009B5C8F" w:rsidRDefault="009B5C8F" w:rsidP="009B5C8F">
            <w:pPr>
              <w:rPr>
                <w:sz w:val="16"/>
                <w:szCs w:val="16"/>
              </w:rPr>
            </w:pPr>
          </w:p>
        </w:tc>
        <w:tc>
          <w:tcPr>
            <w:tcW w:w="1211" w:type="dxa"/>
            <w:tcBorders>
              <w:top w:val="nil"/>
              <w:left w:val="nil"/>
              <w:bottom w:val="nil"/>
              <w:right w:val="nil"/>
            </w:tcBorders>
            <w:noWrap/>
          </w:tcPr>
          <w:p w14:paraId="74457DC8" w14:textId="77777777" w:rsidR="009B5C8F" w:rsidRPr="009B5C8F" w:rsidRDefault="009B5C8F" w:rsidP="009B5C8F">
            <w:pPr>
              <w:rPr>
                <w:sz w:val="16"/>
                <w:szCs w:val="16"/>
              </w:rPr>
            </w:pPr>
          </w:p>
        </w:tc>
        <w:tc>
          <w:tcPr>
            <w:tcW w:w="1483" w:type="dxa"/>
            <w:tcBorders>
              <w:top w:val="nil"/>
              <w:left w:val="nil"/>
              <w:bottom w:val="nil"/>
              <w:right w:val="nil"/>
            </w:tcBorders>
            <w:noWrap/>
          </w:tcPr>
          <w:p w14:paraId="28F74709" w14:textId="77777777" w:rsidR="009B5C8F" w:rsidRPr="009B5C8F" w:rsidRDefault="009B5C8F" w:rsidP="009B5C8F">
            <w:pPr>
              <w:rPr>
                <w:sz w:val="16"/>
                <w:szCs w:val="16"/>
              </w:rPr>
            </w:pPr>
          </w:p>
        </w:tc>
        <w:tc>
          <w:tcPr>
            <w:tcW w:w="1184" w:type="dxa"/>
            <w:tcBorders>
              <w:top w:val="nil"/>
              <w:left w:val="nil"/>
              <w:bottom w:val="nil"/>
              <w:right w:val="nil"/>
            </w:tcBorders>
            <w:noWrap/>
          </w:tcPr>
          <w:p w14:paraId="316CF4F8" w14:textId="77777777" w:rsidR="009B5C8F" w:rsidRPr="009B5C8F" w:rsidRDefault="009B5C8F" w:rsidP="009B5C8F">
            <w:pPr>
              <w:rPr>
                <w:sz w:val="16"/>
                <w:szCs w:val="16"/>
              </w:rPr>
            </w:pPr>
          </w:p>
        </w:tc>
      </w:tr>
      <w:tr w:rsidR="009B5C8F" w:rsidRPr="009B5C8F" w14:paraId="19779092" w14:textId="77777777" w:rsidTr="003B3198">
        <w:trPr>
          <w:trHeight w:val="192"/>
        </w:trPr>
        <w:tc>
          <w:tcPr>
            <w:tcW w:w="2323" w:type="dxa"/>
            <w:tcBorders>
              <w:top w:val="nil"/>
              <w:left w:val="nil"/>
              <w:bottom w:val="nil"/>
              <w:right w:val="nil"/>
            </w:tcBorders>
            <w:noWrap/>
          </w:tcPr>
          <w:p w14:paraId="31584633" w14:textId="77777777" w:rsidR="009B5C8F" w:rsidRPr="009B5C8F" w:rsidRDefault="009B5C8F" w:rsidP="009B5C8F">
            <w:pPr>
              <w:jc w:val="left"/>
              <w:rPr>
                <w:sz w:val="16"/>
                <w:szCs w:val="16"/>
              </w:rPr>
            </w:pPr>
            <w:r w:rsidRPr="009B5C8F">
              <w:rPr>
                <w:sz w:val="16"/>
                <w:szCs w:val="16"/>
              </w:rPr>
              <w:t xml:space="preserve">                       Married</w:t>
            </w:r>
          </w:p>
        </w:tc>
        <w:tc>
          <w:tcPr>
            <w:tcW w:w="1046" w:type="dxa"/>
            <w:tcBorders>
              <w:top w:val="nil"/>
              <w:left w:val="nil"/>
              <w:bottom w:val="nil"/>
              <w:right w:val="nil"/>
            </w:tcBorders>
            <w:noWrap/>
          </w:tcPr>
          <w:p w14:paraId="2289D969" w14:textId="77777777" w:rsidR="009B5C8F" w:rsidRPr="009B5C8F" w:rsidRDefault="009B5C8F" w:rsidP="009B5C8F">
            <w:pPr>
              <w:rPr>
                <w:sz w:val="16"/>
                <w:szCs w:val="16"/>
              </w:rPr>
            </w:pPr>
            <w:r w:rsidRPr="009B5C8F">
              <w:rPr>
                <w:sz w:val="16"/>
                <w:szCs w:val="16"/>
              </w:rPr>
              <w:t>911 (92.0%)</w:t>
            </w:r>
          </w:p>
        </w:tc>
        <w:tc>
          <w:tcPr>
            <w:tcW w:w="1275" w:type="dxa"/>
            <w:tcBorders>
              <w:top w:val="nil"/>
              <w:left w:val="nil"/>
              <w:bottom w:val="nil"/>
              <w:right w:val="nil"/>
            </w:tcBorders>
            <w:noWrap/>
          </w:tcPr>
          <w:p w14:paraId="1D66648B" w14:textId="77777777" w:rsidR="009B5C8F" w:rsidRPr="009B5C8F" w:rsidRDefault="009B5C8F" w:rsidP="009B5C8F">
            <w:pPr>
              <w:rPr>
                <w:sz w:val="16"/>
                <w:szCs w:val="16"/>
              </w:rPr>
            </w:pPr>
            <w:r w:rsidRPr="009B5C8F">
              <w:rPr>
                <w:sz w:val="16"/>
                <w:szCs w:val="16"/>
              </w:rPr>
              <w:t>261 (87.0%)</w:t>
            </w:r>
          </w:p>
        </w:tc>
        <w:tc>
          <w:tcPr>
            <w:tcW w:w="1211" w:type="dxa"/>
            <w:tcBorders>
              <w:top w:val="nil"/>
              <w:left w:val="nil"/>
              <w:bottom w:val="nil"/>
              <w:right w:val="nil"/>
            </w:tcBorders>
            <w:noWrap/>
          </w:tcPr>
          <w:p w14:paraId="7C2BE256" w14:textId="77777777" w:rsidR="009B5C8F" w:rsidRPr="009B5C8F" w:rsidRDefault="009B5C8F" w:rsidP="009B5C8F">
            <w:pPr>
              <w:rPr>
                <w:sz w:val="16"/>
                <w:szCs w:val="16"/>
              </w:rPr>
            </w:pPr>
            <w:r w:rsidRPr="009B5C8F">
              <w:rPr>
                <w:sz w:val="16"/>
                <w:szCs w:val="16"/>
              </w:rPr>
              <w:t>342 (93.4%)</w:t>
            </w:r>
          </w:p>
        </w:tc>
        <w:tc>
          <w:tcPr>
            <w:tcW w:w="1483" w:type="dxa"/>
            <w:tcBorders>
              <w:top w:val="nil"/>
              <w:left w:val="nil"/>
              <w:bottom w:val="nil"/>
              <w:right w:val="nil"/>
            </w:tcBorders>
            <w:noWrap/>
          </w:tcPr>
          <w:p w14:paraId="3A970623" w14:textId="77777777" w:rsidR="009B5C8F" w:rsidRPr="009B5C8F" w:rsidRDefault="009B5C8F" w:rsidP="009B5C8F">
            <w:pPr>
              <w:rPr>
                <w:sz w:val="16"/>
                <w:szCs w:val="16"/>
              </w:rPr>
            </w:pPr>
            <w:r w:rsidRPr="009B5C8F">
              <w:rPr>
                <w:sz w:val="16"/>
                <w:szCs w:val="16"/>
              </w:rPr>
              <w:t>884 (89.6%)</w:t>
            </w:r>
          </w:p>
        </w:tc>
        <w:tc>
          <w:tcPr>
            <w:tcW w:w="1184" w:type="dxa"/>
            <w:tcBorders>
              <w:top w:val="nil"/>
              <w:left w:val="nil"/>
              <w:bottom w:val="nil"/>
              <w:right w:val="nil"/>
            </w:tcBorders>
            <w:noWrap/>
          </w:tcPr>
          <w:p w14:paraId="4ED34129" w14:textId="77777777" w:rsidR="009B5C8F" w:rsidRPr="009B5C8F" w:rsidRDefault="009B5C8F" w:rsidP="009B5C8F">
            <w:pPr>
              <w:rPr>
                <w:sz w:val="16"/>
                <w:szCs w:val="16"/>
              </w:rPr>
            </w:pPr>
            <w:r w:rsidRPr="009B5C8F">
              <w:rPr>
                <w:sz w:val="16"/>
                <w:szCs w:val="16"/>
              </w:rPr>
              <w:t>1572 (90.9%)</w:t>
            </w:r>
          </w:p>
        </w:tc>
      </w:tr>
      <w:tr w:rsidR="009B5C8F" w:rsidRPr="009B5C8F" w14:paraId="23AF524A" w14:textId="77777777" w:rsidTr="003B3198">
        <w:trPr>
          <w:trHeight w:val="255"/>
        </w:trPr>
        <w:tc>
          <w:tcPr>
            <w:tcW w:w="2323" w:type="dxa"/>
            <w:tcBorders>
              <w:top w:val="nil"/>
              <w:left w:val="nil"/>
              <w:bottom w:val="nil"/>
              <w:right w:val="nil"/>
            </w:tcBorders>
            <w:noWrap/>
          </w:tcPr>
          <w:p w14:paraId="1AF2003E" w14:textId="77777777" w:rsidR="009B5C8F" w:rsidRPr="009B5C8F" w:rsidRDefault="009B5C8F" w:rsidP="009B5C8F">
            <w:pPr>
              <w:ind w:firstLineChars="1000" w:firstLine="1600"/>
              <w:rPr>
                <w:sz w:val="16"/>
                <w:szCs w:val="16"/>
              </w:rPr>
            </w:pPr>
            <w:r w:rsidRPr="009B5C8F">
              <w:rPr>
                <w:rFonts w:hint="eastAsia"/>
                <w:sz w:val="16"/>
                <w:szCs w:val="16"/>
              </w:rPr>
              <w:t>O</w:t>
            </w:r>
            <w:r w:rsidRPr="009B5C8F">
              <w:rPr>
                <w:sz w:val="16"/>
                <w:szCs w:val="16"/>
              </w:rPr>
              <w:t>thers</w:t>
            </w:r>
          </w:p>
        </w:tc>
        <w:tc>
          <w:tcPr>
            <w:tcW w:w="1046" w:type="dxa"/>
            <w:tcBorders>
              <w:top w:val="nil"/>
              <w:left w:val="nil"/>
              <w:bottom w:val="nil"/>
              <w:right w:val="nil"/>
            </w:tcBorders>
            <w:noWrap/>
          </w:tcPr>
          <w:p w14:paraId="50FFFDC6" w14:textId="77777777" w:rsidR="009B5C8F" w:rsidRPr="009B5C8F" w:rsidRDefault="009B5C8F" w:rsidP="009B5C8F">
            <w:pPr>
              <w:rPr>
                <w:sz w:val="16"/>
                <w:szCs w:val="16"/>
              </w:rPr>
            </w:pPr>
            <w:r w:rsidRPr="009B5C8F">
              <w:rPr>
                <w:sz w:val="16"/>
                <w:szCs w:val="16"/>
              </w:rPr>
              <w:t>79 (8.0%)</w:t>
            </w:r>
          </w:p>
        </w:tc>
        <w:tc>
          <w:tcPr>
            <w:tcW w:w="1275" w:type="dxa"/>
            <w:tcBorders>
              <w:top w:val="nil"/>
              <w:left w:val="nil"/>
              <w:bottom w:val="nil"/>
              <w:right w:val="nil"/>
            </w:tcBorders>
            <w:noWrap/>
          </w:tcPr>
          <w:p w14:paraId="07B77810" w14:textId="77777777" w:rsidR="009B5C8F" w:rsidRPr="009B5C8F" w:rsidRDefault="009B5C8F" w:rsidP="009B5C8F">
            <w:pPr>
              <w:rPr>
                <w:sz w:val="16"/>
                <w:szCs w:val="16"/>
              </w:rPr>
            </w:pPr>
            <w:r w:rsidRPr="009B5C8F">
              <w:rPr>
                <w:sz w:val="16"/>
                <w:szCs w:val="16"/>
              </w:rPr>
              <w:t>39 (13.0%)</w:t>
            </w:r>
          </w:p>
        </w:tc>
        <w:tc>
          <w:tcPr>
            <w:tcW w:w="1211" w:type="dxa"/>
            <w:tcBorders>
              <w:top w:val="nil"/>
              <w:left w:val="nil"/>
              <w:bottom w:val="nil"/>
              <w:right w:val="nil"/>
            </w:tcBorders>
            <w:noWrap/>
          </w:tcPr>
          <w:p w14:paraId="2485BD34" w14:textId="77777777" w:rsidR="009B5C8F" w:rsidRPr="009B5C8F" w:rsidRDefault="009B5C8F" w:rsidP="009B5C8F">
            <w:pPr>
              <w:rPr>
                <w:sz w:val="16"/>
                <w:szCs w:val="16"/>
              </w:rPr>
            </w:pPr>
            <w:r w:rsidRPr="009B5C8F">
              <w:rPr>
                <w:sz w:val="16"/>
                <w:szCs w:val="16"/>
              </w:rPr>
              <w:t>24 (6.6%)</w:t>
            </w:r>
          </w:p>
        </w:tc>
        <w:tc>
          <w:tcPr>
            <w:tcW w:w="1483" w:type="dxa"/>
            <w:tcBorders>
              <w:top w:val="nil"/>
              <w:left w:val="nil"/>
              <w:bottom w:val="nil"/>
              <w:right w:val="nil"/>
            </w:tcBorders>
            <w:noWrap/>
          </w:tcPr>
          <w:p w14:paraId="39B840FE" w14:textId="77777777" w:rsidR="009B5C8F" w:rsidRPr="009B5C8F" w:rsidRDefault="009B5C8F" w:rsidP="009B5C8F">
            <w:pPr>
              <w:rPr>
                <w:sz w:val="16"/>
                <w:szCs w:val="16"/>
              </w:rPr>
            </w:pPr>
            <w:r w:rsidRPr="009B5C8F">
              <w:rPr>
                <w:sz w:val="16"/>
                <w:szCs w:val="16"/>
              </w:rPr>
              <w:t>103 (10.4%)</w:t>
            </w:r>
          </w:p>
        </w:tc>
        <w:tc>
          <w:tcPr>
            <w:tcW w:w="1184" w:type="dxa"/>
            <w:tcBorders>
              <w:top w:val="nil"/>
              <w:left w:val="nil"/>
              <w:bottom w:val="nil"/>
              <w:right w:val="nil"/>
            </w:tcBorders>
            <w:noWrap/>
          </w:tcPr>
          <w:p w14:paraId="6CA22697" w14:textId="77777777" w:rsidR="009B5C8F" w:rsidRPr="009B5C8F" w:rsidRDefault="009B5C8F" w:rsidP="009B5C8F">
            <w:pPr>
              <w:rPr>
                <w:sz w:val="16"/>
                <w:szCs w:val="16"/>
              </w:rPr>
            </w:pPr>
            <w:r w:rsidRPr="009B5C8F">
              <w:rPr>
                <w:sz w:val="16"/>
                <w:szCs w:val="16"/>
              </w:rPr>
              <w:t>157 (9.1%)</w:t>
            </w:r>
          </w:p>
        </w:tc>
      </w:tr>
      <w:tr w:rsidR="009B5C8F" w:rsidRPr="009B5C8F" w14:paraId="3CAB4878" w14:textId="77777777" w:rsidTr="003B3198">
        <w:trPr>
          <w:trHeight w:val="255"/>
        </w:trPr>
        <w:tc>
          <w:tcPr>
            <w:tcW w:w="2323" w:type="dxa"/>
            <w:tcBorders>
              <w:top w:val="nil"/>
              <w:left w:val="nil"/>
              <w:bottom w:val="nil"/>
              <w:right w:val="nil"/>
            </w:tcBorders>
            <w:noWrap/>
          </w:tcPr>
          <w:p w14:paraId="17F495DC" w14:textId="77777777" w:rsidR="009B5C8F" w:rsidRPr="009B5C8F" w:rsidRDefault="009B5C8F" w:rsidP="009B5C8F">
            <w:pPr>
              <w:jc w:val="left"/>
              <w:rPr>
                <w:sz w:val="16"/>
                <w:szCs w:val="16"/>
              </w:rPr>
            </w:pPr>
            <w:r w:rsidRPr="009B5C8F">
              <w:rPr>
                <w:sz w:val="16"/>
                <w:szCs w:val="16"/>
              </w:rPr>
              <w:t>Education,%</w:t>
            </w:r>
          </w:p>
        </w:tc>
        <w:tc>
          <w:tcPr>
            <w:tcW w:w="1046" w:type="dxa"/>
            <w:tcBorders>
              <w:top w:val="nil"/>
              <w:left w:val="nil"/>
              <w:bottom w:val="nil"/>
              <w:right w:val="nil"/>
            </w:tcBorders>
            <w:noWrap/>
          </w:tcPr>
          <w:p w14:paraId="1D25DC82" w14:textId="77777777" w:rsidR="009B5C8F" w:rsidRPr="009B5C8F" w:rsidRDefault="009B5C8F" w:rsidP="009B5C8F">
            <w:pPr>
              <w:rPr>
                <w:sz w:val="16"/>
                <w:szCs w:val="16"/>
              </w:rPr>
            </w:pPr>
          </w:p>
        </w:tc>
        <w:tc>
          <w:tcPr>
            <w:tcW w:w="1275" w:type="dxa"/>
            <w:tcBorders>
              <w:top w:val="nil"/>
              <w:left w:val="nil"/>
              <w:bottom w:val="nil"/>
              <w:right w:val="nil"/>
            </w:tcBorders>
            <w:noWrap/>
          </w:tcPr>
          <w:p w14:paraId="50893AEC" w14:textId="77777777" w:rsidR="009B5C8F" w:rsidRPr="009B5C8F" w:rsidRDefault="009B5C8F" w:rsidP="009B5C8F">
            <w:pPr>
              <w:rPr>
                <w:sz w:val="16"/>
                <w:szCs w:val="16"/>
              </w:rPr>
            </w:pPr>
          </w:p>
        </w:tc>
        <w:tc>
          <w:tcPr>
            <w:tcW w:w="1211" w:type="dxa"/>
            <w:tcBorders>
              <w:top w:val="nil"/>
              <w:left w:val="nil"/>
              <w:bottom w:val="nil"/>
              <w:right w:val="nil"/>
            </w:tcBorders>
            <w:noWrap/>
          </w:tcPr>
          <w:p w14:paraId="3BA64574" w14:textId="77777777" w:rsidR="009B5C8F" w:rsidRPr="009B5C8F" w:rsidRDefault="009B5C8F" w:rsidP="009B5C8F">
            <w:pPr>
              <w:rPr>
                <w:sz w:val="16"/>
                <w:szCs w:val="16"/>
              </w:rPr>
            </w:pPr>
          </w:p>
        </w:tc>
        <w:tc>
          <w:tcPr>
            <w:tcW w:w="1483" w:type="dxa"/>
            <w:tcBorders>
              <w:top w:val="nil"/>
              <w:left w:val="nil"/>
              <w:bottom w:val="nil"/>
              <w:right w:val="nil"/>
            </w:tcBorders>
            <w:noWrap/>
          </w:tcPr>
          <w:p w14:paraId="74C3452F" w14:textId="77777777" w:rsidR="009B5C8F" w:rsidRPr="009B5C8F" w:rsidRDefault="009B5C8F" w:rsidP="009B5C8F">
            <w:pPr>
              <w:rPr>
                <w:sz w:val="16"/>
                <w:szCs w:val="16"/>
              </w:rPr>
            </w:pPr>
          </w:p>
        </w:tc>
        <w:tc>
          <w:tcPr>
            <w:tcW w:w="1184" w:type="dxa"/>
            <w:tcBorders>
              <w:top w:val="nil"/>
              <w:left w:val="nil"/>
              <w:bottom w:val="nil"/>
              <w:right w:val="nil"/>
            </w:tcBorders>
            <w:noWrap/>
          </w:tcPr>
          <w:p w14:paraId="0242184F" w14:textId="77777777" w:rsidR="009B5C8F" w:rsidRPr="009B5C8F" w:rsidRDefault="009B5C8F" w:rsidP="009B5C8F">
            <w:pPr>
              <w:rPr>
                <w:sz w:val="16"/>
                <w:szCs w:val="16"/>
              </w:rPr>
            </w:pPr>
          </w:p>
        </w:tc>
      </w:tr>
      <w:tr w:rsidR="009B5C8F" w:rsidRPr="009B5C8F" w14:paraId="6CAF77EA" w14:textId="77777777" w:rsidTr="003B3198">
        <w:trPr>
          <w:trHeight w:val="255"/>
        </w:trPr>
        <w:tc>
          <w:tcPr>
            <w:tcW w:w="2323" w:type="dxa"/>
            <w:tcBorders>
              <w:top w:val="nil"/>
              <w:left w:val="nil"/>
              <w:bottom w:val="nil"/>
              <w:right w:val="nil"/>
            </w:tcBorders>
            <w:noWrap/>
          </w:tcPr>
          <w:p w14:paraId="1207FF29" w14:textId="77777777" w:rsidR="009B5C8F" w:rsidRPr="009B5C8F" w:rsidRDefault="009B5C8F" w:rsidP="009B5C8F">
            <w:pPr>
              <w:rPr>
                <w:sz w:val="16"/>
                <w:szCs w:val="16"/>
              </w:rPr>
            </w:pPr>
            <w:r w:rsidRPr="009B5C8F">
              <w:rPr>
                <w:sz w:val="16"/>
                <w:szCs w:val="16"/>
              </w:rPr>
              <w:t xml:space="preserve">         Middle school or lower</w:t>
            </w:r>
          </w:p>
        </w:tc>
        <w:tc>
          <w:tcPr>
            <w:tcW w:w="1046" w:type="dxa"/>
            <w:tcBorders>
              <w:top w:val="nil"/>
              <w:left w:val="nil"/>
              <w:bottom w:val="nil"/>
              <w:right w:val="nil"/>
            </w:tcBorders>
            <w:noWrap/>
          </w:tcPr>
          <w:p w14:paraId="57D49106" w14:textId="77777777" w:rsidR="009B5C8F" w:rsidRPr="009B5C8F" w:rsidRDefault="009B5C8F" w:rsidP="009B5C8F">
            <w:pPr>
              <w:rPr>
                <w:sz w:val="16"/>
                <w:szCs w:val="16"/>
              </w:rPr>
            </w:pPr>
            <w:r w:rsidRPr="009B5C8F">
              <w:rPr>
                <w:sz w:val="16"/>
                <w:szCs w:val="16"/>
              </w:rPr>
              <w:t>294 (29.7%)</w:t>
            </w:r>
          </w:p>
        </w:tc>
        <w:tc>
          <w:tcPr>
            <w:tcW w:w="1275" w:type="dxa"/>
            <w:tcBorders>
              <w:top w:val="nil"/>
              <w:left w:val="nil"/>
              <w:bottom w:val="nil"/>
              <w:right w:val="nil"/>
            </w:tcBorders>
            <w:noWrap/>
          </w:tcPr>
          <w:p w14:paraId="10CC77D0" w14:textId="77777777" w:rsidR="009B5C8F" w:rsidRPr="009B5C8F" w:rsidRDefault="009B5C8F" w:rsidP="009B5C8F">
            <w:pPr>
              <w:rPr>
                <w:sz w:val="16"/>
                <w:szCs w:val="16"/>
              </w:rPr>
            </w:pPr>
            <w:r w:rsidRPr="009B5C8F">
              <w:rPr>
                <w:sz w:val="16"/>
                <w:szCs w:val="16"/>
              </w:rPr>
              <w:t>82 (27.3%)</w:t>
            </w:r>
          </w:p>
        </w:tc>
        <w:tc>
          <w:tcPr>
            <w:tcW w:w="1211" w:type="dxa"/>
            <w:tcBorders>
              <w:top w:val="nil"/>
              <w:left w:val="nil"/>
              <w:bottom w:val="nil"/>
              <w:right w:val="nil"/>
            </w:tcBorders>
            <w:noWrap/>
          </w:tcPr>
          <w:p w14:paraId="0F1D17DE" w14:textId="77777777" w:rsidR="009B5C8F" w:rsidRPr="009B5C8F" w:rsidRDefault="009B5C8F" w:rsidP="009B5C8F">
            <w:pPr>
              <w:rPr>
                <w:sz w:val="16"/>
                <w:szCs w:val="16"/>
              </w:rPr>
            </w:pPr>
            <w:r w:rsidRPr="009B5C8F">
              <w:rPr>
                <w:sz w:val="16"/>
                <w:szCs w:val="16"/>
              </w:rPr>
              <w:t>88 (24.0%)</w:t>
            </w:r>
          </w:p>
        </w:tc>
        <w:tc>
          <w:tcPr>
            <w:tcW w:w="1483" w:type="dxa"/>
            <w:tcBorders>
              <w:top w:val="nil"/>
              <w:left w:val="nil"/>
              <w:bottom w:val="nil"/>
              <w:right w:val="nil"/>
            </w:tcBorders>
            <w:noWrap/>
          </w:tcPr>
          <w:p w14:paraId="6A29670E" w14:textId="77777777" w:rsidR="009B5C8F" w:rsidRPr="009B5C8F" w:rsidRDefault="009B5C8F" w:rsidP="009B5C8F">
            <w:pPr>
              <w:rPr>
                <w:sz w:val="16"/>
                <w:szCs w:val="16"/>
              </w:rPr>
            </w:pPr>
            <w:r w:rsidRPr="009B5C8F">
              <w:rPr>
                <w:sz w:val="16"/>
                <w:szCs w:val="16"/>
              </w:rPr>
              <w:t>254 (25.7%)</w:t>
            </w:r>
          </w:p>
        </w:tc>
        <w:tc>
          <w:tcPr>
            <w:tcW w:w="1184" w:type="dxa"/>
            <w:tcBorders>
              <w:top w:val="nil"/>
              <w:left w:val="nil"/>
              <w:bottom w:val="nil"/>
              <w:right w:val="nil"/>
            </w:tcBorders>
            <w:noWrap/>
          </w:tcPr>
          <w:p w14:paraId="516361E5" w14:textId="77777777" w:rsidR="009B5C8F" w:rsidRPr="009B5C8F" w:rsidRDefault="009B5C8F" w:rsidP="009B5C8F">
            <w:pPr>
              <w:rPr>
                <w:sz w:val="16"/>
                <w:szCs w:val="16"/>
              </w:rPr>
            </w:pPr>
            <w:r w:rsidRPr="009B5C8F">
              <w:rPr>
                <w:sz w:val="16"/>
                <w:szCs w:val="16"/>
              </w:rPr>
              <w:t>469 (27.1%)</w:t>
            </w:r>
          </w:p>
        </w:tc>
      </w:tr>
      <w:tr w:rsidR="009B5C8F" w:rsidRPr="009B5C8F" w14:paraId="6B35E792" w14:textId="77777777" w:rsidTr="003B3198">
        <w:trPr>
          <w:trHeight w:val="323"/>
        </w:trPr>
        <w:tc>
          <w:tcPr>
            <w:tcW w:w="2323" w:type="dxa"/>
            <w:tcBorders>
              <w:top w:val="nil"/>
              <w:left w:val="nil"/>
              <w:bottom w:val="nil"/>
              <w:right w:val="nil"/>
            </w:tcBorders>
            <w:noWrap/>
          </w:tcPr>
          <w:p w14:paraId="2298312A" w14:textId="77777777" w:rsidR="009B5C8F" w:rsidRPr="009B5C8F" w:rsidRDefault="009B5C8F" w:rsidP="009B5C8F">
            <w:pPr>
              <w:ind w:leftChars="50" w:left="105" w:firstLineChars="150" w:firstLine="240"/>
              <w:rPr>
                <w:sz w:val="16"/>
                <w:szCs w:val="16"/>
              </w:rPr>
            </w:pPr>
            <w:r w:rsidRPr="009B5C8F">
              <w:rPr>
                <w:sz w:val="16"/>
                <w:szCs w:val="16"/>
              </w:rPr>
              <w:t>High school or professional college</w:t>
            </w:r>
          </w:p>
        </w:tc>
        <w:tc>
          <w:tcPr>
            <w:tcW w:w="1046" w:type="dxa"/>
            <w:tcBorders>
              <w:top w:val="nil"/>
              <w:left w:val="nil"/>
              <w:bottom w:val="nil"/>
              <w:right w:val="nil"/>
            </w:tcBorders>
            <w:noWrap/>
          </w:tcPr>
          <w:p w14:paraId="43A2D420" w14:textId="77777777" w:rsidR="009B5C8F" w:rsidRPr="009B5C8F" w:rsidRDefault="009B5C8F" w:rsidP="009B5C8F">
            <w:pPr>
              <w:rPr>
                <w:sz w:val="16"/>
                <w:szCs w:val="16"/>
              </w:rPr>
            </w:pPr>
            <w:r w:rsidRPr="009B5C8F">
              <w:rPr>
                <w:sz w:val="16"/>
                <w:szCs w:val="16"/>
              </w:rPr>
              <w:t>433 (43.7%)</w:t>
            </w:r>
          </w:p>
        </w:tc>
        <w:tc>
          <w:tcPr>
            <w:tcW w:w="1275" w:type="dxa"/>
            <w:tcBorders>
              <w:top w:val="nil"/>
              <w:left w:val="nil"/>
              <w:bottom w:val="nil"/>
              <w:right w:val="nil"/>
            </w:tcBorders>
            <w:noWrap/>
          </w:tcPr>
          <w:p w14:paraId="58B0AE7C" w14:textId="77777777" w:rsidR="009B5C8F" w:rsidRPr="009B5C8F" w:rsidRDefault="009B5C8F" w:rsidP="009B5C8F">
            <w:pPr>
              <w:rPr>
                <w:sz w:val="16"/>
                <w:szCs w:val="16"/>
              </w:rPr>
            </w:pPr>
            <w:r w:rsidRPr="009B5C8F">
              <w:rPr>
                <w:sz w:val="16"/>
                <w:szCs w:val="16"/>
              </w:rPr>
              <w:t>116 (38.7%)</w:t>
            </w:r>
          </w:p>
        </w:tc>
        <w:tc>
          <w:tcPr>
            <w:tcW w:w="1211" w:type="dxa"/>
            <w:tcBorders>
              <w:top w:val="nil"/>
              <w:left w:val="nil"/>
              <w:bottom w:val="nil"/>
              <w:right w:val="nil"/>
            </w:tcBorders>
            <w:noWrap/>
          </w:tcPr>
          <w:p w14:paraId="0D22A33E" w14:textId="77777777" w:rsidR="009B5C8F" w:rsidRPr="009B5C8F" w:rsidRDefault="009B5C8F" w:rsidP="009B5C8F">
            <w:pPr>
              <w:rPr>
                <w:sz w:val="16"/>
                <w:szCs w:val="16"/>
              </w:rPr>
            </w:pPr>
            <w:r w:rsidRPr="009B5C8F">
              <w:rPr>
                <w:sz w:val="16"/>
                <w:szCs w:val="16"/>
              </w:rPr>
              <w:t>161 (44.0%)</w:t>
            </w:r>
          </w:p>
        </w:tc>
        <w:tc>
          <w:tcPr>
            <w:tcW w:w="1483" w:type="dxa"/>
            <w:tcBorders>
              <w:top w:val="nil"/>
              <w:left w:val="nil"/>
              <w:bottom w:val="nil"/>
              <w:right w:val="nil"/>
            </w:tcBorders>
            <w:noWrap/>
          </w:tcPr>
          <w:p w14:paraId="04DD2CFC" w14:textId="77777777" w:rsidR="009B5C8F" w:rsidRPr="009B5C8F" w:rsidRDefault="009B5C8F" w:rsidP="009B5C8F">
            <w:pPr>
              <w:rPr>
                <w:sz w:val="16"/>
                <w:szCs w:val="16"/>
              </w:rPr>
            </w:pPr>
            <w:r w:rsidRPr="009B5C8F">
              <w:rPr>
                <w:sz w:val="16"/>
                <w:szCs w:val="16"/>
              </w:rPr>
              <w:t>434 (44.0%)</w:t>
            </w:r>
          </w:p>
        </w:tc>
        <w:tc>
          <w:tcPr>
            <w:tcW w:w="1184" w:type="dxa"/>
            <w:tcBorders>
              <w:top w:val="nil"/>
              <w:left w:val="nil"/>
              <w:bottom w:val="nil"/>
              <w:right w:val="nil"/>
            </w:tcBorders>
            <w:noWrap/>
          </w:tcPr>
          <w:p w14:paraId="34138083" w14:textId="77777777" w:rsidR="009B5C8F" w:rsidRPr="009B5C8F" w:rsidRDefault="009B5C8F" w:rsidP="009B5C8F">
            <w:pPr>
              <w:rPr>
                <w:sz w:val="16"/>
                <w:szCs w:val="16"/>
              </w:rPr>
            </w:pPr>
            <w:r w:rsidRPr="009B5C8F">
              <w:rPr>
                <w:sz w:val="16"/>
                <w:szCs w:val="16"/>
              </w:rPr>
              <w:t>800 (46.3%)</w:t>
            </w:r>
          </w:p>
        </w:tc>
      </w:tr>
      <w:tr w:rsidR="009B5C8F" w:rsidRPr="009B5C8F" w14:paraId="382101B7" w14:textId="77777777" w:rsidTr="003B3198">
        <w:trPr>
          <w:trHeight w:val="255"/>
        </w:trPr>
        <w:tc>
          <w:tcPr>
            <w:tcW w:w="2323" w:type="dxa"/>
            <w:tcBorders>
              <w:top w:val="nil"/>
              <w:left w:val="nil"/>
              <w:bottom w:val="nil"/>
              <w:right w:val="nil"/>
            </w:tcBorders>
            <w:noWrap/>
          </w:tcPr>
          <w:p w14:paraId="0E01BEE8" w14:textId="77777777" w:rsidR="009B5C8F" w:rsidRPr="009B5C8F" w:rsidRDefault="009B5C8F" w:rsidP="009B5C8F">
            <w:pPr>
              <w:rPr>
                <w:sz w:val="16"/>
                <w:szCs w:val="16"/>
              </w:rPr>
            </w:pPr>
            <w:r w:rsidRPr="009B5C8F">
              <w:rPr>
                <w:sz w:val="16"/>
                <w:szCs w:val="16"/>
              </w:rPr>
              <w:t xml:space="preserve">                     University</w:t>
            </w:r>
          </w:p>
        </w:tc>
        <w:tc>
          <w:tcPr>
            <w:tcW w:w="1046" w:type="dxa"/>
            <w:tcBorders>
              <w:top w:val="nil"/>
              <w:left w:val="nil"/>
              <w:bottom w:val="nil"/>
              <w:right w:val="nil"/>
            </w:tcBorders>
            <w:noWrap/>
          </w:tcPr>
          <w:p w14:paraId="74058F4A" w14:textId="77777777" w:rsidR="009B5C8F" w:rsidRPr="009B5C8F" w:rsidRDefault="009B5C8F" w:rsidP="009B5C8F">
            <w:pPr>
              <w:rPr>
                <w:sz w:val="16"/>
                <w:szCs w:val="16"/>
              </w:rPr>
            </w:pPr>
            <w:r w:rsidRPr="009B5C8F">
              <w:rPr>
                <w:sz w:val="16"/>
                <w:szCs w:val="16"/>
              </w:rPr>
              <w:t>263 (26.6%)</w:t>
            </w:r>
          </w:p>
        </w:tc>
        <w:tc>
          <w:tcPr>
            <w:tcW w:w="1275" w:type="dxa"/>
            <w:tcBorders>
              <w:top w:val="nil"/>
              <w:left w:val="nil"/>
              <w:bottom w:val="nil"/>
              <w:right w:val="nil"/>
            </w:tcBorders>
            <w:noWrap/>
          </w:tcPr>
          <w:p w14:paraId="1456EEE4" w14:textId="77777777" w:rsidR="009B5C8F" w:rsidRPr="009B5C8F" w:rsidRDefault="009B5C8F" w:rsidP="009B5C8F">
            <w:pPr>
              <w:rPr>
                <w:sz w:val="16"/>
                <w:szCs w:val="16"/>
              </w:rPr>
            </w:pPr>
            <w:r w:rsidRPr="009B5C8F">
              <w:rPr>
                <w:sz w:val="16"/>
                <w:szCs w:val="16"/>
              </w:rPr>
              <w:t>102 (34.0%)</w:t>
            </w:r>
          </w:p>
        </w:tc>
        <w:tc>
          <w:tcPr>
            <w:tcW w:w="1211" w:type="dxa"/>
            <w:tcBorders>
              <w:top w:val="nil"/>
              <w:left w:val="nil"/>
              <w:bottom w:val="nil"/>
              <w:right w:val="nil"/>
            </w:tcBorders>
            <w:noWrap/>
          </w:tcPr>
          <w:p w14:paraId="66174E9B" w14:textId="77777777" w:rsidR="009B5C8F" w:rsidRPr="009B5C8F" w:rsidRDefault="009B5C8F" w:rsidP="009B5C8F">
            <w:pPr>
              <w:rPr>
                <w:sz w:val="16"/>
                <w:szCs w:val="16"/>
              </w:rPr>
            </w:pPr>
            <w:r w:rsidRPr="009B5C8F">
              <w:rPr>
                <w:sz w:val="16"/>
                <w:szCs w:val="16"/>
              </w:rPr>
              <w:t>117 (32.0%)</w:t>
            </w:r>
          </w:p>
        </w:tc>
        <w:tc>
          <w:tcPr>
            <w:tcW w:w="1483" w:type="dxa"/>
            <w:tcBorders>
              <w:top w:val="nil"/>
              <w:left w:val="nil"/>
              <w:bottom w:val="nil"/>
              <w:right w:val="nil"/>
            </w:tcBorders>
            <w:noWrap/>
          </w:tcPr>
          <w:p w14:paraId="272F8FD7" w14:textId="77777777" w:rsidR="009B5C8F" w:rsidRPr="009B5C8F" w:rsidRDefault="009B5C8F" w:rsidP="009B5C8F">
            <w:pPr>
              <w:rPr>
                <w:sz w:val="16"/>
                <w:szCs w:val="16"/>
              </w:rPr>
            </w:pPr>
            <w:r w:rsidRPr="009B5C8F">
              <w:rPr>
                <w:sz w:val="16"/>
                <w:szCs w:val="16"/>
              </w:rPr>
              <w:t>299 (30.3%)</w:t>
            </w:r>
          </w:p>
        </w:tc>
        <w:tc>
          <w:tcPr>
            <w:tcW w:w="1184" w:type="dxa"/>
            <w:tcBorders>
              <w:top w:val="nil"/>
              <w:left w:val="nil"/>
              <w:bottom w:val="nil"/>
              <w:right w:val="nil"/>
            </w:tcBorders>
            <w:noWrap/>
          </w:tcPr>
          <w:p w14:paraId="66ADE46C" w14:textId="77777777" w:rsidR="009B5C8F" w:rsidRPr="009B5C8F" w:rsidRDefault="009B5C8F" w:rsidP="009B5C8F">
            <w:pPr>
              <w:rPr>
                <w:sz w:val="16"/>
                <w:szCs w:val="16"/>
              </w:rPr>
            </w:pPr>
            <w:r w:rsidRPr="009B5C8F">
              <w:rPr>
                <w:sz w:val="16"/>
                <w:szCs w:val="16"/>
              </w:rPr>
              <w:t>460 (26.6%)</w:t>
            </w:r>
          </w:p>
        </w:tc>
      </w:tr>
      <w:tr w:rsidR="009B5C8F" w:rsidRPr="009B5C8F" w14:paraId="11BEF4A9" w14:textId="77777777" w:rsidTr="003B3198">
        <w:trPr>
          <w:trHeight w:val="255"/>
        </w:trPr>
        <w:tc>
          <w:tcPr>
            <w:tcW w:w="2323" w:type="dxa"/>
            <w:tcBorders>
              <w:top w:val="nil"/>
              <w:left w:val="nil"/>
              <w:bottom w:val="nil"/>
              <w:right w:val="nil"/>
            </w:tcBorders>
            <w:noWrap/>
          </w:tcPr>
          <w:p w14:paraId="654B9455" w14:textId="77777777" w:rsidR="009B5C8F" w:rsidRPr="009B5C8F" w:rsidRDefault="009B5C8F" w:rsidP="009B5C8F">
            <w:pPr>
              <w:jc w:val="left"/>
              <w:rPr>
                <w:sz w:val="16"/>
                <w:szCs w:val="16"/>
              </w:rPr>
            </w:pPr>
            <w:r w:rsidRPr="009B5C8F">
              <w:rPr>
                <w:sz w:val="16"/>
                <w:szCs w:val="16"/>
              </w:rPr>
              <w:t>Income (Yuan/month/person), %</w:t>
            </w:r>
            <w:r w:rsidRPr="009B5C8F">
              <w:rPr>
                <w:sz w:val="16"/>
                <w:szCs w:val="16"/>
              </w:rPr>
              <w:tab/>
            </w:r>
          </w:p>
        </w:tc>
        <w:tc>
          <w:tcPr>
            <w:tcW w:w="1046" w:type="dxa"/>
            <w:tcBorders>
              <w:top w:val="nil"/>
              <w:left w:val="nil"/>
              <w:bottom w:val="nil"/>
              <w:right w:val="nil"/>
            </w:tcBorders>
            <w:noWrap/>
          </w:tcPr>
          <w:p w14:paraId="1F866C54" w14:textId="77777777" w:rsidR="009B5C8F" w:rsidRPr="009B5C8F" w:rsidRDefault="009B5C8F" w:rsidP="009B5C8F">
            <w:pPr>
              <w:rPr>
                <w:sz w:val="16"/>
                <w:szCs w:val="16"/>
              </w:rPr>
            </w:pPr>
          </w:p>
        </w:tc>
        <w:tc>
          <w:tcPr>
            <w:tcW w:w="1275" w:type="dxa"/>
            <w:tcBorders>
              <w:top w:val="nil"/>
              <w:left w:val="nil"/>
              <w:bottom w:val="nil"/>
              <w:right w:val="nil"/>
            </w:tcBorders>
            <w:noWrap/>
          </w:tcPr>
          <w:p w14:paraId="02F69821" w14:textId="77777777" w:rsidR="009B5C8F" w:rsidRPr="009B5C8F" w:rsidRDefault="009B5C8F" w:rsidP="009B5C8F">
            <w:pPr>
              <w:rPr>
                <w:sz w:val="16"/>
                <w:szCs w:val="16"/>
              </w:rPr>
            </w:pPr>
          </w:p>
        </w:tc>
        <w:tc>
          <w:tcPr>
            <w:tcW w:w="1211" w:type="dxa"/>
            <w:tcBorders>
              <w:top w:val="nil"/>
              <w:left w:val="nil"/>
              <w:bottom w:val="nil"/>
              <w:right w:val="nil"/>
            </w:tcBorders>
            <w:noWrap/>
          </w:tcPr>
          <w:p w14:paraId="4936D3A6" w14:textId="77777777" w:rsidR="009B5C8F" w:rsidRPr="009B5C8F" w:rsidRDefault="009B5C8F" w:rsidP="009B5C8F">
            <w:pPr>
              <w:rPr>
                <w:sz w:val="16"/>
                <w:szCs w:val="16"/>
              </w:rPr>
            </w:pPr>
          </w:p>
        </w:tc>
        <w:tc>
          <w:tcPr>
            <w:tcW w:w="1483" w:type="dxa"/>
            <w:tcBorders>
              <w:top w:val="nil"/>
              <w:left w:val="nil"/>
              <w:bottom w:val="nil"/>
              <w:right w:val="nil"/>
            </w:tcBorders>
            <w:noWrap/>
          </w:tcPr>
          <w:p w14:paraId="576260D8" w14:textId="77777777" w:rsidR="009B5C8F" w:rsidRPr="009B5C8F" w:rsidRDefault="009B5C8F" w:rsidP="009B5C8F">
            <w:pPr>
              <w:rPr>
                <w:sz w:val="16"/>
                <w:szCs w:val="16"/>
              </w:rPr>
            </w:pPr>
          </w:p>
        </w:tc>
        <w:tc>
          <w:tcPr>
            <w:tcW w:w="1184" w:type="dxa"/>
            <w:tcBorders>
              <w:top w:val="nil"/>
              <w:left w:val="nil"/>
              <w:bottom w:val="nil"/>
              <w:right w:val="nil"/>
            </w:tcBorders>
            <w:noWrap/>
          </w:tcPr>
          <w:p w14:paraId="742A31A1" w14:textId="77777777" w:rsidR="009B5C8F" w:rsidRPr="009B5C8F" w:rsidRDefault="009B5C8F" w:rsidP="009B5C8F">
            <w:pPr>
              <w:rPr>
                <w:sz w:val="16"/>
                <w:szCs w:val="16"/>
              </w:rPr>
            </w:pPr>
          </w:p>
        </w:tc>
      </w:tr>
      <w:tr w:rsidR="009B5C8F" w:rsidRPr="009B5C8F" w14:paraId="3027FDA5" w14:textId="77777777" w:rsidTr="003B3198">
        <w:trPr>
          <w:trHeight w:val="255"/>
        </w:trPr>
        <w:tc>
          <w:tcPr>
            <w:tcW w:w="2323" w:type="dxa"/>
            <w:tcBorders>
              <w:top w:val="nil"/>
              <w:left w:val="nil"/>
              <w:bottom w:val="nil"/>
              <w:right w:val="nil"/>
            </w:tcBorders>
            <w:noWrap/>
          </w:tcPr>
          <w:p w14:paraId="65BCC4F1" w14:textId="77777777" w:rsidR="009B5C8F" w:rsidRPr="009B5C8F" w:rsidRDefault="009B5C8F" w:rsidP="009B5C8F">
            <w:pPr>
              <w:ind w:firstLineChars="1100" w:firstLine="1760"/>
              <w:rPr>
                <w:sz w:val="16"/>
                <w:szCs w:val="16"/>
              </w:rPr>
            </w:pPr>
            <w:r w:rsidRPr="009B5C8F">
              <w:rPr>
                <w:sz w:val="16"/>
                <w:szCs w:val="16"/>
              </w:rPr>
              <w:t>≤500</w:t>
            </w:r>
          </w:p>
        </w:tc>
        <w:tc>
          <w:tcPr>
            <w:tcW w:w="1046" w:type="dxa"/>
            <w:tcBorders>
              <w:top w:val="nil"/>
              <w:left w:val="nil"/>
              <w:bottom w:val="nil"/>
              <w:right w:val="nil"/>
            </w:tcBorders>
            <w:noWrap/>
          </w:tcPr>
          <w:p w14:paraId="15DC51AE" w14:textId="77777777" w:rsidR="009B5C8F" w:rsidRPr="009B5C8F" w:rsidRDefault="009B5C8F" w:rsidP="009B5C8F">
            <w:pPr>
              <w:rPr>
                <w:sz w:val="16"/>
                <w:szCs w:val="16"/>
              </w:rPr>
            </w:pPr>
            <w:r w:rsidRPr="009B5C8F">
              <w:rPr>
                <w:sz w:val="16"/>
                <w:szCs w:val="16"/>
              </w:rPr>
              <w:t>21 (2.1%)</w:t>
            </w:r>
          </w:p>
        </w:tc>
        <w:tc>
          <w:tcPr>
            <w:tcW w:w="1275" w:type="dxa"/>
            <w:tcBorders>
              <w:top w:val="nil"/>
              <w:left w:val="nil"/>
              <w:bottom w:val="nil"/>
              <w:right w:val="nil"/>
            </w:tcBorders>
            <w:noWrap/>
          </w:tcPr>
          <w:p w14:paraId="40364AEA" w14:textId="77777777" w:rsidR="009B5C8F" w:rsidRPr="009B5C8F" w:rsidRDefault="009B5C8F" w:rsidP="009B5C8F">
            <w:pPr>
              <w:rPr>
                <w:sz w:val="16"/>
                <w:szCs w:val="16"/>
              </w:rPr>
            </w:pPr>
            <w:r w:rsidRPr="009B5C8F">
              <w:rPr>
                <w:sz w:val="16"/>
                <w:szCs w:val="16"/>
              </w:rPr>
              <w:t>3 (1.0%)</w:t>
            </w:r>
          </w:p>
        </w:tc>
        <w:tc>
          <w:tcPr>
            <w:tcW w:w="1211" w:type="dxa"/>
            <w:tcBorders>
              <w:top w:val="nil"/>
              <w:left w:val="nil"/>
              <w:bottom w:val="nil"/>
              <w:right w:val="nil"/>
            </w:tcBorders>
            <w:noWrap/>
          </w:tcPr>
          <w:p w14:paraId="7DE4D084" w14:textId="77777777" w:rsidR="009B5C8F" w:rsidRPr="009B5C8F" w:rsidRDefault="009B5C8F" w:rsidP="009B5C8F">
            <w:pPr>
              <w:rPr>
                <w:sz w:val="16"/>
                <w:szCs w:val="16"/>
              </w:rPr>
            </w:pPr>
            <w:r w:rsidRPr="009B5C8F">
              <w:rPr>
                <w:sz w:val="16"/>
                <w:szCs w:val="16"/>
              </w:rPr>
              <w:t>7 (1.9%)</w:t>
            </w:r>
          </w:p>
        </w:tc>
        <w:tc>
          <w:tcPr>
            <w:tcW w:w="1483" w:type="dxa"/>
            <w:tcBorders>
              <w:top w:val="nil"/>
              <w:left w:val="nil"/>
              <w:bottom w:val="nil"/>
              <w:right w:val="nil"/>
            </w:tcBorders>
            <w:noWrap/>
          </w:tcPr>
          <w:p w14:paraId="4E204C2B" w14:textId="77777777" w:rsidR="009B5C8F" w:rsidRPr="009B5C8F" w:rsidRDefault="009B5C8F" w:rsidP="009B5C8F">
            <w:pPr>
              <w:rPr>
                <w:sz w:val="16"/>
                <w:szCs w:val="16"/>
              </w:rPr>
            </w:pPr>
            <w:r w:rsidRPr="009B5C8F">
              <w:rPr>
                <w:sz w:val="16"/>
                <w:szCs w:val="16"/>
              </w:rPr>
              <w:t>11 (1.1%)</w:t>
            </w:r>
          </w:p>
        </w:tc>
        <w:tc>
          <w:tcPr>
            <w:tcW w:w="1184" w:type="dxa"/>
            <w:tcBorders>
              <w:top w:val="nil"/>
              <w:left w:val="nil"/>
              <w:bottom w:val="nil"/>
              <w:right w:val="nil"/>
            </w:tcBorders>
            <w:noWrap/>
          </w:tcPr>
          <w:p w14:paraId="4816DCF8" w14:textId="77777777" w:rsidR="009B5C8F" w:rsidRPr="009B5C8F" w:rsidRDefault="009B5C8F" w:rsidP="009B5C8F">
            <w:pPr>
              <w:rPr>
                <w:sz w:val="16"/>
                <w:szCs w:val="16"/>
              </w:rPr>
            </w:pPr>
            <w:r w:rsidRPr="009B5C8F">
              <w:rPr>
                <w:sz w:val="16"/>
                <w:szCs w:val="16"/>
              </w:rPr>
              <w:t>25 (1.4%)</w:t>
            </w:r>
          </w:p>
        </w:tc>
      </w:tr>
      <w:tr w:rsidR="009B5C8F" w:rsidRPr="009B5C8F" w14:paraId="06F639F1" w14:textId="77777777" w:rsidTr="003B3198">
        <w:trPr>
          <w:trHeight w:val="255"/>
        </w:trPr>
        <w:tc>
          <w:tcPr>
            <w:tcW w:w="2323" w:type="dxa"/>
            <w:tcBorders>
              <w:top w:val="nil"/>
              <w:left w:val="nil"/>
              <w:bottom w:val="nil"/>
              <w:right w:val="nil"/>
            </w:tcBorders>
            <w:noWrap/>
          </w:tcPr>
          <w:p w14:paraId="093A7DD5" w14:textId="77777777" w:rsidR="009B5C8F" w:rsidRPr="009B5C8F" w:rsidRDefault="009B5C8F" w:rsidP="009B5C8F">
            <w:pPr>
              <w:ind w:firstLineChars="900" w:firstLine="1440"/>
              <w:jc w:val="left"/>
              <w:rPr>
                <w:sz w:val="16"/>
                <w:szCs w:val="16"/>
              </w:rPr>
            </w:pPr>
            <w:r w:rsidRPr="009B5C8F">
              <w:rPr>
                <w:sz w:val="16"/>
                <w:szCs w:val="16"/>
              </w:rPr>
              <w:t>501-1500</w:t>
            </w:r>
          </w:p>
        </w:tc>
        <w:tc>
          <w:tcPr>
            <w:tcW w:w="1046" w:type="dxa"/>
            <w:tcBorders>
              <w:top w:val="nil"/>
              <w:left w:val="nil"/>
              <w:bottom w:val="nil"/>
              <w:right w:val="nil"/>
            </w:tcBorders>
            <w:noWrap/>
          </w:tcPr>
          <w:p w14:paraId="23FA1485" w14:textId="77777777" w:rsidR="009B5C8F" w:rsidRPr="009B5C8F" w:rsidRDefault="009B5C8F" w:rsidP="009B5C8F">
            <w:pPr>
              <w:rPr>
                <w:sz w:val="16"/>
                <w:szCs w:val="16"/>
              </w:rPr>
            </w:pPr>
            <w:r w:rsidRPr="009B5C8F">
              <w:rPr>
                <w:sz w:val="16"/>
                <w:szCs w:val="16"/>
              </w:rPr>
              <w:t>258 (26.1%)</w:t>
            </w:r>
          </w:p>
        </w:tc>
        <w:tc>
          <w:tcPr>
            <w:tcW w:w="1275" w:type="dxa"/>
            <w:tcBorders>
              <w:top w:val="nil"/>
              <w:left w:val="nil"/>
              <w:bottom w:val="nil"/>
              <w:right w:val="nil"/>
            </w:tcBorders>
            <w:noWrap/>
          </w:tcPr>
          <w:p w14:paraId="4BF1F860" w14:textId="77777777" w:rsidR="009B5C8F" w:rsidRPr="009B5C8F" w:rsidRDefault="009B5C8F" w:rsidP="009B5C8F">
            <w:pPr>
              <w:rPr>
                <w:sz w:val="16"/>
                <w:szCs w:val="16"/>
              </w:rPr>
            </w:pPr>
            <w:r w:rsidRPr="009B5C8F">
              <w:rPr>
                <w:sz w:val="16"/>
                <w:szCs w:val="16"/>
              </w:rPr>
              <w:t>70 (23.3%)</w:t>
            </w:r>
          </w:p>
        </w:tc>
        <w:tc>
          <w:tcPr>
            <w:tcW w:w="1211" w:type="dxa"/>
            <w:tcBorders>
              <w:top w:val="nil"/>
              <w:left w:val="nil"/>
              <w:bottom w:val="nil"/>
              <w:right w:val="nil"/>
            </w:tcBorders>
            <w:noWrap/>
          </w:tcPr>
          <w:p w14:paraId="1CD24E59" w14:textId="77777777" w:rsidR="009B5C8F" w:rsidRPr="009B5C8F" w:rsidRDefault="009B5C8F" w:rsidP="009B5C8F">
            <w:pPr>
              <w:rPr>
                <w:sz w:val="16"/>
                <w:szCs w:val="16"/>
              </w:rPr>
            </w:pPr>
            <w:r w:rsidRPr="009B5C8F">
              <w:rPr>
                <w:sz w:val="16"/>
                <w:szCs w:val="16"/>
              </w:rPr>
              <w:t>112 (30.6%)</w:t>
            </w:r>
          </w:p>
        </w:tc>
        <w:tc>
          <w:tcPr>
            <w:tcW w:w="1483" w:type="dxa"/>
            <w:tcBorders>
              <w:top w:val="nil"/>
              <w:left w:val="nil"/>
              <w:bottom w:val="nil"/>
              <w:right w:val="nil"/>
            </w:tcBorders>
            <w:noWrap/>
          </w:tcPr>
          <w:p w14:paraId="4B146D25" w14:textId="77777777" w:rsidR="009B5C8F" w:rsidRPr="009B5C8F" w:rsidRDefault="009B5C8F" w:rsidP="009B5C8F">
            <w:pPr>
              <w:rPr>
                <w:sz w:val="16"/>
                <w:szCs w:val="16"/>
              </w:rPr>
            </w:pPr>
            <w:r w:rsidRPr="009B5C8F">
              <w:rPr>
                <w:sz w:val="16"/>
                <w:szCs w:val="16"/>
              </w:rPr>
              <w:t>235 (23.8%)</w:t>
            </w:r>
          </w:p>
        </w:tc>
        <w:tc>
          <w:tcPr>
            <w:tcW w:w="1184" w:type="dxa"/>
            <w:tcBorders>
              <w:top w:val="nil"/>
              <w:left w:val="nil"/>
              <w:bottom w:val="nil"/>
              <w:right w:val="nil"/>
            </w:tcBorders>
            <w:noWrap/>
          </w:tcPr>
          <w:p w14:paraId="69AC02D9" w14:textId="77777777" w:rsidR="009B5C8F" w:rsidRPr="009B5C8F" w:rsidRDefault="009B5C8F" w:rsidP="009B5C8F">
            <w:pPr>
              <w:rPr>
                <w:sz w:val="16"/>
                <w:szCs w:val="16"/>
              </w:rPr>
            </w:pPr>
            <w:r w:rsidRPr="009B5C8F">
              <w:rPr>
                <w:sz w:val="16"/>
                <w:szCs w:val="16"/>
              </w:rPr>
              <w:t>385 (22.3%)</w:t>
            </w:r>
          </w:p>
        </w:tc>
      </w:tr>
      <w:tr w:rsidR="009B5C8F" w:rsidRPr="009B5C8F" w14:paraId="6EED315F" w14:textId="77777777" w:rsidTr="003B3198">
        <w:trPr>
          <w:trHeight w:val="255"/>
        </w:trPr>
        <w:tc>
          <w:tcPr>
            <w:tcW w:w="2323" w:type="dxa"/>
            <w:tcBorders>
              <w:top w:val="nil"/>
              <w:left w:val="nil"/>
              <w:bottom w:val="nil"/>
              <w:right w:val="nil"/>
            </w:tcBorders>
            <w:noWrap/>
          </w:tcPr>
          <w:p w14:paraId="2F1996BD" w14:textId="77777777" w:rsidR="009B5C8F" w:rsidRPr="009B5C8F" w:rsidRDefault="009B5C8F" w:rsidP="009B5C8F">
            <w:pPr>
              <w:ind w:firstLineChars="850" w:firstLine="1360"/>
              <w:jc w:val="left"/>
              <w:rPr>
                <w:sz w:val="16"/>
                <w:szCs w:val="16"/>
              </w:rPr>
            </w:pPr>
            <w:r w:rsidRPr="009B5C8F">
              <w:rPr>
                <w:sz w:val="16"/>
                <w:szCs w:val="16"/>
              </w:rPr>
              <w:t>1501-3000</w:t>
            </w:r>
          </w:p>
        </w:tc>
        <w:tc>
          <w:tcPr>
            <w:tcW w:w="1046" w:type="dxa"/>
            <w:tcBorders>
              <w:top w:val="nil"/>
              <w:left w:val="nil"/>
              <w:bottom w:val="nil"/>
              <w:right w:val="nil"/>
            </w:tcBorders>
            <w:noWrap/>
          </w:tcPr>
          <w:p w14:paraId="03B88F61" w14:textId="77777777" w:rsidR="009B5C8F" w:rsidRPr="009B5C8F" w:rsidRDefault="009B5C8F" w:rsidP="009B5C8F">
            <w:pPr>
              <w:rPr>
                <w:sz w:val="16"/>
                <w:szCs w:val="16"/>
              </w:rPr>
            </w:pPr>
            <w:r w:rsidRPr="009B5C8F">
              <w:rPr>
                <w:sz w:val="16"/>
                <w:szCs w:val="16"/>
              </w:rPr>
              <w:t>565 (57.1%)</w:t>
            </w:r>
          </w:p>
        </w:tc>
        <w:tc>
          <w:tcPr>
            <w:tcW w:w="1275" w:type="dxa"/>
            <w:tcBorders>
              <w:top w:val="nil"/>
              <w:left w:val="nil"/>
              <w:bottom w:val="nil"/>
              <w:right w:val="nil"/>
            </w:tcBorders>
            <w:noWrap/>
          </w:tcPr>
          <w:p w14:paraId="5A6130FD" w14:textId="77777777" w:rsidR="009B5C8F" w:rsidRPr="009B5C8F" w:rsidRDefault="009B5C8F" w:rsidP="009B5C8F">
            <w:pPr>
              <w:rPr>
                <w:sz w:val="16"/>
                <w:szCs w:val="16"/>
              </w:rPr>
            </w:pPr>
            <w:r w:rsidRPr="009B5C8F">
              <w:rPr>
                <w:sz w:val="16"/>
                <w:szCs w:val="16"/>
              </w:rPr>
              <w:t>136 (45.2%)</w:t>
            </w:r>
          </w:p>
        </w:tc>
        <w:tc>
          <w:tcPr>
            <w:tcW w:w="1211" w:type="dxa"/>
            <w:tcBorders>
              <w:top w:val="nil"/>
              <w:left w:val="nil"/>
              <w:bottom w:val="nil"/>
              <w:right w:val="nil"/>
            </w:tcBorders>
            <w:noWrap/>
          </w:tcPr>
          <w:p w14:paraId="5DA12EF4" w14:textId="77777777" w:rsidR="009B5C8F" w:rsidRPr="009B5C8F" w:rsidRDefault="009B5C8F" w:rsidP="009B5C8F">
            <w:pPr>
              <w:rPr>
                <w:sz w:val="16"/>
                <w:szCs w:val="16"/>
              </w:rPr>
            </w:pPr>
            <w:r w:rsidRPr="009B5C8F">
              <w:rPr>
                <w:sz w:val="16"/>
                <w:szCs w:val="16"/>
              </w:rPr>
              <w:t>177 (48.4%)</w:t>
            </w:r>
          </w:p>
        </w:tc>
        <w:tc>
          <w:tcPr>
            <w:tcW w:w="1483" w:type="dxa"/>
            <w:tcBorders>
              <w:top w:val="nil"/>
              <w:left w:val="nil"/>
              <w:bottom w:val="nil"/>
              <w:right w:val="nil"/>
            </w:tcBorders>
            <w:noWrap/>
          </w:tcPr>
          <w:p w14:paraId="0B9326B4" w14:textId="77777777" w:rsidR="009B5C8F" w:rsidRPr="009B5C8F" w:rsidRDefault="009B5C8F" w:rsidP="009B5C8F">
            <w:pPr>
              <w:rPr>
                <w:sz w:val="16"/>
                <w:szCs w:val="16"/>
              </w:rPr>
            </w:pPr>
            <w:r w:rsidRPr="009B5C8F">
              <w:rPr>
                <w:sz w:val="16"/>
                <w:szCs w:val="16"/>
              </w:rPr>
              <w:t>567 (57.4%)</w:t>
            </w:r>
          </w:p>
        </w:tc>
        <w:tc>
          <w:tcPr>
            <w:tcW w:w="1184" w:type="dxa"/>
            <w:tcBorders>
              <w:top w:val="nil"/>
              <w:left w:val="nil"/>
              <w:bottom w:val="nil"/>
              <w:right w:val="nil"/>
            </w:tcBorders>
            <w:noWrap/>
          </w:tcPr>
          <w:p w14:paraId="274075A0" w14:textId="77777777" w:rsidR="009B5C8F" w:rsidRPr="009B5C8F" w:rsidRDefault="009B5C8F" w:rsidP="009B5C8F">
            <w:pPr>
              <w:rPr>
                <w:sz w:val="16"/>
                <w:szCs w:val="16"/>
              </w:rPr>
            </w:pPr>
            <w:r w:rsidRPr="009B5C8F">
              <w:rPr>
                <w:sz w:val="16"/>
                <w:szCs w:val="16"/>
              </w:rPr>
              <w:t>1091 (63.1%)</w:t>
            </w:r>
          </w:p>
        </w:tc>
      </w:tr>
      <w:tr w:rsidR="009B5C8F" w:rsidRPr="009B5C8F" w14:paraId="3D70C72D" w14:textId="77777777" w:rsidTr="003B3198">
        <w:trPr>
          <w:trHeight w:val="255"/>
        </w:trPr>
        <w:tc>
          <w:tcPr>
            <w:tcW w:w="2323" w:type="dxa"/>
            <w:tcBorders>
              <w:top w:val="nil"/>
              <w:left w:val="nil"/>
              <w:bottom w:val="nil"/>
              <w:right w:val="nil"/>
            </w:tcBorders>
            <w:noWrap/>
          </w:tcPr>
          <w:p w14:paraId="1C8BF6D6" w14:textId="77777777" w:rsidR="009B5C8F" w:rsidRPr="009B5C8F" w:rsidRDefault="009B5C8F" w:rsidP="009B5C8F">
            <w:pPr>
              <w:ind w:firstLineChars="1050" w:firstLine="1680"/>
              <w:jc w:val="left"/>
              <w:rPr>
                <w:sz w:val="16"/>
                <w:szCs w:val="16"/>
              </w:rPr>
            </w:pPr>
            <w:r w:rsidRPr="009B5C8F">
              <w:rPr>
                <w:sz w:val="16"/>
                <w:szCs w:val="16"/>
              </w:rPr>
              <w:t>&gt;3000</w:t>
            </w:r>
          </w:p>
        </w:tc>
        <w:tc>
          <w:tcPr>
            <w:tcW w:w="1046" w:type="dxa"/>
            <w:tcBorders>
              <w:top w:val="nil"/>
              <w:left w:val="nil"/>
              <w:bottom w:val="nil"/>
              <w:right w:val="nil"/>
            </w:tcBorders>
            <w:noWrap/>
          </w:tcPr>
          <w:p w14:paraId="408923D1" w14:textId="77777777" w:rsidR="009B5C8F" w:rsidRPr="009B5C8F" w:rsidRDefault="009B5C8F" w:rsidP="009B5C8F">
            <w:pPr>
              <w:rPr>
                <w:sz w:val="16"/>
                <w:szCs w:val="16"/>
              </w:rPr>
            </w:pPr>
            <w:r w:rsidRPr="009B5C8F">
              <w:rPr>
                <w:sz w:val="16"/>
                <w:szCs w:val="16"/>
              </w:rPr>
              <w:t>146 (14.7%)</w:t>
            </w:r>
          </w:p>
        </w:tc>
        <w:tc>
          <w:tcPr>
            <w:tcW w:w="1275" w:type="dxa"/>
            <w:tcBorders>
              <w:top w:val="nil"/>
              <w:left w:val="nil"/>
              <w:bottom w:val="nil"/>
              <w:right w:val="nil"/>
            </w:tcBorders>
            <w:noWrap/>
          </w:tcPr>
          <w:p w14:paraId="682FEBFB" w14:textId="77777777" w:rsidR="009B5C8F" w:rsidRPr="009B5C8F" w:rsidRDefault="009B5C8F" w:rsidP="009B5C8F">
            <w:pPr>
              <w:rPr>
                <w:sz w:val="16"/>
                <w:szCs w:val="16"/>
              </w:rPr>
            </w:pPr>
            <w:r w:rsidRPr="009B5C8F">
              <w:rPr>
                <w:sz w:val="16"/>
                <w:szCs w:val="16"/>
              </w:rPr>
              <w:t>92 (30.6%)</w:t>
            </w:r>
          </w:p>
        </w:tc>
        <w:tc>
          <w:tcPr>
            <w:tcW w:w="1211" w:type="dxa"/>
            <w:tcBorders>
              <w:top w:val="nil"/>
              <w:left w:val="nil"/>
              <w:bottom w:val="nil"/>
              <w:right w:val="nil"/>
            </w:tcBorders>
            <w:noWrap/>
          </w:tcPr>
          <w:p w14:paraId="117CDAF9" w14:textId="77777777" w:rsidR="009B5C8F" w:rsidRPr="009B5C8F" w:rsidRDefault="009B5C8F" w:rsidP="009B5C8F">
            <w:pPr>
              <w:rPr>
                <w:sz w:val="16"/>
                <w:szCs w:val="16"/>
              </w:rPr>
            </w:pPr>
            <w:r w:rsidRPr="009B5C8F">
              <w:rPr>
                <w:sz w:val="16"/>
                <w:szCs w:val="16"/>
              </w:rPr>
              <w:t>70 (19.1%)</w:t>
            </w:r>
          </w:p>
        </w:tc>
        <w:tc>
          <w:tcPr>
            <w:tcW w:w="1483" w:type="dxa"/>
            <w:tcBorders>
              <w:top w:val="nil"/>
              <w:left w:val="nil"/>
              <w:bottom w:val="nil"/>
              <w:right w:val="nil"/>
            </w:tcBorders>
            <w:noWrap/>
          </w:tcPr>
          <w:p w14:paraId="7DE92D50" w14:textId="77777777" w:rsidR="009B5C8F" w:rsidRPr="009B5C8F" w:rsidRDefault="009B5C8F" w:rsidP="009B5C8F">
            <w:pPr>
              <w:rPr>
                <w:sz w:val="16"/>
                <w:szCs w:val="16"/>
              </w:rPr>
            </w:pPr>
            <w:r w:rsidRPr="009B5C8F">
              <w:rPr>
                <w:sz w:val="16"/>
                <w:szCs w:val="16"/>
              </w:rPr>
              <w:t>174 (17.6%)</w:t>
            </w:r>
          </w:p>
        </w:tc>
        <w:tc>
          <w:tcPr>
            <w:tcW w:w="1184" w:type="dxa"/>
            <w:tcBorders>
              <w:top w:val="nil"/>
              <w:left w:val="nil"/>
              <w:bottom w:val="nil"/>
              <w:right w:val="nil"/>
            </w:tcBorders>
            <w:noWrap/>
          </w:tcPr>
          <w:p w14:paraId="757C525E" w14:textId="77777777" w:rsidR="009B5C8F" w:rsidRPr="009B5C8F" w:rsidRDefault="009B5C8F" w:rsidP="009B5C8F">
            <w:pPr>
              <w:rPr>
                <w:sz w:val="16"/>
                <w:szCs w:val="16"/>
              </w:rPr>
            </w:pPr>
            <w:r w:rsidRPr="009B5C8F">
              <w:rPr>
                <w:sz w:val="16"/>
                <w:szCs w:val="16"/>
              </w:rPr>
              <w:t>228 (13.2%)</w:t>
            </w:r>
          </w:p>
        </w:tc>
      </w:tr>
      <w:tr w:rsidR="009B5C8F" w:rsidRPr="009B5C8F" w14:paraId="46F024EE" w14:textId="77777777" w:rsidTr="003B3198">
        <w:trPr>
          <w:trHeight w:val="255"/>
        </w:trPr>
        <w:tc>
          <w:tcPr>
            <w:tcW w:w="2323" w:type="dxa"/>
            <w:tcBorders>
              <w:top w:val="nil"/>
              <w:left w:val="nil"/>
              <w:bottom w:val="nil"/>
              <w:right w:val="nil"/>
            </w:tcBorders>
            <w:noWrap/>
          </w:tcPr>
          <w:p w14:paraId="2A95D9E6" w14:textId="77777777" w:rsidR="009B5C8F" w:rsidRPr="009B5C8F" w:rsidRDefault="009B5C8F" w:rsidP="009B5C8F">
            <w:pPr>
              <w:jc w:val="left"/>
              <w:rPr>
                <w:sz w:val="16"/>
                <w:szCs w:val="16"/>
              </w:rPr>
            </w:pPr>
            <w:r w:rsidRPr="009B5C8F">
              <w:rPr>
                <w:sz w:val="16"/>
                <w:szCs w:val="16"/>
              </w:rPr>
              <w:t>Current smoking status</w:t>
            </w:r>
          </w:p>
        </w:tc>
        <w:tc>
          <w:tcPr>
            <w:tcW w:w="1046" w:type="dxa"/>
            <w:tcBorders>
              <w:top w:val="nil"/>
              <w:left w:val="nil"/>
              <w:bottom w:val="nil"/>
              <w:right w:val="nil"/>
            </w:tcBorders>
            <w:noWrap/>
          </w:tcPr>
          <w:p w14:paraId="51D50A25" w14:textId="77777777" w:rsidR="009B5C8F" w:rsidRPr="009B5C8F" w:rsidRDefault="009B5C8F" w:rsidP="009B5C8F">
            <w:pPr>
              <w:rPr>
                <w:sz w:val="16"/>
                <w:szCs w:val="16"/>
              </w:rPr>
            </w:pPr>
          </w:p>
        </w:tc>
        <w:tc>
          <w:tcPr>
            <w:tcW w:w="1275" w:type="dxa"/>
            <w:tcBorders>
              <w:top w:val="nil"/>
              <w:left w:val="nil"/>
              <w:bottom w:val="nil"/>
              <w:right w:val="nil"/>
            </w:tcBorders>
            <w:noWrap/>
          </w:tcPr>
          <w:p w14:paraId="74F3131E" w14:textId="77777777" w:rsidR="009B5C8F" w:rsidRPr="009B5C8F" w:rsidRDefault="009B5C8F" w:rsidP="009B5C8F">
            <w:pPr>
              <w:rPr>
                <w:sz w:val="16"/>
                <w:szCs w:val="16"/>
              </w:rPr>
            </w:pPr>
          </w:p>
        </w:tc>
        <w:tc>
          <w:tcPr>
            <w:tcW w:w="1211" w:type="dxa"/>
            <w:tcBorders>
              <w:top w:val="nil"/>
              <w:left w:val="nil"/>
              <w:bottom w:val="nil"/>
              <w:right w:val="nil"/>
            </w:tcBorders>
            <w:noWrap/>
          </w:tcPr>
          <w:p w14:paraId="2C315265" w14:textId="77777777" w:rsidR="009B5C8F" w:rsidRPr="009B5C8F" w:rsidRDefault="009B5C8F" w:rsidP="009B5C8F">
            <w:pPr>
              <w:rPr>
                <w:sz w:val="16"/>
                <w:szCs w:val="16"/>
              </w:rPr>
            </w:pPr>
          </w:p>
        </w:tc>
        <w:tc>
          <w:tcPr>
            <w:tcW w:w="1483" w:type="dxa"/>
            <w:tcBorders>
              <w:top w:val="nil"/>
              <w:left w:val="nil"/>
              <w:bottom w:val="nil"/>
              <w:right w:val="nil"/>
            </w:tcBorders>
            <w:noWrap/>
          </w:tcPr>
          <w:p w14:paraId="7B32C720" w14:textId="77777777" w:rsidR="009B5C8F" w:rsidRPr="009B5C8F" w:rsidRDefault="009B5C8F" w:rsidP="009B5C8F">
            <w:pPr>
              <w:rPr>
                <w:sz w:val="16"/>
                <w:szCs w:val="16"/>
              </w:rPr>
            </w:pPr>
          </w:p>
        </w:tc>
        <w:tc>
          <w:tcPr>
            <w:tcW w:w="1184" w:type="dxa"/>
            <w:tcBorders>
              <w:top w:val="nil"/>
              <w:left w:val="nil"/>
              <w:bottom w:val="nil"/>
              <w:right w:val="nil"/>
            </w:tcBorders>
            <w:noWrap/>
          </w:tcPr>
          <w:p w14:paraId="660E200B" w14:textId="77777777" w:rsidR="009B5C8F" w:rsidRPr="009B5C8F" w:rsidRDefault="009B5C8F" w:rsidP="009B5C8F">
            <w:pPr>
              <w:rPr>
                <w:sz w:val="16"/>
                <w:szCs w:val="16"/>
              </w:rPr>
            </w:pPr>
          </w:p>
        </w:tc>
      </w:tr>
      <w:tr w:rsidR="009B5C8F" w:rsidRPr="009B5C8F" w14:paraId="54E62C9F" w14:textId="77777777" w:rsidTr="003B3198">
        <w:trPr>
          <w:trHeight w:val="255"/>
        </w:trPr>
        <w:tc>
          <w:tcPr>
            <w:tcW w:w="2323" w:type="dxa"/>
            <w:tcBorders>
              <w:top w:val="nil"/>
              <w:left w:val="nil"/>
              <w:bottom w:val="nil"/>
              <w:right w:val="nil"/>
            </w:tcBorders>
            <w:noWrap/>
          </w:tcPr>
          <w:p w14:paraId="05C59DA0" w14:textId="77777777" w:rsidR="009B5C8F" w:rsidRPr="009B5C8F" w:rsidRDefault="009B5C8F" w:rsidP="009B5C8F">
            <w:pPr>
              <w:jc w:val="left"/>
              <w:rPr>
                <w:sz w:val="16"/>
                <w:szCs w:val="16"/>
              </w:rPr>
            </w:pPr>
            <w:r w:rsidRPr="009B5C8F">
              <w:rPr>
                <w:sz w:val="16"/>
                <w:szCs w:val="16"/>
              </w:rPr>
              <w:t xml:space="preserve">                            No</w:t>
            </w:r>
          </w:p>
        </w:tc>
        <w:tc>
          <w:tcPr>
            <w:tcW w:w="1046" w:type="dxa"/>
            <w:tcBorders>
              <w:top w:val="nil"/>
              <w:left w:val="nil"/>
              <w:bottom w:val="nil"/>
              <w:right w:val="nil"/>
            </w:tcBorders>
            <w:noWrap/>
          </w:tcPr>
          <w:p w14:paraId="093CAA77" w14:textId="77777777" w:rsidR="009B5C8F" w:rsidRPr="009B5C8F" w:rsidRDefault="009B5C8F" w:rsidP="009B5C8F">
            <w:pPr>
              <w:rPr>
                <w:sz w:val="16"/>
                <w:szCs w:val="16"/>
              </w:rPr>
            </w:pPr>
            <w:r w:rsidRPr="009B5C8F">
              <w:rPr>
                <w:sz w:val="16"/>
                <w:szCs w:val="16"/>
              </w:rPr>
              <w:t>823 (83.1%)</w:t>
            </w:r>
          </w:p>
        </w:tc>
        <w:tc>
          <w:tcPr>
            <w:tcW w:w="1275" w:type="dxa"/>
            <w:tcBorders>
              <w:top w:val="nil"/>
              <w:left w:val="nil"/>
              <w:bottom w:val="nil"/>
              <w:right w:val="nil"/>
            </w:tcBorders>
            <w:noWrap/>
          </w:tcPr>
          <w:p w14:paraId="77645891" w14:textId="77777777" w:rsidR="009B5C8F" w:rsidRPr="009B5C8F" w:rsidRDefault="009B5C8F" w:rsidP="009B5C8F">
            <w:pPr>
              <w:rPr>
                <w:sz w:val="16"/>
                <w:szCs w:val="16"/>
              </w:rPr>
            </w:pPr>
            <w:r w:rsidRPr="009B5C8F">
              <w:rPr>
                <w:sz w:val="16"/>
                <w:szCs w:val="16"/>
              </w:rPr>
              <w:t>268 (89.0%)</w:t>
            </w:r>
          </w:p>
        </w:tc>
        <w:tc>
          <w:tcPr>
            <w:tcW w:w="1211" w:type="dxa"/>
            <w:tcBorders>
              <w:top w:val="nil"/>
              <w:left w:val="nil"/>
              <w:bottom w:val="nil"/>
              <w:right w:val="nil"/>
            </w:tcBorders>
            <w:noWrap/>
          </w:tcPr>
          <w:p w14:paraId="5FA69B80" w14:textId="77777777" w:rsidR="009B5C8F" w:rsidRPr="009B5C8F" w:rsidRDefault="009B5C8F" w:rsidP="009B5C8F">
            <w:pPr>
              <w:rPr>
                <w:sz w:val="16"/>
                <w:szCs w:val="16"/>
              </w:rPr>
            </w:pPr>
            <w:r w:rsidRPr="009B5C8F">
              <w:rPr>
                <w:sz w:val="16"/>
                <w:szCs w:val="16"/>
              </w:rPr>
              <w:t>310 (84.7%)</w:t>
            </w:r>
          </w:p>
        </w:tc>
        <w:tc>
          <w:tcPr>
            <w:tcW w:w="1483" w:type="dxa"/>
            <w:tcBorders>
              <w:top w:val="nil"/>
              <w:left w:val="nil"/>
              <w:bottom w:val="nil"/>
              <w:right w:val="nil"/>
            </w:tcBorders>
            <w:noWrap/>
          </w:tcPr>
          <w:p w14:paraId="15A85BD6" w14:textId="77777777" w:rsidR="009B5C8F" w:rsidRPr="009B5C8F" w:rsidRDefault="009B5C8F" w:rsidP="009B5C8F">
            <w:pPr>
              <w:rPr>
                <w:sz w:val="16"/>
                <w:szCs w:val="16"/>
              </w:rPr>
            </w:pPr>
            <w:r w:rsidRPr="009B5C8F">
              <w:rPr>
                <w:sz w:val="16"/>
                <w:szCs w:val="16"/>
              </w:rPr>
              <w:t>858 (86.9%)</w:t>
            </w:r>
          </w:p>
        </w:tc>
        <w:tc>
          <w:tcPr>
            <w:tcW w:w="1184" w:type="dxa"/>
            <w:tcBorders>
              <w:top w:val="nil"/>
              <w:left w:val="nil"/>
              <w:bottom w:val="nil"/>
              <w:right w:val="nil"/>
            </w:tcBorders>
            <w:noWrap/>
          </w:tcPr>
          <w:p w14:paraId="76D7EE84" w14:textId="77777777" w:rsidR="009B5C8F" w:rsidRPr="009B5C8F" w:rsidRDefault="009B5C8F" w:rsidP="009B5C8F">
            <w:pPr>
              <w:rPr>
                <w:sz w:val="16"/>
                <w:szCs w:val="16"/>
              </w:rPr>
            </w:pPr>
            <w:r w:rsidRPr="009B5C8F">
              <w:rPr>
                <w:sz w:val="16"/>
                <w:szCs w:val="16"/>
              </w:rPr>
              <w:t>1458 (84.3%)</w:t>
            </w:r>
          </w:p>
        </w:tc>
      </w:tr>
      <w:tr w:rsidR="009B5C8F" w:rsidRPr="009B5C8F" w14:paraId="38C24ED6" w14:textId="77777777" w:rsidTr="003B3198">
        <w:trPr>
          <w:trHeight w:val="255"/>
        </w:trPr>
        <w:tc>
          <w:tcPr>
            <w:tcW w:w="2323" w:type="dxa"/>
            <w:tcBorders>
              <w:top w:val="nil"/>
              <w:left w:val="nil"/>
              <w:bottom w:val="nil"/>
              <w:right w:val="nil"/>
            </w:tcBorders>
            <w:noWrap/>
          </w:tcPr>
          <w:p w14:paraId="1D4AB48B" w14:textId="77777777" w:rsidR="009B5C8F" w:rsidRPr="009B5C8F" w:rsidRDefault="009B5C8F" w:rsidP="009B5C8F">
            <w:pPr>
              <w:ind w:firstLineChars="1100" w:firstLine="1760"/>
              <w:jc w:val="left"/>
              <w:rPr>
                <w:sz w:val="16"/>
                <w:szCs w:val="16"/>
              </w:rPr>
            </w:pPr>
            <w:r w:rsidRPr="009B5C8F">
              <w:rPr>
                <w:sz w:val="16"/>
                <w:szCs w:val="16"/>
              </w:rPr>
              <w:t>Yes</w:t>
            </w:r>
          </w:p>
        </w:tc>
        <w:tc>
          <w:tcPr>
            <w:tcW w:w="1046" w:type="dxa"/>
            <w:tcBorders>
              <w:top w:val="nil"/>
              <w:left w:val="nil"/>
              <w:bottom w:val="nil"/>
              <w:right w:val="nil"/>
            </w:tcBorders>
            <w:noWrap/>
          </w:tcPr>
          <w:p w14:paraId="55FCF7BC" w14:textId="77777777" w:rsidR="009B5C8F" w:rsidRPr="009B5C8F" w:rsidRDefault="009B5C8F" w:rsidP="009B5C8F">
            <w:pPr>
              <w:rPr>
                <w:sz w:val="16"/>
                <w:szCs w:val="16"/>
              </w:rPr>
            </w:pPr>
            <w:r w:rsidRPr="009B5C8F">
              <w:rPr>
                <w:sz w:val="16"/>
                <w:szCs w:val="16"/>
              </w:rPr>
              <w:t>167 (16.9%)</w:t>
            </w:r>
          </w:p>
        </w:tc>
        <w:tc>
          <w:tcPr>
            <w:tcW w:w="1275" w:type="dxa"/>
            <w:tcBorders>
              <w:top w:val="nil"/>
              <w:left w:val="nil"/>
              <w:bottom w:val="nil"/>
              <w:right w:val="nil"/>
            </w:tcBorders>
            <w:noWrap/>
          </w:tcPr>
          <w:p w14:paraId="64B8CCD3" w14:textId="77777777" w:rsidR="009B5C8F" w:rsidRPr="009B5C8F" w:rsidRDefault="009B5C8F" w:rsidP="009B5C8F">
            <w:pPr>
              <w:rPr>
                <w:sz w:val="16"/>
                <w:szCs w:val="16"/>
              </w:rPr>
            </w:pPr>
            <w:r w:rsidRPr="009B5C8F">
              <w:rPr>
                <w:sz w:val="16"/>
                <w:szCs w:val="16"/>
              </w:rPr>
              <w:t>33 (11.0%)</w:t>
            </w:r>
          </w:p>
        </w:tc>
        <w:tc>
          <w:tcPr>
            <w:tcW w:w="1211" w:type="dxa"/>
            <w:tcBorders>
              <w:top w:val="nil"/>
              <w:left w:val="nil"/>
              <w:bottom w:val="nil"/>
              <w:right w:val="nil"/>
            </w:tcBorders>
            <w:noWrap/>
          </w:tcPr>
          <w:p w14:paraId="20969937" w14:textId="77777777" w:rsidR="009B5C8F" w:rsidRPr="009B5C8F" w:rsidRDefault="009B5C8F" w:rsidP="009B5C8F">
            <w:pPr>
              <w:rPr>
                <w:sz w:val="16"/>
                <w:szCs w:val="16"/>
              </w:rPr>
            </w:pPr>
            <w:r w:rsidRPr="009B5C8F">
              <w:rPr>
                <w:sz w:val="16"/>
                <w:szCs w:val="16"/>
              </w:rPr>
              <w:t>56 (15.3%)</w:t>
            </w:r>
          </w:p>
        </w:tc>
        <w:tc>
          <w:tcPr>
            <w:tcW w:w="1483" w:type="dxa"/>
            <w:tcBorders>
              <w:top w:val="nil"/>
              <w:left w:val="nil"/>
              <w:bottom w:val="nil"/>
              <w:right w:val="nil"/>
            </w:tcBorders>
            <w:noWrap/>
          </w:tcPr>
          <w:p w14:paraId="4C808F4C" w14:textId="77777777" w:rsidR="009B5C8F" w:rsidRPr="009B5C8F" w:rsidRDefault="009B5C8F" w:rsidP="009B5C8F">
            <w:pPr>
              <w:rPr>
                <w:sz w:val="16"/>
                <w:szCs w:val="16"/>
              </w:rPr>
            </w:pPr>
            <w:r w:rsidRPr="009B5C8F">
              <w:rPr>
                <w:sz w:val="16"/>
                <w:szCs w:val="16"/>
              </w:rPr>
              <w:t>129 (13.1%)</w:t>
            </w:r>
          </w:p>
        </w:tc>
        <w:tc>
          <w:tcPr>
            <w:tcW w:w="1184" w:type="dxa"/>
            <w:tcBorders>
              <w:top w:val="nil"/>
              <w:left w:val="nil"/>
              <w:bottom w:val="nil"/>
              <w:right w:val="nil"/>
            </w:tcBorders>
            <w:noWrap/>
          </w:tcPr>
          <w:p w14:paraId="7B0638E9" w14:textId="77777777" w:rsidR="009B5C8F" w:rsidRPr="009B5C8F" w:rsidRDefault="009B5C8F" w:rsidP="009B5C8F">
            <w:pPr>
              <w:rPr>
                <w:sz w:val="16"/>
                <w:szCs w:val="16"/>
              </w:rPr>
            </w:pPr>
            <w:r w:rsidRPr="009B5C8F">
              <w:rPr>
                <w:sz w:val="16"/>
                <w:szCs w:val="16"/>
              </w:rPr>
              <w:t>271 (15.7%)</w:t>
            </w:r>
          </w:p>
        </w:tc>
      </w:tr>
      <w:tr w:rsidR="009B5C8F" w:rsidRPr="009B5C8F" w14:paraId="06E17410" w14:textId="77777777" w:rsidTr="003B3198">
        <w:trPr>
          <w:trHeight w:val="255"/>
        </w:trPr>
        <w:tc>
          <w:tcPr>
            <w:tcW w:w="2323" w:type="dxa"/>
            <w:tcBorders>
              <w:top w:val="nil"/>
              <w:left w:val="nil"/>
              <w:bottom w:val="nil"/>
              <w:right w:val="nil"/>
            </w:tcBorders>
            <w:noWrap/>
          </w:tcPr>
          <w:p w14:paraId="11573BE4" w14:textId="77777777" w:rsidR="009B5C8F" w:rsidRPr="009B5C8F" w:rsidRDefault="009B5C8F" w:rsidP="009B5C8F">
            <w:pPr>
              <w:jc w:val="left"/>
              <w:rPr>
                <w:sz w:val="16"/>
                <w:szCs w:val="16"/>
              </w:rPr>
            </w:pPr>
            <w:r w:rsidRPr="009B5C8F">
              <w:rPr>
                <w:sz w:val="16"/>
                <w:szCs w:val="16"/>
              </w:rPr>
              <w:t>Current alcohol drinking</w:t>
            </w:r>
          </w:p>
        </w:tc>
        <w:tc>
          <w:tcPr>
            <w:tcW w:w="1046" w:type="dxa"/>
            <w:tcBorders>
              <w:top w:val="nil"/>
              <w:left w:val="nil"/>
              <w:bottom w:val="nil"/>
              <w:right w:val="nil"/>
            </w:tcBorders>
            <w:noWrap/>
          </w:tcPr>
          <w:p w14:paraId="5AA14CA1" w14:textId="77777777" w:rsidR="009B5C8F" w:rsidRPr="009B5C8F" w:rsidRDefault="009B5C8F" w:rsidP="009B5C8F">
            <w:pPr>
              <w:rPr>
                <w:sz w:val="16"/>
                <w:szCs w:val="16"/>
              </w:rPr>
            </w:pPr>
          </w:p>
        </w:tc>
        <w:tc>
          <w:tcPr>
            <w:tcW w:w="1275" w:type="dxa"/>
            <w:tcBorders>
              <w:top w:val="nil"/>
              <w:left w:val="nil"/>
              <w:bottom w:val="nil"/>
              <w:right w:val="nil"/>
            </w:tcBorders>
            <w:noWrap/>
          </w:tcPr>
          <w:p w14:paraId="79059C2B" w14:textId="77777777" w:rsidR="009B5C8F" w:rsidRPr="009B5C8F" w:rsidRDefault="009B5C8F" w:rsidP="009B5C8F">
            <w:pPr>
              <w:rPr>
                <w:sz w:val="16"/>
                <w:szCs w:val="16"/>
              </w:rPr>
            </w:pPr>
          </w:p>
        </w:tc>
        <w:tc>
          <w:tcPr>
            <w:tcW w:w="1211" w:type="dxa"/>
            <w:tcBorders>
              <w:top w:val="nil"/>
              <w:left w:val="nil"/>
              <w:bottom w:val="nil"/>
              <w:right w:val="nil"/>
            </w:tcBorders>
            <w:noWrap/>
          </w:tcPr>
          <w:p w14:paraId="67451C19" w14:textId="77777777" w:rsidR="009B5C8F" w:rsidRPr="009B5C8F" w:rsidRDefault="009B5C8F" w:rsidP="009B5C8F">
            <w:pPr>
              <w:rPr>
                <w:sz w:val="16"/>
                <w:szCs w:val="16"/>
              </w:rPr>
            </w:pPr>
          </w:p>
        </w:tc>
        <w:tc>
          <w:tcPr>
            <w:tcW w:w="1483" w:type="dxa"/>
            <w:tcBorders>
              <w:top w:val="nil"/>
              <w:left w:val="nil"/>
              <w:bottom w:val="nil"/>
              <w:right w:val="nil"/>
            </w:tcBorders>
            <w:noWrap/>
          </w:tcPr>
          <w:p w14:paraId="6153DC4C" w14:textId="77777777" w:rsidR="009B5C8F" w:rsidRPr="009B5C8F" w:rsidRDefault="009B5C8F" w:rsidP="009B5C8F">
            <w:pPr>
              <w:rPr>
                <w:sz w:val="16"/>
                <w:szCs w:val="16"/>
              </w:rPr>
            </w:pPr>
          </w:p>
        </w:tc>
        <w:tc>
          <w:tcPr>
            <w:tcW w:w="1184" w:type="dxa"/>
            <w:tcBorders>
              <w:top w:val="nil"/>
              <w:left w:val="nil"/>
              <w:bottom w:val="nil"/>
              <w:right w:val="nil"/>
            </w:tcBorders>
            <w:noWrap/>
          </w:tcPr>
          <w:p w14:paraId="69373B0E" w14:textId="77777777" w:rsidR="009B5C8F" w:rsidRPr="009B5C8F" w:rsidRDefault="009B5C8F" w:rsidP="009B5C8F">
            <w:pPr>
              <w:rPr>
                <w:sz w:val="16"/>
                <w:szCs w:val="16"/>
              </w:rPr>
            </w:pPr>
          </w:p>
        </w:tc>
      </w:tr>
      <w:tr w:rsidR="009B5C8F" w:rsidRPr="009B5C8F" w14:paraId="463D3A21" w14:textId="77777777" w:rsidTr="003B3198">
        <w:trPr>
          <w:trHeight w:val="255"/>
        </w:trPr>
        <w:tc>
          <w:tcPr>
            <w:tcW w:w="2323" w:type="dxa"/>
            <w:tcBorders>
              <w:top w:val="nil"/>
              <w:left w:val="nil"/>
              <w:bottom w:val="nil"/>
              <w:right w:val="nil"/>
            </w:tcBorders>
            <w:noWrap/>
          </w:tcPr>
          <w:p w14:paraId="122E337A" w14:textId="77777777" w:rsidR="009B5C8F" w:rsidRPr="009B5C8F" w:rsidRDefault="009B5C8F" w:rsidP="009B5C8F">
            <w:pPr>
              <w:jc w:val="left"/>
              <w:rPr>
                <w:sz w:val="16"/>
                <w:szCs w:val="16"/>
              </w:rPr>
            </w:pPr>
            <w:r w:rsidRPr="009B5C8F">
              <w:rPr>
                <w:sz w:val="16"/>
                <w:szCs w:val="16"/>
              </w:rPr>
              <w:t xml:space="preserve">                            No</w:t>
            </w:r>
          </w:p>
        </w:tc>
        <w:tc>
          <w:tcPr>
            <w:tcW w:w="1046" w:type="dxa"/>
            <w:tcBorders>
              <w:top w:val="nil"/>
              <w:left w:val="nil"/>
              <w:bottom w:val="nil"/>
              <w:right w:val="nil"/>
            </w:tcBorders>
            <w:noWrap/>
          </w:tcPr>
          <w:p w14:paraId="11798280" w14:textId="77777777" w:rsidR="009B5C8F" w:rsidRPr="009B5C8F" w:rsidRDefault="009B5C8F" w:rsidP="009B5C8F">
            <w:pPr>
              <w:rPr>
                <w:sz w:val="16"/>
                <w:szCs w:val="16"/>
              </w:rPr>
            </w:pPr>
            <w:r w:rsidRPr="009B5C8F">
              <w:rPr>
                <w:sz w:val="16"/>
                <w:szCs w:val="16"/>
              </w:rPr>
              <w:t>924 (93.3%)</w:t>
            </w:r>
          </w:p>
        </w:tc>
        <w:tc>
          <w:tcPr>
            <w:tcW w:w="1275" w:type="dxa"/>
            <w:tcBorders>
              <w:top w:val="nil"/>
              <w:left w:val="nil"/>
              <w:bottom w:val="nil"/>
              <w:right w:val="nil"/>
            </w:tcBorders>
            <w:noWrap/>
          </w:tcPr>
          <w:p w14:paraId="7D901E4C" w14:textId="77777777" w:rsidR="009B5C8F" w:rsidRPr="009B5C8F" w:rsidRDefault="009B5C8F" w:rsidP="009B5C8F">
            <w:pPr>
              <w:rPr>
                <w:sz w:val="16"/>
                <w:szCs w:val="16"/>
              </w:rPr>
            </w:pPr>
            <w:r w:rsidRPr="009B5C8F">
              <w:rPr>
                <w:sz w:val="16"/>
                <w:szCs w:val="16"/>
              </w:rPr>
              <w:t>289 (96.0%)</w:t>
            </w:r>
          </w:p>
        </w:tc>
        <w:tc>
          <w:tcPr>
            <w:tcW w:w="1211" w:type="dxa"/>
            <w:tcBorders>
              <w:top w:val="nil"/>
              <w:left w:val="nil"/>
              <w:bottom w:val="nil"/>
              <w:right w:val="nil"/>
            </w:tcBorders>
            <w:noWrap/>
          </w:tcPr>
          <w:p w14:paraId="1CE7337C" w14:textId="77777777" w:rsidR="009B5C8F" w:rsidRPr="009B5C8F" w:rsidRDefault="009B5C8F" w:rsidP="009B5C8F">
            <w:pPr>
              <w:rPr>
                <w:sz w:val="16"/>
                <w:szCs w:val="16"/>
              </w:rPr>
            </w:pPr>
            <w:r w:rsidRPr="009B5C8F">
              <w:rPr>
                <w:sz w:val="16"/>
                <w:szCs w:val="16"/>
              </w:rPr>
              <w:t>341 (93.2%)</w:t>
            </w:r>
          </w:p>
        </w:tc>
        <w:tc>
          <w:tcPr>
            <w:tcW w:w="1483" w:type="dxa"/>
            <w:tcBorders>
              <w:top w:val="nil"/>
              <w:left w:val="nil"/>
              <w:bottom w:val="nil"/>
              <w:right w:val="nil"/>
            </w:tcBorders>
            <w:noWrap/>
          </w:tcPr>
          <w:p w14:paraId="6CAEE8D9" w14:textId="77777777" w:rsidR="009B5C8F" w:rsidRPr="009B5C8F" w:rsidRDefault="009B5C8F" w:rsidP="009B5C8F">
            <w:pPr>
              <w:rPr>
                <w:sz w:val="16"/>
                <w:szCs w:val="16"/>
              </w:rPr>
            </w:pPr>
            <w:r w:rsidRPr="009B5C8F">
              <w:rPr>
                <w:sz w:val="16"/>
                <w:szCs w:val="16"/>
              </w:rPr>
              <w:t>914 (92.6%)</w:t>
            </w:r>
          </w:p>
        </w:tc>
        <w:tc>
          <w:tcPr>
            <w:tcW w:w="1184" w:type="dxa"/>
            <w:tcBorders>
              <w:top w:val="nil"/>
              <w:left w:val="nil"/>
              <w:bottom w:val="nil"/>
              <w:right w:val="nil"/>
            </w:tcBorders>
            <w:noWrap/>
          </w:tcPr>
          <w:p w14:paraId="0D27ADA5" w14:textId="77777777" w:rsidR="009B5C8F" w:rsidRPr="009B5C8F" w:rsidRDefault="009B5C8F" w:rsidP="009B5C8F">
            <w:pPr>
              <w:rPr>
                <w:sz w:val="16"/>
                <w:szCs w:val="16"/>
              </w:rPr>
            </w:pPr>
            <w:r w:rsidRPr="009B5C8F">
              <w:rPr>
                <w:sz w:val="16"/>
                <w:szCs w:val="16"/>
              </w:rPr>
              <w:t>1604 (92.8%)</w:t>
            </w:r>
          </w:p>
        </w:tc>
      </w:tr>
      <w:tr w:rsidR="009B5C8F" w:rsidRPr="009B5C8F" w14:paraId="482CF189" w14:textId="77777777" w:rsidTr="003B3198">
        <w:trPr>
          <w:trHeight w:val="255"/>
        </w:trPr>
        <w:tc>
          <w:tcPr>
            <w:tcW w:w="2323" w:type="dxa"/>
            <w:tcBorders>
              <w:top w:val="nil"/>
              <w:left w:val="nil"/>
              <w:bottom w:val="single" w:sz="4" w:space="0" w:color="auto"/>
              <w:right w:val="nil"/>
            </w:tcBorders>
            <w:noWrap/>
          </w:tcPr>
          <w:p w14:paraId="35EBDDC1" w14:textId="77777777" w:rsidR="009B5C8F" w:rsidRPr="009B5C8F" w:rsidRDefault="009B5C8F" w:rsidP="009B5C8F">
            <w:pPr>
              <w:jc w:val="left"/>
              <w:rPr>
                <w:sz w:val="16"/>
                <w:szCs w:val="16"/>
              </w:rPr>
            </w:pPr>
            <w:r w:rsidRPr="009B5C8F">
              <w:rPr>
                <w:sz w:val="16"/>
                <w:szCs w:val="16"/>
              </w:rPr>
              <w:t xml:space="preserve">                            Yes</w:t>
            </w:r>
          </w:p>
        </w:tc>
        <w:tc>
          <w:tcPr>
            <w:tcW w:w="1046" w:type="dxa"/>
            <w:tcBorders>
              <w:top w:val="nil"/>
              <w:left w:val="nil"/>
              <w:bottom w:val="single" w:sz="4" w:space="0" w:color="auto"/>
              <w:right w:val="nil"/>
            </w:tcBorders>
            <w:noWrap/>
          </w:tcPr>
          <w:p w14:paraId="34A6FFD1" w14:textId="77777777" w:rsidR="009B5C8F" w:rsidRPr="009B5C8F" w:rsidRDefault="009B5C8F" w:rsidP="009B5C8F">
            <w:pPr>
              <w:rPr>
                <w:sz w:val="16"/>
                <w:szCs w:val="16"/>
              </w:rPr>
            </w:pPr>
            <w:r w:rsidRPr="009B5C8F">
              <w:rPr>
                <w:sz w:val="16"/>
                <w:szCs w:val="16"/>
              </w:rPr>
              <w:t>66 (6.7%)</w:t>
            </w:r>
          </w:p>
        </w:tc>
        <w:tc>
          <w:tcPr>
            <w:tcW w:w="1275" w:type="dxa"/>
            <w:tcBorders>
              <w:top w:val="nil"/>
              <w:left w:val="nil"/>
              <w:bottom w:val="single" w:sz="4" w:space="0" w:color="auto"/>
              <w:right w:val="nil"/>
            </w:tcBorders>
            <w:noWrap/>
          </w:tcPr>
          <w:p w14:paraId="05B0D271" w14:textId="77777777" w:rsidR="009B5C8F" w:rsidRPr="009B5C8F" w:rsidRDefault="009B5C8F" w:rsidP="009B5C8F">
            <w:pPr>
              <w:rPr>
                <w:sz w:val="16"/>
                <w:szCs w:val="16"/>
              </w:rPr>
            </w:pPr>
            <w:r w:rsidRPr="009B5C8F">
              <w:rPr>
                <w:sz w:val="16"/>
                <w:szCs w:val="16"/>
              </w:rPr>
              <w:t>12 (4.0%)</w:t>
            </w:r>
          </w:p>
        </w:tc>
        <w:tc>
          <w:tcPr>
            <w:tcW w:w="1211" w:type="dxa"/>
            <w:tcBorders>
              <w:top w:val="nil"/>
              <w:left w:val="nil"/>
              <w:bottom w:val="single" w:sz="4" w:space="0" w:color="auto"/>
              <w:right w:val="nil"/>
            </w:tcBorders>
            <w:noWrap/>
          </w:tcPr>
          <w:p w14:paraId="6B85E089" w14:textId="77777777" w:rsidR="009B5C8F" w:rsidRPr="009B5C8F" w:rsidRDefault="009B5C8F" w:rsidP="009B5C8F">
            <w:pPr>
              <w:rPr>
                <w:sz w:val="16"/>
                <w:szCs w:val="16"/>
              </w:rPr>
            </w:pPr>
            <w:r w:rsidRPr="009B5C8F">
              <w:rPr>
                <w:sz w:val="16"/>
                <w:szCs w:val="16"/>
              </w:rPr>
              <w:t>25 (6.8%)</w:t>
            </w:r>
          </w:p>
        </w:tc>
        <w:tc>
          <w:tcPr>
            <w:tcW w:w="1483" w:type="dxa"/>
            <w:tcBorders>
              <w:top w:val="nil"/>
              <w:left w:val="nil"/>
              <w:bottom w:val="single" w:sz="4" w:space="0" w:color="auto"/>
              <w:right w:val="nil"/>
            </w:tcBorders>
            <w:noWrap/>
          </w:tcPr>
          <w:p w14:paraId="0A03DD69" w14:textId="77777777" w:rsidR="009B5C8F" w:rsidRPr="009B5C8F" w:rsidRDefault="009B5C8F" w:rsidP="009B5C8F">
            <w:pPr>
              <w:rPr>
                <w:sz w:val="16"/>
                <w:szCs w:val="16"/>
              </w:rPr>
            </w:pPr>
            <w:r w:rsidRPr="009B5C8F">
              <w:rPr>
                <w:sz w:val="16"/>
                <w:szCs w:val="16"/>
              </w:rPr>
              <w:t>73 (7.4%)</w:t>
            </w:r>
          </w:p>
        </w:tc>
        <w:tc>
          <w:tcPr>
            <w:tcW w:w="1184" w:type="dxa"/>
            <w:tcBorders>
              <w:top w:val="nil"/>
              <w:left w:val="nil"/>
              <w:bottom w:val="single" w:sz="4" w:space="0" w:color="auto"/>
              <w:right w:val="nil"/>
            </w:tcBorders>
            <w:noWrap/>
          </w:tcPr>
          <w:p w14:paraId="5151BF83" w14:textId="77777777" w:rsidR="009B5C8F" w:rsidRPr="009B5C8F" w:rsidRDefault="009B5C8F" w:rsidP="009B5C8F">
            <w:pPr>
              <w:rPr>
                <w:sz w:val="16"/>
                <w:szCs w:val="16"/>
              </w:rPr>
            </w:pPr>
            <w:r w:rsidRPr="009B5C8F">
              <w:rPr>
                <w:sz w:val="16"/>
                <w:szCs w:val="16"/>
              </w:rPr>
              <w:t>125 (7.2%)</w:t>
            </w:r>
          </w:p>
        </w:tc>
      </w:tr>
    </w:tbl>
    <w:p w14:paraId="7F3AF2A7" w14:textId="77777777" w:rsidR="009B5C8F" w:rsidRPr="009B5C8F" w:rsidRDefault="009B5C8F" w:rsidP="009B5C8F">
      <w:pPr>
        <w:rPr>
          <w:rFonts w:ascii="Times New Roman" w:eastAsia="等线" w:hAnsi="Times New Roman" w:cs="Times New Roman"/>
          <w:color w:val="000000"/>
          <w:kern w:val="0"/>
          <w:sz w:val="20"/>
          <w:szCs w:val="20"/>
        </w:rPr>
      </w:pPr>
      <w:r w:rsidRPr="009B5C8F">
        <w:rPr>
          <w:rFonts w:ascii="Times New Roman" w:eastAsia="等线" w:hAnsi="Times New Roman" w:cs="Times New Roman"/>
          <w:color w:val="000000"/>
          <w:kern w:val="0"/>
          <w:sz w:val="20"/>
          <w:szCs w:val="20"/>
          <w:vertAlign w:val="superscript"/>
        </w:rPr>
        <w:t>a</w:t>
      </w:r>
      <w:r w:rsidRPr="009B5C8F">
        <w:rPr>
          <w:rFonts w:ascii="Times New Roman" w:eastAsia="等线" w:hAnsi="Times New Roman" w:cs="Times New Roman"/>
          <w:color w:val="000000"/>
          <w:kern w:val="0"/>
          <w:sz w:val="20"/>
          <w:szCs w:val="20"/>
        </w:rPr>
        <w:t xml:space="preserve">Values </w:t>
      </w:r>
      <w:r w:rsidRPr="009B5C8F">
        <w:rPr>
          <w:rFonts w:ascii="Times New Roman" w:eastAsia="等线" w:hAnsi="Times New Roman" w:cs="Times New Roman" w:hint="eastAsia"/>
          <w:color w:val="000000"/>
          <w:kern w:val="0"/>
          <w:sz w:val="20"/>
          <w:szCs w:val="20"/>
        </w:rPr>
        <w:t>are</w:t>
      </w:r>
      <w:r w:rsidRPr="009B5C8F">
        <w:rPr>
          <w:rFonts w:ascii="Times New Roman" w:eastAsia="等线" w:hAnsi="Times New Roman" w:cs="Times New Roman"/>
          <w:color w:val="000000"/>
          <w:kern w:val="0"/>
          <w:sz w:val="20"/>
          <w:szCs w:val="20"/>
        </w:rPr>
        <w:t xml:space="preserve"> numbers (percentage</w:t>
      </w:r>
      <w:r w:rsidRPr="009B5C8F">
        <w:rPr>
          <w:rFonts w:ascii="Times New Roman" w:eastAsia="等线" w:hAnsi="Times New Roman" w:cs="Times New Roman" w:hint="eastAsia"/>
          <w:color w:val="000000"/>
          <w:kern w:val="0"/>
          <w:sz w:val="20"/>
          <w:szCs w:val="20"/>
        </w:rPr>
        <w:t>s</w:t>
      </w:r>
      <w:r w:rsidRPr="009B5C8F">
        <w:rPr>
          <w:rFonts w:ascii="Times New Roman" w:eastAsia="等线" w:hAnsi="Times New Roman" w:cs="Times New Roman"/>
          <w:color w:val="000000"/>
          <w:kern w:val="0"/>
          <w:sz w:val="20"/>
          <w:szCs w:val="20"/>
        </w:rPr>
        <w:t>) or mean (SD).</w:t>
      </w:r>
    </w:p>
    <w:p w14:paraId="137BE15D" w14:textId="77777777" w:rsidR="009B5C8F" w:rsidRPr="009B5C8F" w:rsidRDefault="009B5C8F" w:rsidP="009B5C8F">
      <w:pPr>
        <w:rPr>
          <w:rFonts w:ascii="Times New Roman" w:eastAsia="等线" w:hAnsi="Times New Roman" w:cs="Times New Roman"/>
          <w:color w:val="000000"/>
          <w:kern w:val="0"/>
          <w:sz w:val="20"/>
          <w:szCs w:val="20"/>
        </w:rPr>
      </w:pPr>
      <w:r w:rsidRPr="009B5C8F">
        <w:rPr>
          <w:rFonts w:ascii="Times New Roman" w:eastAsia="等线" w:hAnsi="Times New Roman" w:cs="Times New Roman"/>
          <w:color w:val="000000"/>
          <w:kern w:val="0"/>
          <w:sz w:val="20"/>
          <w:szCs w:val="20"/>
        </w:rPr>
        <w:t xml:space="preserve"> </w:t>
      </w:r>
    </w:p>
    <w:p w14:paraId="12816775" w14:textId="77777777" w:rsidR="009B5C8F" w:rsidRPr="009B5C8F" w:rsidRDefault="009B5C8F" w:rsidP="009B5C8F">
      <w:pPr>
        <w:widowControl/>
        <w:jc w:val="left"/>
        <w:rPr>
          <w:rFonts w:ascii="Times New Roman" w:eastAsia="等线" w:hAnsi="Times New Roman" w:cs="Times New Roman"/>
          <w:color w:val="000000"/>
          <w:kern w:val="0"/>
          <w:sz w:val="20"/>
          <w:szCs w:val="20"/>
        </w:rPr>
      </w:pPr>
      <w:r w:rsidRPr="009B5C8F">
        <w:rPr>
          <w:rFonts w:ascii="Times New Roman" w:eastAsia="等线" w:hAnsi="Times New Roman" w:cs="Times New Roman"/>
          <w:color w:val="000000"/>
          <w:kern w:val="0"/>
          <w:sz w:val="20"/>
          <w:szCs w:val="20"/>
        </w:rPr>
        <w:br w:type="page"/>
      </w:r>
    </w:p>
    <w:p w14:paraId="5CDF4DFB" w14:textId="4EE4552F" w:rsidR="009B5C8F" w:rsidRPr="00C56A2A" w:rsidRDefault="009B5C8F" w:rsidP="009B5C8F">
      <w:pPr>
        <w:rPr>
          <w:rFonts w:ascii="Times New Roman" w:eastAsia="等线" w:hAnsi="Times New Roman" w:cs="Times New Roman"/>
          <w:b/>
          <w:bCs/>
          <w:sz w:val="20"/>
          <w:szCs w:val="20"/>
        </w:rPr>
      </w:pPr>
      <w:r w:rsidRPr="00C56A2A">
        <w:rPr>
          <w:rFonts w:ascii="Times New Roman" w:eastAsia="等线" w:hAnsi="Times New Roman" w:cs="Times New Roman"/>
          <w:b/>
          <w:bCs/>
          <w:sz w:val="20"/>
          <w:szCs w:val="20"/>
        </w:rPr>
        <w:lastRenderedPageBreak/>
        <w:t>Table S2</w:t>
      </w:r>
      <w:r w:rsidR="00C56A2A">
        <w:rPr>
          <w:rFonts w:ascii="Times New Roman" w:eastAsia="等线" w:hAnsi="Times New Roman" w:cs="Times New Roman"/>
          <w:b/>
          <w:bCs/>
          <w:sz w:val="20"/>
          <w:szCs w:val="20"/>
        </w:rPr>
        <w:t>.</w:t>
      </w:r>
      <w:r w:rsidRPr="00C56A2A">
        <w:rPr>
          <w:rFonts w:ascii="Times New Roman" w:eastAsia="等线" w:hAnsi="Times New Roman" w:cs="Times New Roman"/>
          <w:b/>
          <w:bCs/>
          <w:sz w:val="20"/>
          <w:szCs w:val="20"/>
        </w:rPr>
        <w:t xml:space="preserve"> List of the 20 proteomic biomarkers integrated in the proteomic risk score</w:t>
      </w:r>
    </w:p>
    <w:tbl>
      <w:tblPr>
        <w:tblStyle w:val="a7"/>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220"/>
        <w:gridCol w:w="1469"/>
        <w:gridCol w:w="5607"/>
      </w:tblGrid>
      <w:tr w:rsidR="009B5C8F" w:rsidRPr="009B5C8F" w14:paraId="2745CD7D" w14:textId="77777777" w:rsidTr="003B3198">
        <w:trPr>
          <w:trHeight w:val="285"/>
        </w:trPr>
        <w:tc>
          <w:tcPr>
            <w:tcW w:w="1220" w:type="dxa"/>
            <w:tcBorders>
              <w:top w:val="single" w:sz="4" w:space="0" w:color="auto"/>
              <w:left w:val="nil"/>
              <w:bottom w:val="single" w:sz="4" w:space="0" w:color="auto"/>
              <w:right w:val="nil"/>
            </w:tcBorders>
            <w:noWrap/>
          </w:tcPr>
          <w:p w14:paraId="7DBF885F" w14:textId="77777777" w:rsidR="009B5C8F" w:rsidRPr="009B5C8F" w:rsidRDefault="009B5C8F" w:rsidP="009B5C8F">
            <w:pPr>
              <w:rPr>
                <w:b/>
                <w:bCs/>
                <w:color w:val="000000"/>
                <w:sz w:val="16"/>
                <w:szCs w:val="16"/>
              </w:rPr>
            </w:pPr>
            <w:r w:rsidRPr="009B5C8F">
              <w:rPr>
                <w:b/>
                <w:bCs/>
                <w:color w:val="000000"/>
                <w:sz w:val="16"/>
                <w:szCs w:val="16"/>
              </w:rPr>
              <w:t>Uniprot ID</w:t>
            </w:r>
          </w:p>
        </w:tc>
        <w:tc>
          <w:tcPr>
            <w:tcW w:w="1469" w:type="dxa"/>
            <w:tcBorders>
              <w:top w:val="single" w:sz="4" w:space="0" w:color="auto"/>
              <w:left w:val="nil"/>
              <w:bottom w:val="single" w:sz="4" w:space="0" w:color="auto"/>
              <w:right w:val="nil"/>
            </w:tcBorders>
            <w:noWrap/>
          </w:tcPr>
          <w:p w14:paraId="37DF9DD2" w14:textId="77777777" w:rsidR="009B5C8F" w:rsidRPr="009B5C8F" w:rsidRDefault="009B5C8F" w:rsidP="009B5C8F">
            <w:pPr>
              <w:rPr>
                <w:b/>
                <w:bCs/>
                <w:color w:val="000000"/>
                <w:sz w:val="16"/>
                <w:szCs w:val="16"/>
              </w:rPr>
            </w:pPr>
            <w:r w:rsidRPr="009B5C8F">
              <w:rPr>
                <w:b/>
                <w:bCs/>
                <w:color w:val="000000"/>
                <w:sz w:val="16"/>
                <w:szCs w:val="16"/>
              </w:rPr>
              <w:t>Name</w:t>
            </w:r>
          </w:p>
        </w:tc>
        <w:tc>
          <w:tcPr>
            <w:tcW w:w="5607" w:type="dxa"/>
            <w:tcBorders>
              <w:top w:val="single" w:sz="4" w:space="0" w:color="auto"/>
              <w:left w:val="nil"/>
              <w:bottom w:val="single" w:sz="4" w:space="0" w:color="auto"/>
              <w:right w:val="nil"/>
            </w:tcBorders>
            <w:noWrap/>
          </w:tcPr>
          <w:p w14:paraId="18B65E21" w14:textId="77777777" w:rsidR="009B5C8F" w:rsidRPr="009B5C8F" w:rsidRDefault="009B5C8F" w:rsidP="009B5C8F">
            <w:pPr>
              <w:rPr>
                <w:b/>
                <w:bCs/>
                <w:color w:val="000000"/>
                <w:sz w:val="16"/>
                <w:szCs w:val="16"/>
              </w:rPr>
            </w:pPr>
            <w:r w:rsidRPr="009B5C8F">
              <w:rPr>
                <w:b/>
                <w:bCs/>
                <w:color w:val="000000"/>
                <w:sz w:val="16"/>
                <w:szCs w:val="16"/>
              </w:rPr>
              <w:t>annotation</w:t>
            </w:r>
          </w:p>
        </w:tc>
      </w:tr>
      <w:tr w:rsidR="009B5C8F" w:rsidRPr="009B5C8F" w14:paraId="4A8302E3" w14:textId="77777777" w:rsidTr="003B3198">
        <w:trPr>
          <w:trHeight w:val="285"/>
        </w:trPr>
        <w:tc>
          <w:tcPr>
            <w:tcW w:w="1220" w:type="dxa"/>
            <w:tcBorders>
              <w:top w:val="single" w:sz="4" w:space="0" w:color="auto"/>
              <w:left w:val="nil"/>
              <w:bottom w:val="nil"/>
              <w:right w:val="nil"/>
            </w:tcBorders>
            <w:noWrap/>
          </w:tcPr>
          <w:p w14:paraId="3BE90269" w14:textId="77777777" w:rsidR="009B5C8F" w:rsidRPr="009B5C8F" w:rsidRDefault="009B5C8F" w:rsidP="009B5C8F">
            <w:pPr>
              <w:rPr>
                <w:color w:val="000000"/>
                <w:sz w:val="16"/>
                <w:szCs w:val="16"/>
              </w:rPr>
            </w:pPr>
            <w:r w:rsidRPr="009B5C8F">
              <w:rPr>
                <w:color w:val="000000"/>
                <w:sz w:val="16"/>
                <w:szCs w:val="16"/>
              </w:rPr>
              <w:t>Q9UK55</w:t>
            </w:r>
          </w:p>
        </w:tc>
        <w:tc>
          <w:tcPr>
            <w:tcW w:w="1469" w:type="dxa"/>
            <w:tcBorders>
              <w:top w:val="single" w:sz="4" w:space="0" w:color="auto"/>
              <w:left w:val="nil"/>
              <w:bottom w:val="nil"/>
              <w:right w:val="nil"/>
            </w:tcBorders>
            <w:noWrap/>
          </w:tcPr>
          <w:p w14:paraId="750E535A" w14:textId="77777777" w:rsidR="009B5C8F" w:rsidRPr="009B5C8F" w:rsidRDefault="009B5C8F" w:rsidP="009B5C8F">
            <w:pPr>
              <w:rPr>
                <w:color w:val="000000"/>
                <w:sz w:val="16"/>
                <w:szCs w:val="16"/>
              </w:rPr>
            </w:pPr>
            <w:r w:rsidRPr="009B5C8F">
              <w:rPr>
                <w:color w:val="000000"/>
                <w:sz w:val="16"/>
                <w:szCs w:val="16"/>
              </w:rPr>
              <w:t>SERPINA10</w:t>
            </w:r>
          </w:p>
        </w:tc>
        <w:tc>
          <w:tcPr>
            <w:tcW w:w="5607" w:type="dxa"/>
            <w:tcBorders>
              <w:top w:val="single" w:sz="4" w:space="0" w:color="auto"/>
              <w:left w:val="nil"/>
              <w:bottom w:val="nil"/>
              <w:right w:val="nil"/>
            </w:tcBorders>
            <w:noWrap/>
          </w:tcPr>
          <w:p w14:paraId="41A0A266" w14:textId="77777777" w:rsidR="009B5C8F" w:rsidRPr="009B5C8F" w:rsidRDefault="009B5C8F" w:rsidP="009B5C8F">
            <w:pPr>
              <w:rPr>
                <w:color w:val="000000"/>
                <w:sz w:val="16"/>
                <w:szCs w:val="16"/>
              </w:rPr>
            </w:pPr>
            <w:r w:rsidRPr="009B5C8F">
              <w:rPr>
                <w:color w:val="000000"/>
                <w:sz w:val="16"/>
                <w:szCs w:val="16"/>
              </w:rPr>
              <w:t>Protein Z-dependent protease inhibitor; Inhibits activity of the coagulation protease factor Xa in the presence of PROZ, calcium and phospholipids. Also inhibits factor XIa in the absence of cofactors; Belongs to the serpin family</w:t>
            </w:r>
          </w:p>
        </w:tc>
      </w:tr>
      <w:tr w:rsidR="009B5C8F" w:rsidRPr="009B5C8F" w14:paraId="4268362D" w14:textId="77777777" w:rsidTr="003B3198">
        <w:trPr>
          <w:trHeight w:val="285"/>
        </w:trPr>
        <w:tc>
          <w:tcPr>
            <w:tcW w:w="1220" w:type="dxa"/>
            <w:tcBorders>
              <w:top w:val="nil"/>
              <w:left w:val="nil"/>
              <w:bottom w:val="nil"/>
              <w:right w:val="nil"/>
            </w:tcBorders>
            <w:noWrap/>
          </w:tcPr>
          <w:p w14:paraId="1F12A485" w14:textId="77777777" w:rsidR="009B5C8F" w:rsidRPr="009B5C8F" w:rsidRDefault="009B5C8F" w:rsidP="009B5C8F">
            <w:pPr>
              <w:rPr>
                <w:color w:val="000000"/>
                <w:sz w:val="16"/>
                <w:szCs w:val="16"/>
              </w:rPr>
            </w:pPr>
            <w:r w:rsidRPr="009B5C8F">
              <w:rPr>
                <w:color w:val="000000"/>
                <w:sz w:val="16"/>
                <w:szCs w:val="16"/>
              </w:rPr>
              <w:t>Q96PD5</w:t>
            </w:r>
          </w:p>
        </w:tc>
        <w:tc>
          <w:tcPr>
            <w:tcW w:w="1469" w:type="dxa"/>
            <w:tcBorders>
              <w:top w:val="nil"/>
              <w:left w:val="nil"/>
              <w:bottom w:val="nil"/>
              <w:right w:val="nil"/>
            </w:tcBorders>
            <w:noWrap/>
          </w:tcPr>
          <w:p w14:paraId="293E44EE" w14:textId="77777777" w:rsidR="009B5C8F" w:rsidRPr="009B5C8F" w:rsidRDefault="009B5C8F" w:rsidP="009B5C8F">
            <w:pPr>
              <w:rPr>
                <w:color w:val="000000"/>
                <w:sz w:val="16"/>
                <w:szCs w:val="16"/>
              </w:rPr>
            </w:pPr>
            <w:r w:rsidRPr="009B5C8F">
              <w:rPr>
                <w:color w:val="000000"/>
                <w:sz w:val="16"/>
                <w:szCs w:val="16"/>
              </w:rPr>
              <w:t>PGLYRP2</w:t>
            </w:r>
          </w:p>
        </w:tc>
        <w:tc>
          <w:tcPr>
            <w:tcW w:w="5607" w:type="dxa"/>
            <w:tcBorders>
              <w:top w:val="nil"/>
              <w:left w:val="nil"/>
              <w:bottom w:val="nil"/>
              <w:right w:val="nil"/>
            </w:tcBorders>
            <w:noWrap/>
          </w:tcPr>
          <w:p w14:paraId="54E7244B" w14:textId="77777777" w:rsidR="009B5C8F" w:rsidRPr="009B5C8F" w:rsidRDefault="009B5C8F" w:rsidP="009B5C8F">
            <w:pPr>
              <w:rPr>
                <w:color w:val="000000"/>
                <w:sz w:val="16"/>
                <w:szCs w:val="16"/>
              </w:rPr>
            </w:pPr>
            <w:r w:rsidRPr="009B5C8F">
              <w:rPr>
                <w:color w:val="000000"/>
                <w:sz w:val="16"/>
                <w:szCs w:val="16"/>
              </w:rPr>
              <w:t>N-acetylmuramoyl-L-alanine amidase; May play a scavenger role by digesting biologically active peptidoglycan (PGN) into biologically inactive fragments. Has no direct bacteriolytic activity; Belongs to the N-acetylmuramoyl-L-alanine amidase 2 family</w:t>
            </w:r>
          </w:p>
        </w:tc>
      </w:tr>
      <w:tr w:rsidR="009B5C8F" w:rsidRPr="009B5C8F" w14:paraId="1371D846" w14:textId="77777777" w:rsidTr="003B3198">
        <w:trPr>
          <w:trHeight w:val="285"/>
        </w:trPr>
        <w:tc>
          <w:tcPr>
            <w:tcW w:w="1220" w:type="dxa"/>
            <w:tcBorders>
              <w:top w:val="nil"/>
              <w:left w:val="nil"/>
              <w:bottom w:val="nil"/>
              <w:right w:val="nil"/>
            </w:tcBorders>
            <w:noWrap/>
          </w:tcPr>
          <w:p w14:paraId="32F32986" w14:textId="77777777" w:rsidR="009B5C8F" w:rsidRPr="009B5C8F" w:rsidRDefault="009B5C8F" w:rsidP="009B5C8F">
            <w:pPr>
              <w:rPr>
                <w:color w:val="000000"/>
                <w:sz w:val="16"/>
                <w:szCs w:val="16"/>
              </w:rPr>
            </w:pPr>
            <w:r w:rsidRPr="009B5C8F">
              <w:rPr>
                <w:color w:val="000000"/>
                <w:sz w:val="16"/>
                <w:szCs w:val="16"/>
              </w:rPr>
              <w:t>Q14520</w:t>
            </w:r>
          </w:p>
        </w:tc>
        <w:tc>
          <w:tcPr>
            <w:tcW w:w="1469" w:type="dxa"/>
            <w:tcBorders>
              <w:top w:val="nil"/>
              <w:left w:val="nil"/>
              <w:bottom w:val="nil"/>
              <w:right w:val="nil"/>
            </w:tcBorders>
            <w:noWrap/>
          </w:tcPr>
          <w:p w14:paraId="358CD6F7" w14:textId="77777777" w:rsidR="009B5C8F" w:rsidRPr="009B5C8F" w:rsidRDefault="009B5C8F" w:rsidP="009B5C8F">
            <w:pPr>
              <w:rPr>
                <w:color w:val="000000"/>
                <w:sz w:val="16"/>
                <w:szCs w:val="16"/>
              </w:rPr>
            </w:pPr>
            <w:r w:rsidRPr="009B5C8F">
              <w:rPr>
                <w:color w:val="000000"/>
                <w:sz w:val="16"/>
                <w:szCs w:val="16"/>
              </w:rPr>
              <w:t>HABP2</w:t>
            </w:r>
          </w:p>
        </w:tc>
        <w:tc>
          <w:tcPr>
            <w:tcW w:w="5607" w:type="dxa"/>
            <w:tcBorders>
              <w:top w:val="nil"/>
              <w:left w:val="nil"/>
              <w:bottom w:val="nil"/>
              <w:right w:val="nil"/>
            </w:tcBorders>
            <w:noWrap/>
          </w:tcPr>
          <w:p w14:paraId="771FA109" w14:textId="77777777" w:rsidR="009B5C8F" w:rsidRPr="009B5C8F" w:rsidRDefault="009B5C8F" w:rsidP="009B5C8F">
            <w:pPr>
              <w:rPr>
                <w:color w:val="000000"/>
                <w:sz w:val="16"/>
                <w:szCs w:val="16"/>
              </w:rPr>
            </w:pPr>
            <w:r w:rsidRPr="009B5C8F">
              <w:rPr>
                <w:color w:val="000000"/>
                <w:sz w:val="16"/>
                <w:szCs w:val="16"/>
              </w:rPr>
              <w:t>Hyaluronan-binding protein 2; Cleaves the alpha-chain at multiple sites and the beta- chain between 'Lys-53' and 'Lys-54' but not the gamma-chain of fibrinogen and therefore does not initiate the formation of the fibrin clot and does not cause the fibrinolysis directly. It does not cleave (activate) prothrombin and plasminogen but converts the inactive single chain urinary plasminogen activator (pro- urokinase) to the active two chain form. Activates coagulation factor VII. May function as a tumor suppressor negatively regulating cell proliferation and cell migration</w:t>
            </w:r>
          </w:p>
        </w:tc>
      </w:tr>
      <w:tr w:rsidR="009B5C8F" w:rsidRPr="009B5C8F" w14:paraId="538F978A" w14:textId="77777777" w:rsidTr="003B3198">
        <w:trPr>
          <w:trHeight w:val="285"/>
        </w:trPr>
        <w:tc>
          <w:tcPr>
            <w:tcW w:w="1220" w:type="dxa"/>
            <w:tcBorders>
              <w:top w:val="nil"/>
              <w:left w:val="nil"/>
              <w:bottom w:val="nil"/>
              <w:right w:val="nil"/>
            </w:tcBorders>
            <w:noWrap/>
          </w:tcPr>
          <w:p w14:paraId="1182AE9A" w14:textId="77777777" w:rsidR="009B5C8F" w:rsidRPr="009B5C8F" w:rsidRDefault="009B5C8F" w:rsidP="009B5C8F">
            <w:pPr>
              <w:rPr>
                <w:color w:val="000000"/>
                <w:sz w:val="16"/>
                <w:szCs w:val="16"/>
              </w:rPr>
            </w:pPr>
            <w:r w:rsidRPr="009B5C8F">
              <w:rPr>
                <w:color w:val="000000"/>
                <w:sz w:val="16"/>
                <w:szCs w:val="16"/>
              </w:rPr>
              <w:t>Q06033</w:t>
            </w:r>
          </w:p>
        </w:tc>
        <w:tc>
          <w:tcPr>
            <w:tcW w:w="1469" w:type="dxa"/>
            <w:tcBorders>
              <w:top w:val="nil"/>
              <w:left w:val="nil"/>
              <w:bottom w:val="nil"/>
              <w:right w:val="nil"/>
            </w:tcBorders>
            <w:noWrap/>
          </w:tcPr>
          <w:p w14:paraId="5D71141F" w14:textId="77777777" w:rsidR="009B5C8F" w:rsidRPr="009B5C8F" w:rsidRDefault="009B5C8F" w:rsidP="009B5C8F">
            <w:pPr>
              <w:rPr>
                <w:color w:val="000000"/>
                <w:sz w:val="16"/>
                <w:szCs w:val="16"/>
              </w:rPr>
            </w:pPr>
            <w:r w:rsidRPr="009B5C8F">
              <w:rPr>
                <w:color w:val="000000"/>
                <w:sz w:val="16"/>
                <w:szCs w:val="16"/>
              </w:rPr>
              <w:t>ITIH3</w:t>
            </w:r>
          </w:p>
        </w:tc>
        <w:tc>
          <w:tcPr>
            <w:tcW w:w="5607" w:type="dxa"/>
            <w:tcBorders>
              <w:top w:val="nil"/>
              <w:left w:val="nil"/>
              <w:bottom w:val="nil"/>
              <w:right w:val="nil"/>
            </w:tcBorders>
            <w:noWrap/>
          </w:tcPr>
          <w:p w14:paraId="561DE2B8" w14:textId="77777777" w:rsidR="009B5C8F" w:rsidRPr="009B5C8F" w:rsidRDefault="009B5C8F" w:rsidP="009B5C8F">
            <w:pPr>
              <w:rPr>
                <w:color w:val="000000"/>
                <w:sz w:val="16"/>
                <w:szCs w:val="16"/>
              </w:rPr>
            </w:pPr>
            <w:r w:rsidRPr="009B5C8F">
              <w:rPr>
                <w:color w:val="000000"/>
                <w:sz w:val="16"/>
                <w:szCs w:val="16"/>
              </w:rPr>
              <w:t>Inter-alpha-trypsin inhibitor heavy chain H3; May act as a carrier of hyaluronan in serum or as a binding protein between hyaluronan and other matrix protein, including those on cell surfaces in tissues to regulate the localization, synthesis and degradation of hyaluronan which are essential to cells undergoing biological processes</w:t>
            </w:r>
          </w:p>
        </w:tc>
      </w:tr>
      <w:tr w:rsidR="009B5C8F" w:rsidRPr="009B5C8F" w14:paraId="006EF699" w14:textId="77777777" w:rsidTr="003B3198">
        <w:trPr>
          <w:trHeight w:val="285"/>
        </w:trPr>
        <w:tc>
          <w:tcPr>
            <w:tcW w:w="1220" w:type="dxa"/>
            <w:tcBorders>
              <w:top w:val="nil"/>
              <w:left w:val="nil"/>
              <w:bottom w:val="nil"/>
              <w:right w:val="nil"/>
            </w:tcBorders>
            <w:noWrap/>
          </w:tcPr>
          <w:p w14:paraId="46B57C26" w14:textId="77777777" w:rsidR="009B5C8F" w:rsidRPr="009B5C8F" w:rsidRDefault="009B5C8F" w:rsidP="009B5C8F">
            <w:pPr>
              <w:rPr>
                <w:color w:val="000000"/>
                <w:sz w:val="16"/>
                <w:szCs w:val="16"/>
              </w:rPr>
            </w:pPr>
            <w:r w:rsidRPr="009B5C8F">
              <w:rPr>
                <w:color w:val="000000"/>
                <w:sz w:val="16"/>
                <w:szCs w:val="16"/>
              </w:rPr>
              <w:t>P51884</w:t>
            </w:r>
          </w:p>
        </w:tc>
        <w:tc>
          <w:tcPr>
            <w:tcW w:w="1469" w:type="dxa"/>
            <w:tcBorders>
              <w:top w:val="nil"/>
              <w:left w:val="nil"/>
              <w:bottom w:val="nil"/>
              <w:right w:val="nil"/>
            </w:tcBorders>
            <w:noWrap/>
          </w:tcPr>
          <w:p w14:paraId="3B6890AD" w14:textId="77777777" w:rsidR="009B5C8F" w:rsidRPr="009B5C8F" w:rsidRDefault="009B5C8F" w:rsidP="009B5C8F">
            <w:pPr>
              <w:rPr>
                <w:color w:val="000000"/>
                <w:sz w:val="16"/>
                <w:szCs w:val="16"/>
              </w:rPr>
            </w:pPr>
            <w:r w:rsidRPr="009B5C8F">
              <w:rPr>
                <w:color w:val="000000"/>
                <w:sz w:val="16"/>
                <w:szCs w:val="16"/>
              </w:rPr>
              <w:t>LUM</w:t>
            </w:r>
          </w:p>
        </w:tc>
        <w:tc>
          <w:tcPr>
            <w:tcW w:w="5607" w:type="dxa"/>
            <w:tcBorders>
              <w:top w:val="nil"/>
              <w:left w:val="nil"/>
              <w:bottom w:val="nil"/>
              <w:right w:val="nil"/>
            </w:tcBorders>
            <w:noWrap/>
          </w:tcPr>
          <w:p w14:paraId="358312A4" w14:textId="77777777" w:rsidR="009B5C8F" w:rsidRPr="009B5C8F" w:rsidRDefault="009B5C8F" w:rsidP="009B5C8F">
            <w:pPr>
              <w:rPr>
                <w:color w:val="000000"/>
                <w:sz w:val="16"/>
                <w:szCs w:val="16"/>
              </w:rPr>
            </w:pPr>
            <w:r w:rsidRPr="009B5C8F">
              <w:rPr>
                <w:color w:val="000000"/>
                <w:sz w:val="16"/>
                <w:szCs w:val="16"/>
              </w:rPr>
              <w:t>Lumican; Small leucine rich repeat proteoglycans; Belongs to the small leucine-rich proteoglycan (SLRP) family. SLRP class II subfamily</w:t>
            </w:r>
          </w:p>
        </w:tc>
      </w:tr>
      <w:tr w:rsidR="009B5C8F" w:rsidRPr="009B5C8F" w14:paraId="0426E536" w14:textId="77777777" w:rsidTr="003B3198">
        <w:trPr>
          <w:trHeight w:val="285"/>
        </w:trPr>
        <w:tc>
          <w:tcPr>
            <w:tcW w:w="1220" w:type="dxa"/>
            <w:tcBorders>
              <w:top w:val="nil"/>
              <w:left w:val="nil"/>
              <w:bottom w:val="nil"/>
              <w:right w:val="nil"/>
            </w:tcBorders>
            <w:noWrap/>
          </w:tcPr>
          <w:p w14:paraId="3BF6F6F7" w14:textId="77777777" w:rsidR="009B5C8F" w:rsidRPr="009B5C8F" w:rsidRDefault="009B5C8F" w:rsidP="009B5C8F">
            <w:pPr>
              <w:rPr>
                <w:color w:val="000000"/>
                <w:sz w:val="16"/>
                <w:szCs w:val="16"/>
              </w:rPr>
            </w:pPr>
            <w:r w:rsidRPr="009B5C8F">
              <w:rPr>
                <w:color w:val="000000"/>
                <w:sz w:val="16"/>
                <w:szCs w:val="16"/>
              </w:rPr>
              <w:t>P18428</w:t>
            </w:r>
          </w:p>
        </w:tc>
        <w:tc>
          <w:tcPr>
            <w:tcW w:w="1469" w:type="dxa"/>
            <w:tcBorders>
              <w:top w:val="nil"/>
              <w:left w:val="nil"/>
              <w:bottom w:val="nil"/>
              <w:right w:val="nil"/>
            </w:tcBorders>
            <w:noWrap/>
          </w:tcPr>
          <w:p w14:paraId="0C6D4218" w14:textId="77777777" w:rsidR="009B5C8F" w:rsidRPr="009B5C8F" w:rsidRDefault="009B5C8F" w:rsidP="009B5C8F">
            <w:pPr>
              <w:rPr>
                <w:color w:val="000000"/>
                <w:sz w:val="16"/>
                <w:szCs w:val="16"/>
              </w:rPr>
            </w:pPr>
            <w:r w:rsidRPr="009B5C8F">
              <w:rPr>
                <w:color w:val="000000"/>
                <w:sz w:val="16"/>
                <w:szCs w:val="16"/>
              </w:rPr>
              <w:t>LBP</w:t>
            </w:r>
          </w:p>
        </w:tc>
        <w:tc>
          <w:tcPr>
            <w:tcW w:w="5607" w:type="dxa"/>
            <w:tcBorders>
              <w:top w:val="nil"/>
              <w:left w:val="nil"/>
              <w:bottom w:val="nil"/>
              <w:right w:val="nil"/>
            </w:tcBorders>
            <w:noWrap/>
          </w:tcPr>
          <w:p w14:paraId="568D41EC" w14:textId="77777777" w:rsidR="009B5C8F" w:rsidRPr="009B5C8F" w:rsidRDefault="009B5C8F" w:rsidP="009B5C8F">
            <w:pPr>
              <w:rPr>
                <w:color w:val="000000"/>
                <w:sz w:val="16"/>
                <w:szCs w:val="16"/>
              </w:rPr>
            </w:pPr>
            <w:r w:rsidRPr="009B5C8F">
              <w:rPr>
                <w:color w:val="000000"/>
                <w:sz w:val="16"/>
                <w:szCs w:val="16"/>
              </w:rPr>
              <w:t>Lipopolysaccharide-binding protein; Plays a role in the innate immune response. Binds to the lipid A moiety of bacterial lipopolysaccharides (LPS), a glycolipid present in the outer membrane of all Gram-negative bacteria. Acts as an affinity enhancer for CD14, facilitating its association with LPS. Promotes the release of cytokines in response to bacterial lipopolysaccharide; BPI fold containing</w:t>
            </w:r>
          </w:p>
        </w:tc>
      </w:tr>
      <w:tr w:rsidR="009B5C8F" w:rsidRPr="009B5C8F" w14:paraId="06E9C3A1" w14:textId="77777777" w:rsidTr="003B3198">
        <w:trPr>
          <w:trHeight w:val="285"/>
        </w:trPr>
        <w:tc>
          <w:tcPr>
            <w:tcW w:w="1220" w:type="dxa"/>
            <w:tcBorders>
              <w:top w:val="nil"/>
              <w:left w:val="nil"/>
              <w:bottom w:val="nil"/>
              <w:right w:val="nil"/>
            </w:tcBorders>
            <w:noWrap/>
          </w:tcPr>
          <w:p w14:paraId="6334005D" w14:textId="77777777" w:rsidR="009B5C8F" w:rsidRPr="009B5C8F" w:rsidRDefault="009B5C8F" w:rsidP="009B5C8F">
            <w:pPr>
              <w:rPr>
                <w:color w:val="000000"/>
                <w:sz w:val="16"/>
                <w:szCs w:val="16"/>
              </w:rPr>
            </w:pPr>
            <w:r w:rsidRPr="009B5C8F">
              <w:rPr>
                <w:color w:val="000000"/>
                <w:sz w:val="16"/>
                <w:szCs w:val="16"/>
              </w:rPr>
              <w:t>P15169</w:t>
            </w:r>
          </w:p>
        </w:tc>
        <w:tc>
          <w:tcPr>
            <w:tcW w:w="1469" w:type="dxa"/>
            <w:tcBorders>
              <w:top w:val="nil"/>
              <w:left w:val="nil"/>
              <w:bottom w:val="nil"/>
              <w:right w:val="nil"/>
            </w:tcBorders>
            <w:noWrap/>
          </w:tcPr>
          <w:p w14:paraId="5CFECF04" w14:textId="77777777" w:rsidR="009B5C8F" w:rsidRPr="009B5C8F" w:rsidRDefault="009B5C8F" w:rsidP="009B5C8F">
            <w:pPr>
              <w:rPr>
                <w:color w:val="000000"/>
                <w:sz w:val="16"/>
                <w:szCs w:val="16"/>
              </w:rPr>
            </w:pPr>
            <w:r w:rsidRPr="009B5C8F">
              <w:rPr>
                <w:color w:val="000000"/>
                <w:sz w:val="16"/>
                <w:szCs w:val="16"/>
              </w:rPr>
              <w:t>CPN1</w:t>
            </w:r>
          </w:p>
        </w:tc>
        <w:tc>
          <w:tcPr>
            <w:tcW w:w="5607" w:type="dxa"/>
            <w:tcBorders>
              <w:top w:val="nil"/>
              <w:left w:val="nil"/>
              <w:bottom w:val="nil"/>
              <w:right w:val="nil"/>
            </w:tcBorders>
            <w:noWrap/>
          </w:tcPr>
          <w:p w14:paraId="3658C77C" w14:textId="77777777" w:rsidR="009B5C8F" w:rsidRPr="009B5C8F" w:rsidRDefault="009B5C8F" w:rsidP="009B5C8F">
            <w:pPr>
              <w:rPr>
                <w:color w:val="000000"/>
                <w:sz w:val="16"/>
                <w:szCs w:val="16"/>
              </w:rPr>
            </w:pPr>
            <w:r w:rsidRPr="009B5C8F">
              <w:rPr>
                <w:color w:val="000000"/>
                <w:sz w:val="16"/>
                <w:szCs w:val="16"/>
              </w:rPr>
              <w:t>Carboxypeptidase N catalytic chain; Protects the body from potent vasoactive and inflammatory peptides containing C-terminal Arg or Lys (such as kinins or anaphylatoxins) which are released into the circulation; M14 carboxypeptidases</w:t>
            </w:r>
          </w:p>
        </w:tc>
      </w:tr>
      <w:tr w:rsidR="009B5C8F" w:rsidRPr="009B5C8F" w14:paraId="227CC425" w14:textId="77777777" w:rsidTr="003B3198">
        <w:trPr>
          <w:trHeight w:val="285"/>
        </w:trPr>
        <w:tc>
          <w:tcPr>
            <w:tcW w:w="1220" w:type="dxa"/>
            <w:tcBorders>
              <w:top w:val="nil"/>
              <w:left w:val="nil"/>
              <w:bottom w:val="nil"/>
              <w:right w:val="nil"/>
            </w:tcBorders>
            <w:noWrap/>
          </w:tcPr>
          <w:p w14:paraId="5102BA53" w14:textId="77777777" w:rsidR="009B5C8F" w:rsidRPr="009B5C8F" w:rsidRDefault="009B5C8F" w:rsidP="009B5C8F">
            <w:pPr>
              <w:rPr>
                <w:color w:val="000000"/>
                <w:sz w:val="16"/>
                <w:szCs w:val="16"/>
              </w:rPr>
            </w:pPr>
            <w:r w:rsidRPr="009B5C8F">
              <w:rPr>
                <w:color w:val="000000"/>
                <w:sz w:val="16"/>
                <w:szCs w:val="16"/>
              </w:rPr>
              <w:t>P13796</w:t>
            </w:r>
          </w:p>
        </w:tc>
        <w:tc>
          <w:tcPr>
            <w:tcW w:w="1469" w:type="dxa"/>
            <w:tcBorders>
              <w:top w:val="nil"/>
              <w:left w:val="nil"/>
              <w:bottom w:val="nil"/>
              <w:right w:val="nil"/>
            </w:tcBorders>
            <w:noWrap/>
          </w:tcPr>
          <w:p w14:paraId="70B2DCE3" w14:textId="77777777" w:rsidR="009B5C8F" w:rsidRPr="009B5C8F" w:rsidRDefault="009B5C8F" w:rsidP="009B5C8F">
            <w:pPr>
              <w:rPr>
                <w:color w:val="000000"/>
                <w:sz w:val="16"/>
                <w:szCs w:val="16"/>
              </w:rPr>
            </w:pPr>
            <w:r w:rsidRPr="009B5C8F">
              <w:rPr>
                <w:color w:val="000000"/>
                <w:sz w:val="16"/>
                <w:szCs w:val="16"/>
              </w:rPr>
              <w:t>LCP1</w:t>
            </w:r>
          </w:p>
        </w:tc>
        <w:tc>
          <w:tcPr>
            <w:tcW w:w="5607" w:type="dxa"/>
            <w:tcBorders>
              <w:top w:val="nil"/>
              <w:left w:val="nil"/>
              <w:bottom w:val="nil"/>
              <w:right w:val="nil"/>
            </w:tcBorders>
            <w:noWrap/>
          </w:tcPr>
          <w:p w14:paraId="18D0EF65" w14:textId="77777777" w:rsidR="009B5C8F" w:rsidRPr="009B5C8F" w:rsidRDefault="009B5C8F" w:rsidP="009B5C8F">
            <w:pPr>
              <w:rPr>
                <w:color w:val="000000"/>
                <w:sz w:val="16"/>
                <w:szCs w:val="16"/>
              </w:rPr>
            </w:pPr>
            <w:r w:rsidRPr="009B5C8F">
              <w:rPr>
                <w:color w:val="000000"/>
                <w:sz w:val="16"/>
                <w:szCs w:val="16"/>
              </w:rPr>
              <w:t>Plastin-2; Actin-binding protein. Plays a role in the activation of T-cells in response to costimulation through TCR/CD3 and CD2 or CD28. Modulates the cell surface expression of IL2RA/CD25 and CD69; EF-hand domain containing</w:t>
            </w:r>
          </w:p>
        </w:tc>
      </w:tr>
      <w:tr w:rsidR="009B5C8F" w:rsidRPr="009B5C8F" w14:paraId="053994A5" w14:textId="77777777" w:rsidTr="003B3198">
        <w:trPr>
          <w:trHeight w:val="285"/>
        </w:trPr>
        <w:tc>
          <w:tcPr>
            <w:tcW w:w="1220" w:type="dxa"/>
            <w:tcBorders>
              <w:top w:val="nil"/>
              <w:left w:val="nil"/>
              <w:bottom w:val="nil"/>
              <w:right w:val="nil"/>
            </w:tcBorders>
            <w:noWrap/>
          </w:tcPr>
          <w:p w14:paraId="277D79BD" w14:textId="77777777" w:rsidR="009B5C8F" w:rsidRPr="009B5C8F" w:rsidRDefault="009B5C8F" w:rsidP="009B5C8F">
            <w:pPr>
              <w:rPr>
                <w:color w:val="000000"/>
                <w:sz w:val="16"/>
                <w:szCs w:val="16"/>
              </w:rPr>
            </w:pPr>
            <w:r w:rsidRPr="009B5C8F">
              <w:rPr>
                <w:color w:val="000000"/>
                <w:sz w:val="16"/>
                <w:szCs w:val="16"/>
              </w:rPr>
              <w:t>P13671</w:t>
            </w:r>
          </w:p>
        </w:tc>
        <w:tc>
          <w:tcPr>
            <w:tcW w:w="1469" w:type="dxa"/>
            <w:tcBorders>
              <w:top w:val="nil"/>
              <w:left w:val="nil"/>
              <w:bottom w:val="nil"/>
              <w:right w:val="nil"/>
            </w:tcBorders>
            <w:noWrap/>
          </w:tcPr>
          <w:p w14:paraId="13B40747" w14:textId="77777777" w:rsidR="009B5C8F" w:rsidRPr="009B5C8F" w:rsidRDefault="009B5C8F" w:rsidP="009B5C8F">
            <w:pPr>
              <w:rPr>
                <w:color w:val="000000"/>
                <w:sz w:val="16"/>
                <w:szCs w:val="16"/>
              </w:rPr>
            </w:pPr>
            <w:r w:rsidRPr="009B5C8F">
              <w:rPr>
                <w:color w:val="000000"/>
                <w:sz w:val="16"/>
                <w:szCs w:val="16"/>
              </w:rPr>
              <w:t>C6</w:t>
            </w:r>
          </w:p>
        </w:tc>
        <w:tc>
          <w:tcPr>
            <w:tcW w:w="5607" w:type="dxa"/>
            <w:tcBorders>
              <w:top w:val="nil"/>
              <w:left w:val="nil"/>
              <w:bottom w:val="nil"/>
              <w:right w:val="nil"/>
            </w:tcBorders>
            <w:noWrap/>
          </w:tcPr>
          <w:p w14:paraId="7C87EA6F" w14:textId="77777777" w:rsidR="009B5C8F" w:rsidRPr="009B5C8F" w:rsidRDefault="009B5C8F" w:rsidP="009B5C8F">
            <w:pPr>
              <w:rPr>
                <w:color w:val="000000"/>
                <w:sz w:val="16"/>
                <w:szCs w:val="16"/>
              </w:rPr>
            </w:pPr>
            <w:r w:rsidRPr="009B5C8F">
              <w:rPr>
                <w:color w:val="000000"/>
                <w:sz w:val="16"/>
                <w:szCs w:val="16"/>
              </w:rPr>
              <w:t>Complement component C6; Constituent of the membrane attack complex (MAC) that plays a key role in the innate and adaptive immune response by forming pores in the plasma membrane of target cells; Complement system</w:t>
            </w:r>
          </w:p>
        </w:tc>
      </w:tr>
      <w:tr w:rsidR="009B5C8F" w:rsidRPr="009B5C8F" w14:paraId="180FE7E4" w14:textId="77777777" w:rsidTr="003B3198">
        <w:trPr>
          <w:trHeight w:val="285"/>
        </w:trPr>
        <w:tc>
          <w:tcPr>
            <w:tcW w:w="1220" w:type="dxa"/>
            <w:tcBorders>
              <w:top w:val="nil"/>
              <w:left w:val="nil"/>
              <w:bottom w:val="nil"/>
              <w:right w:val="nil"/>
            </w:tcBorders>
            <w:noWrap/>
          </w:tcPr>
          <w:p w14:paraId="0D083C36" w14:textId="77777777" w:rsidR="009B5C8F" w:rsidRPr="009B5C8F" w:rsidRDefault="009B5C8F" w:rsidP="009B5C8F">
            <w:pPr>
              <w:rPr>
                <w:color w:val="000000"/>
                <w:sz w:val="16"/>
                <w:szCs w:val="16"/>
              </w:rPr>
            </w:pPr>
            <w:r w:rsidRPr="009B5C8F">
              <w:rPr>
                <w:color w:val="000000"/>
                <w:sz w:val="16"/>
                <w:szCs w:val="16"/>
              </w:rPr>
              <w:t>P12259</w:t>
            </w:r>
          </w:p>
        </w:tc>
        <w:tc>
          <w:tcPr>
            <w:tcW w:w="1469" w:type="dxa"/>
            <w:tcBorders>
              <w:top w:val="nil"/>
              <w:left w:val="nil"/>
              <w:bottom w:val="nil"/>
              <w:right w:val="nil"/>
            </w:tcBorders>
            <w:noWrap/>
          </w:tcPr>
          <w:p w14:paraId="0FFA94EC" w14:textId="77777777" w:rsidR="009B5C8F" w:rsidRPr="009B5C8F" w:rsidRDefault="009B5C8F" w:rsidP="009B5C8F">
            <w:pPr>
              <w:rPr>
                <w:color w:val="000000"/>
                <w:sz w:val="16"/>
                <w:szCs w:val="16"/>
              </w:rPr>
            </w:pPr>
            <w:r w:rsidRPr="009B5C8F">
              <w:rPr>
                <w:color w:val="000000"/>
                <w:sz w:val="16"/>
                <w:szCs w:val="16"/>
              </w:rPr>
              <w:t>F5</w:t>
            </w:r>
          </w:p>
        </w:tc>
        <w:tc>
          <w:tcPr>
            <w:tcW w:w="5607" w:type="dxa"/>
            <w:tcBorders>
              <w:top w:val="nil"/>
              <w:left w:val="nil"/>
              <w:bottom w:val="nil"/>
              <w:right w:val="nil"/>
            </w:tcBorders>
            <w:noWrap/>
          </w:tcPr>
          <w:p w14:paraId="1B2FE925" w14:textId="77777777" w:rsidR="009B5C8F" w:rsidRPr="009B5C8F" w:rsidRDefault="009B5C8F" w:rsidP="009B5C8F">
            <w:pPr>
              <w:rPr>
                <w:color w:val="000000"/>
                <w:sz w:val="16"/>
                <w:szCs w:val="16"/>
              </w:rPr>
            </w:pPr>
            <w:r w:rsidRPr="009B5C8F">
              <w:rPr>
                <w:color w:val="000000"/>
                <w:sz w:val="16"/>
                <w:szCs w:val="16"/>
              </w:rPr>
              <w:t>Coagulation factor V; Central regulator of hemostasis. It serves as a critical cofactor for the prothrombinase activity of factor Xa that results in the activation of prothrombin to thrombin</w:t>
            </w:r>
          </w:p>
        </w:tc>
      </w:tr>
      <w:tr w:rsidR="009B5C8F" w:rsidRPr="009B5C8F" w14:paraId="042D8530" w14:textId="77777777" w:rsidTr="003B3198">
        <w:trPr>
          <w:trHeight w:val="285"/>
        </w:trPr>
        <w:tc>
          <w:tcPr>
            <w:tcW w:w="1220" w:type="dxa"/>
            <w:tcBorders>
              <w:top w:val="nil"/>
              <w:left w:val="nil"/>
              <w:bottom w:val="nil"/>
              <w:right w:val="nil"/>
            </w:tcBorders>
            <w:noWrap/>
          </w:tcPr>
          <w:p w14:paraId="353FD931" w14:textId="77777777" w:rsidR="009B5C8F" w:rsidRPr="009B5C8F" w:rsidRDefault="009B5C8F" w:rsidP="009B5C8F">
            <w:pPr>
              <w:rPr>
                <w:color w:val="000000"/>
                <w:sz w:val="16"/>
                <w:szCs w:val="16"/>
              </w:rPr>
            </w:pPr>
            <w:r w:rsidRPr="009B5C8F">
              <w:rPr>
                <w:color w:val="000000"/>
                <w:sz w:val="16"/>
                <w:szCs w:val="16"/>
              </w:rPr>
              <w:t>P0DJI9</w:t>
            </w:r>
          </w:p>
        </w:tc>
        <w:tc>
          <w:tcPr>
            <w:tcW w:w="1469" w:type="dxa"/>
            <w:tcBorders>
              <w:top w:val="nil"/>
              <w:left w:val="nil"/>
              <w:bottom w:val="nil"/>
              <w:right w:val="nil"/>
            </w:tcBorders>
            <w:noWrap/>
          </w:tcPr>
          <w:p w14:paraId="6D7BEB97" w14:textId="77777777" w:rsidR="009B5C8F" w:rsidRPr="009B5C8F" w:rsidRDefault="009B5C8F" w:rsidP="009B5C8F">
            <w:pPr>
              <w:rPr>
                <w:color w:val="000000"/>
                <w:sz w:val="16"/>
                <w:szCs w:val="16"/>
              </w:rPr>
            </w:pPr>
            <w:r w:rsidRPr="009B5C8F">
              <w:rPr>
                <w:color w:val="000000"/>
                <w:sz w:val="16"/>
                <w:szCs w:val="16"/>
              </w:rPr>
              <w:t>SAA2</w:t>
            </w:r>
          </w:p>
        </w:tc>
        <w:tc>
          <w:tcPr>
            <w:tcW w:w="5607" w:type="dxa"/>
            <w:tcBorders>
              <w:top w:val="nil"/>
              <w:left w:val="nil"/>
              <w:bottom w:val="nil"/>
              <w:right w:val="nil"/>
            </w:tcBorders>
            <w:noWrap/>
          </w:tcPr>
          <w:p w14:paraId="4609E1F0" w14:textId="77777777" w:rsidR="009B5C8F" w:rsidRPr="009B5C8F" w:rsidRDefault="009B5C8F" w:rsidP="009B5C8F">
            <w:pPr>
              <w:rPr>
                <w:color w:val="000000"/>
                <w:sz w:val="16"/>
                <w:szCs w:val="16"/>
              </w:rPr>
            </w:pPr>
            <w:r w:rsidRPr="009B5C8F">
              <w:rPr>
                <w:color w:val="000000"/>
                <w:sz w:val="16"/>
                <w:szCs w:val="16"/>
              </w:rPr>
              <w:t>Serum amyloid A-2 protein; Major acute phase reactant. Apolipoprotein of the HDL complex; Belongs to the SAA family</w:t>
            </w:r>
          </w:p>
        </w:tc>
      </w:tr>
      <w:tr w:rsidR="009B5C8F" w:rsidRPr="009B5C8F" w14:paraId="3BE6CDDF" w14:textId="77777777" w:rsidTr="003B3198">
        <w:trPr>
          <w:trHeight w:val="285"/>
        </w:trPr>
        <w:tc>
          <w:tcPr>
            <w:tcW w:w="1220" w:type="dxa"/>
            <w:tcBorders>
              <w:top w:val="nil"/>
              <w:left w:val="nil"/>
              <w:bottom w:val="nil"/>
              <w:right w:val="nil"/>
            </w:tcBorders>
            <w:noWrap/>
          </w:tcPr>
          <w:p w14:paraId="615B4379" w14:textId="77777777" w:rsidR="009B5C8F" w:rsidRPr="009B5C8F" w:rsidRDefault="009B5C8F" w:rsidP="009B5C8F">
            <w:pPr>
              <w:rPr>
                <w:color w:val="000000"/>
                <w:sz w:val="16"/>
                <w:szCs w:val="16"/>
              </w:rPr>
            </w:pPr>
            <w:r w:rsidRPr="009B5C8F">
              <w:rPr>
                <w:color w:val="000000"/>
                <w:sz w:val="16"/>
                <w:szCs w:val="16"/>
              </w:rPr>
              <w:t>P0DJI8</w:t>
            </w:r>
          </w:p>
        </w:tc>
        <w:tc>
          <w:tcPr>
            <w:tcW w:w="1469" w:type="dxa"/>
            <w:tcBorders>
              <w:top w:val="nil"/>
              <w:left w:val="nil"/>
              <w:bottom w:val="nil"/>
              <w:right w:val="nil"/>
            </w:tcBorders>
            <w:noWrap/>
          </w:tcPr>
          <w:p w14:paraId="05386C47" w14:textId="77777777" w:rsidR="009B5C8F" w:rsidRPr="009B5C8F" w:rsidRDefault="009B5C8F" w:rsidP="009B5C8F">
            <w:pPr>
              <w:rPr>
                <w:color w:val="000000"/>
                <w:sz w:val="16"/>
                <w:szCs w:val="16"/>
              </w:rPr>
            </w:pPr>
            <w:r w:rsidRPr="009B5C8F">
              <w:rPr>
                <w:color w:val="000000"/>
                <w:sz w:val="16"/>
                <w:szCs w:val="16"/>
              </w:rPr>
              <w:t>SAA1</w:t>
            </w:r>
          </w:p>
        </w:tc>
        <w:tc>
          <w:tcPr>
            <w:tcW w:w="5607" w:type="dxa"/>
            <w:tcBorders>
              <w:top w:val="nil"/>
              <w:left w:val="nil"/>
              <w:bottom w:val="nil"/>
              <w:right w:val="nil"/>
            </w:tcBorders>
            <w:noWrap/>
          </w:tcPr>
          <w:p w14:paraId="609E81CF" w14:textId="77777777" w:rsidR="009B5C8F" w:rsidRPr="009B5C8F" w:rsidRDefault="009B5C8F" w:rsidP="009B5C8F">
            <w:pPr>
              <w:rPr>
                <w:color w:val="000000"/>
                <w:sz w:val="16"/>
                <w:szCs w:val="16"/>
              </w:rPr>
            </w:pPr>
            <w:r w:rsidRPr="009B5C8F">
              <w:rPr>
                <w:color w:val="000000"/>
                <w:sz w:val="16"/>
                <w:szCs w:val="16"/>
              </w:rPr>
              <w:t>Serum amyloid A-1 protein; Major acute phase protein; Belongs to the SAA family</w:t>
            </w:r>
          </w:p>
        </w:tc>
      </w:tr>
      <w:tr w:rsidR="009B5C8F" w:rsidRPr="009B5C8F" w14:paraId="7D2412AE" w14:textId="77777777" w:rsidTr="003B3198">
        <w:trPr>
          <w:trHeight w:val="285"/>
        </w:trPr>
        <w:tc>
          <w:tcPr>
            <w:tcW w:w="1220" w:type="dxa"/>
            <w:tcBorders>
              <w:top w:val="nil"/>
              <w:left w:val="nil"/>
              <w:bottom w:val="nil"/>
              <w:right w:val="nil"/>
            </w:tcBorders>
            <w:noWrap/>
          </w:tcPr>
          <w:p w14:paraId="2074BE87" w14:textId="77777777" w:rsidR="009B5C8F" w:rsidRPr="009B5C8F" w:rsidRDefault="009B5C8F" w:rsidP="009B5C8F">
            <w:pPr>
              <w:rPr>
                <w:color w:val="000000"/>
                <w:sz w:val="16"/>
                <w:szCs w:val="16"/>
              </w:rPr>
            </w:pPr>
            <w:r w:rsidRPr="009B5C8F">
              <w:rPr>
                <w:color w:val="000000"/>
                <w:sz w:val="16"/>
                <w:szCs w:val="16"/>
              </w:rPr>
              <w:t>P05452</w:t>
            </w:r>
          </w:p>
        </w:tc>
        <w:tc>
          <w:tcPr>
            <w:tcW w:w="1469" w:type="dxa"/>
            <w:tcBorders>
              <w:top w:val="nil"/>
              <w:left w:val="nil"/>
              <w:bottom w:val="nil"/>
              <w:right w:val="nil"/>
            </w:tcBorders>
            <w:noWrap/>
          </w:tcPr>
          <w:p w14:paraId="39BE04B4" w14:textId="77777777" w:rsidR="009B5C8F" w:rsidRPr="009B5C8F" w:rsidRDefault="009B5C8F" w:rsidP="009B5C8F">
            <w:pPr>
              <w:rPr>
                <w:color w:val="000000"/>
                <w:sz w:val="16"/>
                <w:szCs w:val="16"/>
              </w:rPr>
            </w:pPr>
            <w:r w:rsidRPr="009B5C8F">
              <w:rPr>
                <w:color w:val="000000"/>
                <w:sz w:val="16"/>
                <w:szCs w:val="16"/>
              </w:rPr>
              <w:t>CLEC3B</w:t>
            </w:r>
          </w:p>
        </w:tc>
        <w:tc>
          <w:tcPr>
            <w:tcW w:w="5607" w:type="dxa"/>
            <w:tcBorders>
              <w:top w:val="nil"/>
              <w:left w:val="nil"/>
              <w:bottom w:val="nil"/>
              <w:right w:val="nil"/>
            </w:tcBorders>
            <w:noWrap/>
          </w:tcPr>
          <w:p w14:paraId="49C7480E" w14:textId="77777777" w:rsidR="009B5C8F" w:rsidRPr="009B5C8F" w:rsidRDefault="009B5C8F" w:rsidP="009B5C8F">
            <w:pPr>
              <w:rPr>
                <w:color w:val="000000"/>
                <w:sz w:val="16"/>
                <w:szCs w:val="16"/>
              </w:rPr>
            </w:pPr>
            <w:r w:rsidRPr="009B5C8F">
              <w:rPr>
                <w:color w:val="000000"/>
                <w:sz w:val="16"/>
                <w:szCs w:val="16"/>
              </w:rPr>
              <w:t xml:space="preserve">Tetranectin; Tetranectin binds to plasminogen and to isolated kringle 4. May be involved in the packaging of molecules destined for exocytosis; C-type lectin domain </w:t>
            </w:r>
            <w:r w:rsidRPr="009B5C8F">
              <w:rPr>
                <w:color w:val="000000"/>
                <w:sz w:val="16"/>
                <w:szCs w:val="16"/>
              </w:rPr>
              <w:lastRenderedPageBreak/>
              <w:t>containing</w:t>
            </w:r>
          </w:p>
        </w:tc>
      </w:tr>
      <w:tr w:rsidR="009B5C8F" w:rsidRPr="009B5C8F" w14:paraId="04A9FA79" w14:textId="77777777" w:rsidTr="003B3198">
        <w:trPr>
          <w:trHeight w:val="285"/>
        </w:trPr>
        <w:tc>
          <w:tcPr>
            <w:tcW w:w="1220" w:type="dxa"/>
            <w:tcBorders>
              <w:top w:val="nil"/>
              <w:left w:val="nil"/>
              <w:bottom w:val="nil"/>
              <w:right w:val="nil"/>
            </w:tcBorders>
            <w:noWrap/>
          </w:tcPr>
          <w:p w14:paraId="6BED95FE" w14:textId="77777777" w:rsidR="009B5C8F" w:rsidRPr="009B5C8F" w:rsidRDefault="009B5C8F" w:rsidP="009B5C8F">
            <w:pPr>
              <w:rPr>
                <w:color w:val="000000"/>
                <w:sz w:val="16"/>
                <w:szCs w:val="16"/>
              </w:rPr>
            </w:pPr>
            <w:r w:rsidRPr="009B5C8F">
              <w:rPr>
                <w:color w:val="000000"/>
                <w:sz w:val="16"/>
                <w:szCs w:val="16"/>
              </w:rPr>
              <w:t>P05155</w:t>
            </w:r>
          </w:p>
        </w:tc>
        <w:tc>
          <w:tcPr>
            <w:tcW w:w="1469" w:type="dxa"/>
            <w:tcBorders>
              <w:top w:val="nil"/>
              <w:left w:val="nil"/>
              <w:bottom w:val="nil"/>
              <w:right w:val="nil"/>
            </w:tcBorders>
            <w:noWrap/>
          </w:tcPr>
          <w:p w14:paraId="14A029FC" w14:textId="77777777" w:rsidR="009B5C8F" w:rsidRPr="009B5C8F" w:rsidRDefault="009B5C8F" w:rsidP="009B5C8F">
            <w:pPr>
              <w:rPr>
                <w:color w:val="000000"/>
                <w:sz w:val="16"/>
                <w:szCs w:val="16"/>
              </w:rPr>
            </w:pPr>
            <w:r w:rsidRPr="009B5C8F">
              <w:rPr>
                <w:color w:val="000000"/>
                <w:sz w:val="16"/>
                <w:szCs w:val="16"/>
              </w:rPr>
              <w:t>SERPING1</w:t>
            </w:r>
          </w:p>
        </w:tc>
        <w:tc>
          <w:tcPr>
            <w:tcW w:w="5607" w:type="dxa"/>
            <w:tcBorders>
              <w:top w:val="nil"/>
              <w:left w:val="nil"/>
              <w:bottom w:val="nil"/>
              <w:right w:val="nil"/>
            </w:tcBorders>
            <w:noWrap/>
          </w:tcPr>
          <w:p w14:paraId="5F777400" w14:textId="77777777" w:rsidR="009B5C8F" w:rsidRPr="009B5C8F" w:rsidRDefault="009B5C8F" w:rsidP="009B5C8F">
            <w:pPr>
              <w:rPr>
                <w:color w:val="000000"/>
                <w:sz w:val="16"/>
                <w:szCs w:val="16"/>
              </w:rPr>
            </w:pPr>
            <w:r w:rsidRPr="009B5C8F">
              <w:rPr>
                <w:color w:val="000000"/>
                <w:sz w:val="16"/>
                <w:szCs w:val="16"/>
              </w:rPr>
              <w:t>Plasma protease C1 inhibitor; Activation of the C1 complex is under control of the C1- inhibitor. It forms a proteolytically inactive stoichiometric complex with the C1r or C1s proteases. May play a potentially crucial role in regulating important physiological pathways including complement activation, blood coagulation, fibrinolysis and the generation of kinins. Very efficient inhibitor of FXIIa. Inhibits chymotrypsin and kallikrein; Serpin peptidase inhibitors</w:t>
            </w:r>
          </w:p>
        </w:tc>
      </w:tr>
      <w:tr w:rsidR="009B5C8F" w:rsidRPr="009B5C8F" w14:paraId="7858309E" w14:textId="77777777" w:rsidTr="003B3198">
        <w:trPr>
          <w:trHeight w:val="285"/>
        </w:trPr>
        <w:tc>
          <w:tcPr>
            <w:tcW w:w="1220" w:type="dxa"/>
            <w:tcBorders>
              <w:top w:val="nil"/>
              <w:left w:val="nil"/>
              <w:bottom w:val="nil"/>
              <w:right w:val="nil"/>
            </w:tcBorders>
            <w:noWrap/>
          </w:tcPr>
          <w:p w14:paraId="07FA989A" w14:textId="77777777" w:rsidR="009B5C8F" w:rsidRPr="009B5C8F" w:rsidRDefault="009B5C8F" w:rsidP="009B5C8F">
            <w:pPr>
              <w:rPr>
                <w:color w:val="000000"/>
                <w:sz w:val="16"/>
                <w:szCs w:val="16"/>
              </w:rPr>
            </w:pPr>
            <w:r w:rsidRPr="009B5C8F">
              <w:rPr>
                <w:color w:val="000000"/>
                <w:sz w:val="16"/>
                <w:szCs w:val="16"/>
              </w:rPr>
              <w:t>P02768</w:t>
            </w:r>
          </w:p>
        </w:tc>
        <w:tc>
          <w:tcPr>
            <w:tcW w:w="1469" w:type="dxa"/>
            <w:tcBorders>
              <w:top w:val="nil"/>
              <w:left w:val="nil"/>
              <w:bottom w:val="nil"/>
              <w:right w:val="nil"/>
            </w:tcBorders>
            <w:noWrap/>
          </w:tcPr>
          <w:p w14:paraId="33BCF89B" w14:textId="77777777" w:rsidR="009B5C8F" w:rsidRPr="009B5C8F" w:rsidRDefault="009B5C8F" w:rsidP="009B5C8F">
            <w:pPr>
              <w:rPr>
                <w:color w:val="000000"/>
                <w:sz w:val="16"/>
                <w:szCs w:val="16"/>
              </w:rPr>
            </w:pPr>
            <w:r w:rsidRPr="009B5C8F">
              <w:rPr>
                <w:color w:val="000000"/>
                <w:sz w:val="16"/>
                <w:szCs w:val="16"/>
              </w:rPr>
              <w:t>ALB</w:t>
            </w:r>
          </w:p>
        </w:tc>
        <w:tc>
          <w:tcPr>
            <w:tcW w:w="5607" w:type="dxa"/>
            <w:tcBorders>
              <w:top w:val="nil"/>
              <w:left w:val="nil"/>
              <w:bottom w:val="nil"/>
              <w:right w:val="nil"/>
            </w:tcBorders>
            <w:noWrap/>
          </w:tcPr>
          <w:p w14:paraId="739A0FAC" w14:textId="77777777" w:rsidR="009B5C8F" w:rsidRPr="009B5C8F" w:rsidRDefault="009B5C8F" w:rsidP="009B5C8F">
            <w:pPr>
              <w:rPr>
                <w:color w:val="000000"/>
                <w:sz w:val="16"/>
                <w:szCs w:val="16"/>
              </w:rPr>
            </w:pPr>
            <w:r w:rsidRPr="009B5C8F">
              <w:rPr>
                <w:color w:val="000000"/>
                <w:sz w:val="16"/>
                <w:szCs w:val="16"/>
              </w:rPr>
              <w:t>Serum albumin; Serum albumin, the main protein of plasma, has a good binding capacity for water, Ca(2+), Na(+), K(+), fatty acids, hormones, bilirubin and drugs. Its main function is the regulation of the colloidal osmotic pressure of blood. Major zinc transporter in plasma, typically binds about 80% of all plasma zinc; Belongs to the ALB/AFP/VDB family</w:t>
            </w:r>
          </w:p>
        </w:tc>
      </w:tr>
      <w:tr w:rsidR="009B5C8F" w:rsidRPr="009B5C8F" w14:paraId="406A7609" w14:textId="77777777" w:rsidTr="003B3198">
        <w:trPr>
          <w:trHeight w:val="285"/>
        </w:trPr>
        <w:tc>
          <w:tcPr>
            <w:tcW w:w="1220" w:type="dxa"/>
            <w:tcBorders>
              <w:top w:val="nil"/>
              <w:left w:val="nil"/>
              <w:bottom w:val="nil"/>
              <w:right w:val="nil"/>
            </w:tcBorders>
            <w:noWrap/>
          </w:tcPr>
          <w:p w14:paraId="6A4E1668" w14:textId="77777777" w:rsidR="009B5C8F" w:rsidRPr="009B5C8F" w:rsidRDefault="009B5C8F" w:rsidP="009B5C8F">
            <w:pPr>
              <w:rPr>
                <w:color w:val="000000"/>
                <w:sz w:val="16"/>
                <w:szCs w:val="16"/>
              </w:rPr>
            </w:pPr>
            <w:r w:rsidRPr="009B5C8F">
              <w:rPr>
                <w:color w:val="000000"/>
                <w:sz w:val="16"/>
                <w:szCs w:val="16"/>
              </w:rPr>
              <w:t>P02750</w:t>
            </w:r>
          </w:p>
        </w:tc>
        <w:tc>
          <w:tcPr>
            <w:tcW w:w="1469" w:type="dxa"/>
            <w:tcBorders>
              <w:top w:val="nil"/>
              <w:left w:val="nil"/>
              <w:bottom w:val="nil"/>
              <w:right w:val="nil"/>
            </w:tcBorders>
            <w:noWrap/>
          </w:tcPr>
          <w:p w14:paraId="50BE7B1B" w14:textId="77777777" w:rsidR="009B5C8F" w:rsidRPr="009B5C8F" w:rsidRDefault="009B5C8F" w:rsidP="009B5C8F">
            <w:pPr>
              <w:rPr>
                <w:color w:val="000000"/>
                <w:sz w:val="16"/>
                <w:szCs w:val="16"/>
              </w:rPr>
            </w:pPr>
            <w:r w:rsidRPr="009B5C8F">
              <w:rPr>
                <w:color w:val="000000"/>
                <w:sz w:val="16"/>
                <w:szCs w:val="16"/>
              </w:rPr>
              <w:t>LRG1</w:t>
            </w:r>
          </w:p>
        </w:tc>
        <w:tc>
          <w:tcPr>
            <w:tcW w:w="5607" w:type="dxa"/>
            <w:tcBorders>
              <w:top w:val="nil"/>
              <w:left w:val="nil"/>
              <w:bottom w:val="nil"/>
              <w:right w:val="nil"/>
            </w:tcBorders>
            <w:noWrap/>
          </w:tcPr>
          <w:p w14:paraId="3685A728" w14:textId="77777777" w:rsidR="009B5C8F" w:rsidRPr="009B5C8F" w:rsidRDefault="009B5C8F" w:rsidP="009B5C8F">
            <w:pPr>
              <w:rPr>
                <w:color w:val="000000"/>
                <w:sz w:val="16"/>
                <w:szCs w:val="16"/>
              </w:rPr>
            </w:pPr>
            <w:r w:rsidRPr="009B5C8F">
              <w:rPr>
                <w:color w:val="000000"/>
                <w:sz w:val="16"/>
                <w:szCs w:val="16"/>
              </w:rPr>
              <w:t>Leucine rich alpha-2-glycoprotein 1</w:t>
            </w:r>
          </w:p>
        </w:tc>
      </w:tr>
      <w:tr w:rsidR="009B5C8F" w:rsidRPr="009B5C8F" w14:paraId="79AF0892" w14:textId="77777777" w:rsidTr="003B3198">
        <w:trPr>
          <w:trHeight w:val="285"/>
        </w:trPr>
        <w:tc>
          <w:tcPr>
            <w:tcW w:w="1220" w:type="dxa"/>
            <w:tcBorders>
              <w:top w:val="nil"/>
              <w:left w:val="nil"/>
              <w:bottom w:val="nil"/>
              <w:right w:val="nil"/>
            </w:tcBorders>
            <w:noWrap/>
          </w:tcPr>
          <w:p w14:paraId="4F3EFC34" w14:textId="77777777" w:rsidR="009B5C8F" w:rsidRPr="009B5C8F" w:rsidRDefault="009B5C8F" w:rsidP="009B5C8F">
            <w:pPr>
              <w:rPr>
                <w:color w:val="000000"/>
                <w:sz w:val="16"/>
                <w:szCs w:val="16"/>
              </w:rPr>
            </w:pPr>
            <w:r w:rsidRPr="009B5C8F">
              <w:rPr>
                <w:color w:val="000000"/>
                <w:sz w:val="16"/>
                <w:szCs w:val="16"/>
              </w:rPr>
              <w:t>P02748</w:t>
            </w:r>
          </w:p>
        </w:tc>
        <w:tc>
          <w:tcPr>
            <w:tcW w:w="1469" w:type="dxa"/>
            <w:tcBorders>
              <w:top w:val="nil"/>
              <w:left w:val="nil"/>
              <w:bottom w:val="nil"/>
              <w:right w:val="nil"/>
            </w:tcBorders>
            <w:noWrap/>
          </w:tcPr>
          <w:p w14:paraId="3E5E34ED" w14:textId="77777777" w:rsidR="009B5C8F" w:rsidRPr="009B5C8F" w:rsidRDefault="009B5C8F" w:rsidP="009B5C8F">
            <w:pPr>
              <w:rPr>
                <w:color w:val="000000"/>
                <w:sz w:val="16"/>
                <w:szCs w:val="16"/>
              </w:rPr>
            </w:pPr>
            <w:r w:rsidRPr="009B5C8F">
              <w:rPr>
                <w:color w:val="000000"/>
                <w:sz w:val="16"/>
                <w:szCs w:val="16"/>
              </w:rPr>
              <w:t>C9</w:t>
            </w:r>
          </w:p>
        </w:tc>
        <w:tc>
          <w:tcPr>
            <w:tcW w:w="5607" w:type="dxa"/>
            <w:tcBorders>
              <w:top w:val="nil"/>
              <w:left w:val="nil"/>
              <w:bottom w:val="nil"/>
              <w:right w:val="nil"/>
            </w:tcBorders>
            <w:noWrap/>
          </w:tcPr>
          <w:p w14:paraId="3F21405D" w14:textId="77777777" w:rsidR="009B5C8F" w:rsidRPr="009B5C8F" w:rsidRDefault="009B5C8F" w:rsidP="009B5C8F">
            <w:pPr>
              <w:rPr>
                <w:color w:val="000000"/>
                <w:sz w:val="16"/>
                <w:szCs w:val="16"/>
              </w:rPr>
            </w:pPr>
            <w:r w:rsidRPr="009B5C8F">
              <w:rPr>
                <w:color w:val="000000"/>
                <w:sz w:val="16"/>
                <w:szCs w:val="16"/>
              </w:rPr>
              <w:t>Complement component C9; Constituent of the membrane attack complex (MAC) that plays a key role in the innate and adaptive immune response by forming pores in the plasma membrane of target cells. C9 is the pore- forming subunit of the MAC; Belongs to the complement C6/C7/C8/C9 family</w:t>
            </w:r>
          </w:p>
        </w:tc>
      </w:tr>
      <w:tr w:rsidR="009B5C8F" w:rsidRPr="009B5C8F" w14:paraId="0C4EC329" w14:textId="77777777" w:rsidTr="003B3198">
        <w:trPr>
          <w:trHeight w:val="285"/>
        </w:trPr>
        <w:tc>
          <w:tcPr>
            <w:tcW w:w="1220" w:type="dxa"/>
            <w:tcBorders>
              <w:top w:val="nil"/>
              <w:left w:val="nil"/>
              <w:bottom w:val="nil"/>
              <w:right w:val="nil"/>
            </w:tcBorders>
            <w:noWrap/>
          </w:tcPr>
          <w:p w14:paraId="4AE8D29B" w14:textId="77777777" w:rsidR="009B5C8F" w:rsidRPr="009B5C8F" w:rsidRDefault="009B5C8F" w:rsidP="009B5C8F">
            <w:pPr>
              <w:rPr>
                <w:color w:val="000000"/>
                <w:sz w:val="16"/>
                <w:szCs w:val="16"/>
              </w:rPr>
            </w:pPr>
            <w:r w:rsidRPr="009B5C8F">
              <w:rPr>
                <w:color w:val="000000"/>
                <w:sz w:val="16"/>
                <w:szCs w:val="16"/>
              </w:rPr>
              <w:t>P01011</w:t>
            </w:r>
          </w:p>
        </w:tc>
        <w:tc>
          <w:tcPr>
            <w:tcW w:w="1469" w:type="dxa"/>
            <w:tcBorders>
              <w:top w:val="nil"/>
              <w:left w:val="nil"/>
              <w:bottom w:val="nil"/>
              <w:right w:val="nil"/>
            </w:tcBorders>
            <w:noWrap/>
          </w:tcPr>
          <w:p w14:paraId="60E47107" w14:textId="77777777" w:rsidR="009B5C8F" w:rsidRPr="009B5C8F" w:rsidRDefault="009B5C8F" w:rsidP="009B5C8F">
            <w:pPr>
              <w:rPr>
                <w:color w:val="000000"/>
                <w:sz w:val="16"/>
                <w:szCs w:val="16"/>
              </w:rPr>
            </w:pPr>
            <w:r w:rsidRPr="009B5C8F">
              <w:rPr>
                <w:color w:val="000000"/>
                <w:sz w:val="16"/>
                <w:szCs w:val="16"/>
              </w:rPr>
              <w:t>GIG25</w:t>
            </w:r>
          </w:p>
        </w:tc>
        <w:tc>
          <w:tcPr>
            <w:tcW w:w="5607" w:type="dxa"/>
            <w:tcBorders>
              <w:top w:val="nil"/>
              <w:left w:val="nil"/>
              <w:bottom w:val="nil"/>
              <w:right w:val="nil"/>
            </w:tcBorders>
            <w:noWrap/>
          </w:tcPr>
          <w:p w14:paraId="36D108E3" w14:textId="77777777" w:rsidR="009B5C8F" w:rsidRPr="009B5C8F" w:rsidRDefault="009B5C8F" w:rsidP="009B5C8F">
            <w:pPr>
              <w:rPr>
                <w:color w:val="000000"/>
                <w:sz w:val="16"/>
                <w:szCs w:val="16"/>
              </w:rPr>
            </w:pPr>
            <w:r w:rsidRPr="009B5C8F">
              <w:rPr>
                <w:color w:val="000000"/>
                <w:sz w:val="16"/>
                <w:szCs w:val="16"/>
              </w:rPr>
              <w:t>Serpin peptidase inhibitor, clade A (alpha-1 antiproteinase, antitrypsin), member 3; Although its physiological function is unclear, it can inhibit neutrophil cathepsin G and mast cell chymase, both of which can convert angiotensin-1 to the active angiotensin-2; Serpin peptidase inhibitors</w:t>
            </w:r>
          </w:p>
        </w:tc>
      </w:tr>
      <w:tr w:rsidR="009B5C8F" w:rsidRPr="009B5C8F" w14:paraId="08CA40E2" w14:textId="77777777" w:rsidTr="003B3198">
        <w:trPr>
          <w:trHeight w:val="285"/>
        </w:trPr>
        <w:tc>
          <w:tcPr>
            <w:tcW w:w="1220" w:type="dxa"/>
            <w:tcBorders>
              <w:top w:val="nil"/>
              <w:left w:val="nil"/>
              <w:bottom w:val="nil"/>
              <w:right w:val="nil"/>
            </w:tcBorders>
            <w:noWrap/>
          </w:tcPr>
          <w:p w14:paraId="44A1B571" w14:textId="77777777" w:rsidR="009B5C8F" w:rsidRPr="009B5C8F" w:rsidRDefault="009B5C8F" w:rsidP="009B5C8F">
            <w:pPr>
              <w:rPr>
                <w:color w:val="000000"/>
                <w:sz w:val="16"/>
                <w:szCs w:val="16"/>
              </w:rPr>
            </w:pPr>
            <w:r w:rsidRPr="009B5C8F">
              <w:rPr>
                <w:color w:val="000000"/>
                <w:sz w:val="16"/>
                <w:szCs w:val="16"/>
              </w:rPr>
              <w:t>P00751</w:t>
            </w:r>
          </w:p>
        </w:tc>
        <w:tc>
          <w:tcPr>
            <w:tcW w:w="1469" w:type="dxa"/>
            <w:tcBorders>
              <w:top w:val="nil"/>
              <w:left w:val="nil"/>
              <w:bottom w:val="nil"/>
              <w:right w:val="nil"/>
            </w:tcBorders>
            <w:noWrap/>
          </w:tcPr>
          <w:p w14:paraId="0ABA76B6" w14:textId="77777777" w:rsidR="009B5C8F" w:rsidRPr="009B5C8F" w:rsidRDefault="009B5C8F" w:rsidP="009B5C8F">
            <w:pPr>
              <w:rPr>
                <w:color w:val="000000"/>
                <w:sz w:val="16"/>
                <w:szCs w:val="16"/>
              </w:rPr>
            </w:pPr>
            <w:r w:rsidRPr="009B5C8F">
              <w:rPr>
                <w:color w:val="000000"/>
                <w:sz w:val="16"/>
                <w:szCs w:val="16"/>
              </w:rPr>
              <w:t>CFB</w:t>
            </w:r>
          </w:p>
        </w:tc>
        <w:tc>
          <w:tcPr>
            <w:tcW w:w="5607" w:type="dxa"/>
            <w:tcBorders>
              <w:top w:val="nil"/>
              <w:left w:val="nil"/>
              <w:bottom w:val="nil"/>
              <w:right w:val="nil"/>
            </w:tcBorders>
            <w:noWrap/>
          </w:tcPr>
          <w:p w14:paraId="2E68E29C" w14:textId="77777777" w:rsidR="009B5C8F" w:rsidRPr="009B5C8F" w:rsidRDefault="009B5C8F" w:rsidP="009B5C8F">
            <w:pPr>
              <w:rPr>
                <w:color w:val="000000"/>
                <w:sz w:val="16"/>
                <w:szCs w:val="16"/>
              </w:rPr>
            </w:pPr>
            <w:r w:rsidRPr="009B5C8F">
              <w:rPr>
                <w:color w:val="000000"/>
                <w:sz w:val="16"/>
                <w:szCs w:val="16"/>
              </w:rPr>
              <w:t>Complement factor B; Factor B which is part of the alternate pathway of the complement system is cleaved by factor D into 2 fragments: Ba and Bb. Bb, a serine protease, then combines with complement factor 3b to generate the C3 or C5 convertase. It has also been implicated in proliferation and differentiation of preactivated B- lymphocytes, rapid spreading of peripheral blood monocytes, stimulation of lymphocyte blastogenesis and lysis of erythrocytes. Ba inhibits the proliferation of preactivated B-lymphocytes; Belongs to the peptidase S1 family</w:t>
            </w:r>
          </w:p>
        </w:tc>
      </w:tr>
      <w:tr w:rsidR="009B5C8F" w:rsidRPr="009B5C8F" w14:paraId="06C797F9" w14:textId="77777777" w:rsidTr="003B3198">
        <w:trPr>
          <w:trHeight w:val="285"/>
        </w:trPr>
        <w:tc>
          <w:tcPr>
            <w:tcW w:w="1220" w:type="dxa"/>
            <w:tcBorders>
              <w:top w:val="nil"/>
              <w:left w:val="nil"/>
              <w:bottom w:val="single" w:sz="4" w:space="0" w:color="auto"/>
              <w:right w:val="nil"/>
            </w:tcBorders>
            <w:noWrap/>
          </w:tcPr>
          <w:p w14:paraId="5227D925" w14:textId="77777777" w:rsidR="009B5C8F" w:rsidRPr="009B5C8F" w:rsidRDefault="009B5C8F" w:rsidP="009B5C8F">
            <w:pPr>
              <w:rPr>
                <w:color w:val="000000"/>
                <w:sz w:val="16"/>
                <w:szCs w:val="16"/>
              </w:rPr>
            </w:pPr>
            <w:r w:rsidRPr="009B5C8F">
              <w:rPr>
                <w:color w:val="000000"/>
                <w:sz w:val="16"/>
                <w:szCs w:val="16"/>
              </w:rPr>
              <w:t>P00738</w:t>
            </w:r>
          </w:p>
        </w:tc>
        <w:tc>
          <w:tcPr>
            <w:tcW w:w="1469" w:type="dxa"/>
            <w:tcBorders>
              <w:top w:val="nil"/>
              <w:left w:val="nil"/>
              <w:bottom w:val="single" w:sz="4" w:space="0" w:color="auto"/>
              <w:right w:val="nil"/>
            </w:tcBorders>
            <w:noWrap/>
          </w:tcPr>
          <w:p w14:paraId="5DC23F60" w14:textId="77777777" w:rsidR="009B5C8F" w:rsidRPr="009B5C8F" w:rsidRDefault="009B5C8F" w:rsidP="009B5C8F">
            <w:pPr>
              <w:rPr>
                <w:color w:val="000000"/>
                <w:sz w:val="16"/>
                <w:szCs w:val="16"/>
              </w:rPr>
            </w:pPr>
            <w:r w:rsidRPr="009B5C8F">
              <w:rPr>
                <w:color w:val="000000"/>
                <w:sz w:val="16"/>
                <w:szCs w:val="16"/>
              </w:rPr>
              <w:t>HP</w:t>
            </w:r>
          </w:p>
        </w:tc>
        <w:tc>
          <w:tcPr>
            <w:tcW w:w="5607" w:type="dxa"/>
            <w:tcBorders>
              <w:top w:val="nil"/>
              <w:left w:val="nil"/>
              <w:bottom w:val="single" w:sz="4" w:space="0" w:color="auto"/>
              <w:right w:val="nil"/>
            </w:tcBorders>
            <w:noWrap/>
          </w:tcPr>
          <w:p w14:paraId="0006250A" w14:textId="77777777" w:rsidR="009B5C8F" w:rsidRPr="009B5C8F" w:rsidRDefault="009B5C8F" w:rsidP="009B5C8F">
            <w:pPr>
              <w:rPr>
                <w:color w:val="000000"/>
                <w:sz w:val="16"/>
                <w:szCs w:val="16"/>
              </w:rPr>
            </w:pPr>
            <w:r w:rsidRPr="009B5C8F">
              <w:rPr>
                <w:color w:val="000000"/>
                <w:sz w:val="16"/>
                <w:szCs w:val="16"/>
              </w:rPr>
              <w:t>Haptoglobin; As a result of hemolysis, hemoglobin is found to accumulate in the kidney and is secreted in the urine. Haptoglobin captures, and combines with free plasma hemoglobin to allow hepatic recycling of heme iron and to prevent kidney damage. Haptoglobin also acts as an Antimicrobial; Antioxidant, has antibacterial activity and plays a role in modulating many aspects of the acute phase response. Hemoglobin/haptoglobin complexes are rapidely cleared by the macrophage CD163 scavenger receptor expressed on the surface of liver Kupfer cells through an endocytic lysosomal degradation.</w:t>
            </w:r>
          </w:p>
        </w:tc>
      </w:tr>
      <w:tr w:rsidR="009B5C8F" w:rsidRPr="009B5C8F" w14:paraId="7DB06E62" w14:textId="77777777" w:rsidTr="003B3198">
        <w:trPr>
          <w:trHeight w:val="285"/>
        </w:trPr>
        <w:tc>
          <w:tcPr>
            <w:tcW w:w="1220" w:type="dxa"/>
            <w:tcBorders>
              <w:top w:val="single" w:sz="4" w:space="0" w:color="auto"/>
              <w:left w:val="nil"/>
              <w:bottom w:val="nil"/>
              <w:right w:val="nil"/>
            </w:tcBorders>
            <w:noWrap/>
          </w:tcPr>
          <w:p w14:paraId="321DECCC" w14:textId="77777777" w:rsidR="009B5C8F" w:rsidRPr="009B5C8F" w:rsidRDefault="009B5C8F" w:rsidP="009B5C8F">
            <w:pPr>
              <w:rPr>
                <w:color w:val="000000"/>
                <w:sz w:val="16"/>
                <w:szCs w:val="16"/>
              </w:rPr>
            </w:pPr>
          </w:p>
        </w:tc>
        <w:tc>
          <w:tcPr>
            <w:tcW w:w="1469" w:type="dxa"/>
            <w:tcBorders>
              <w:top w:val="single" w:sz="4" w:space="0" w:color="auto"/>
              <w:left w:val="nil"/>
              <w:bottom w:val="nil"/>
              <w:right w:val="nil"/>
            </w:tcBorders>
            <w:noWrap/>
          </w:tcPr>
          <w:p w14:paraId="41121E3A" w14:textId="77777777" w:rsidR="009B5C8F" w:rsidRPr="009B5C8F" w:rsidRDefault="009B5C8F" w:rsidP="009B5C8F">
            <w:pPr>
              <w:rPr>
                <w:color w:val="000000"/>
                <w:sz w:val="16"/>
                <w:szCs w:val="16"/>
              </w:rPr>
            </w:pPr>
          </w:p>
        </w:tc>
        <w:tc>
          <w:tcPr>
            <w:tcW w:w="5607" w:type="dxa"/>
            <w:tcBorders>
              <w:top w:val="single" w:sz="4" w:space="0" w:color="auto"/>
              <w:left w:val="nil"/>
              <w:bottom w:val="nil"/>
              <w:right w:val="nil"/>
            </w:tcBorders>
            <w:noWrap/>
          </w:tcPr>
          <w:p w14:paraId="6F1E6FB5" w14:textId="77777777" w:rsidR="009B5C8F" w:rsidRPr="009B5C8F" w:rsidRDefault="009B5C8F" w:rsidP="009B5C8F">
            <w:pPr>
              <w:rPr>
                <w:color w:val="000000"/>
                <w:sz w:val="16"/>
                <w:szCs w:val="16"/>
              </w:rPr>
            </w:pPr>
          </w:p>
        </w:tc>
      </w:tr>
    </w:tbl>
    <w:p w14:paraId="74879AB6" w14:textId="77777777" w:rsidR="009B5C8F" w:rsidRPr="009B5C8F" w:rsidRDefault="009B5C8F" w:rsidP="009B5C8F">
      <w:pPr>
        <w:widowControl/>
        <w:jc w:val="left"/>
        <w:rPr>
          <w:rFonts w:ascii="Times New Roman" w:eastAsia="等线" w:hAnsi="Times New Roman" w:cs="Times New Roman"/>
          <w:color w:val="000000"/>
          <w:kern w:val="0"/>
          <w:sz w:val="20"/>
          <w:szCs w:val="20"/>
        </w:rPr>
        <w:sectPr w:rsidR="009B5C8F" w:rsidRPr="009B5C8F" w:rsidSect="003B3198">
          <w:pgSz w:w="11906" w:h="16838"/>
          <w:pgMar w:top="1440" w:right="1800" w:bottom="1440" w:left="1800" w:header="720" w:footer="720" w:gutter="0"/>
          <w:cols w:space="720"/>
          <w:docGrid w:type="lines" w:linePitch="312"/>
        </w:sectPr>
      </w:pPr>
    </w:p>
    <w:p w14:paraId="73BE79BE" w14:textId="2814CD22" w:rsidR="009B5C8F" w:rsidRPr="009B5C8F" w:rsidRDefault="009B5C8F" w:rsidP="009B5C8F">
      <w:pPr>
        <w:rPr>
          <w:rFonts w:ascii="Times New Roman" w:eastAsia="等线" w:hAnsi="Times New Roman" w:cs="Times New Roman"/>
          <w:b/>
          <w:bCs/>
          <w:color w:val="000000"/>
          <w:kern w:val="0"/>
          <w:sz w:val="20"/>
          <w:szCs w:val="20"/>
        </w:rPr>
      </w:pPr>
      <w:bookmarkStart w:id="6" w:name="_Hlk44444747"/>
      <w:r w:rsidRPr="009B5C8F">
        <w:rPr>
          <w:rFonts w:ascii="Times New Roman" w:eastAsia="等线" w:hAnsi="Times New Roman" w:cs="Times New Roman"/>
          <w:b/>
          <w:bCs/>
          <w:color w:val="000000"/>
          <w:kern w:val="0"/>
          <w:sz w:val="20"/>
          <w:szCs w:val="20"/>
        </w:rPr>
        <w:lastRenderedPageBreak/>
        <w:t>Table S3</w:t>
      </w:r>
      <w:r w:rsidR="00C56A2A">
        <w:rPr>
          <w:rFonts w:ascii="Times New Roman" w:eastAsia="等线" w:hAnsi="Times New Roman" w:cs="Times New Roman"/>
          <w:b/>
          <w:bCs/>
          <w:color w:val="000000"/>
          <w:kern w:val="0"/>
          <w:sz w:val="20"/>
          <w:szCs w:val="20"/>
        </w:rPr>
        <w:t>.</w:t>
      </w:r>
      <w:r w:rsidRPr="009B5C8F">
        <w:rPr>
          <w:rFonts w:ascii="Times New Roman" w:eastAsia="等线" w:hAnsi="Times New Roman" w:cs="Times New Roman"/>
          <w:b/>
          <w:bCs/>
          <w:color w:val="000000"/>
          <w:kern w:val="0"/>
          <w:sz w:val="20"/>
          <w:szCs w:val="20"/>
        </w:rPr>
        <w:t xml:space="preserve"> List and taxonomic classifications of the PRS-related core microbial OTUs </w:t>
      </w:r>
      <w:bookmarkEnd w:id="6"/>
    </w:p>
    <w:tbl>
      <w:tblPr>
        <w:tblStyle w:val="a7"/>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14"/>
        <w:gridCol w:w="5132"/>
        <w:gridCol w:w="272"/>
        <w:gridCol w:w="272"/>
        <w:gridCol w:w="272"/>
        <w:gridCol w:w="272"/>
        <w:gridCol w:w="272"/>
      </w:tblGrid>
      <w:tr w:rsidR="009B5C8F" w:rsidRPr="009B5C8F" w14:paraId="0B8BF5F4" w14:textId="77777777" w:rsidTr="003B3198">
        <w:trPr>
          <w:trHeight w:val="285"/>
        </w:trPr>
        <w:tc>
          <w:tcPr>
            <w:tcW w:w="3523" w:type="dxa"/>
            <w:tcBorders>
              <w:top w:val="single" w:sz="4" w:space="0" w:color="auto"/>
              <w:left w:val="nil"/>
              <w:bottom w:val="single" w:sz="4" w:space="0" w:color="auto"/>
              <w:right w:val="nil"/>
            </w:tcBorders>
            <w:noWrap/>
          </w:tcPr>
          <w:p w14:paraId="6D515460" w14:textId="77777777" w:rsidR="009B5C8F" w:rsidRPr="009B5C8F" w:rsidRDefault="009B5C8F" w:rsidP="009B5C8F">
            <w:pPr>
              <w:rPr>
                <w:b/>
                <w:bCs/>
                <w:color w:val="000000"/>
                <w:sz w:val="16"/>
                <w:szCs w:val="16"/>
              </w:rPr>
            </w:pPr>
            <w:r w:rsidRPr="009B5C8F">
              <w:rPr>
                <w:rFonts w:hint="eastAsia"/>
                <w:b/>
                <w:bCs/>
                <w:color w:val="000000"/>
                <w:sz w:val="16"/>
                <w:szCs w:val="16"/>
              </w:rPr>
              <w:t>OTUs</w:t>
            </w:r>
          </w:p>
        </w:tc>
        <w:tc>
          <w:tcPr>
            <w:tcW w:w="12060" w:type="dxa"/>
            <w:gridSpan w:val="6"/>
            <w:tcBorders>
              <w:top w:val="single" w:sz="4" w:space="0" w:color="auto"/>
              <w:left w:val="nil"/>
              <w:bottom w:val="single" w:sz="4" w:space="0" w:color="auto"/>
              <w:right w:val="nil"/>
            </w:tcBorders>
            <w:noWrap/>
          </w:tcPr>
          <w:p w14:paraId="641EC582" w14:textId="77777777" w:rsidR="009B5C8F" w:rsidRPr="009B5C8F" w:rsidRDefault="009B5C8F" w:rsidP="009B5C8F">
            <w:pPr>
              <w:rPr>
                <w:b/>
                <w:bCs/>
                <w:color w:val="000000"/>
                <w:sz w:val="16"/>
                <w:szCs w:val="16"/>
              </w:rPr>
            </w:pPr>
            <w:r w:rsidRPr="009B5C8F">
              <w:rPr>
                <w:rFonts w:hint="eastAsia"/>
                <w:b/>
                <w:bCs/>
                <w:color w:val="000000"/>
                <w:sz w:val="16"/>
                <w:szCs w:val="16"/>
              </w:rPr>
              <w:t>Taxa annotation</w:t>
            </w:r>
          </w:p>
        </w:tc>
      </w:tr>
      <w:tr w:rsidR="009B5C8F" w:rsidRPr="009B5C8F" w14:paraId="02DB6CEC" w14:textId="77777777" w:rsidTr="003B3198">
        <w:trPr>
          <w:trHeight w:val="285"/>
        </w:trPr>
        <w:tc>
          <w:tcPr>
            <w:tcW w:w="3523" w:type="dxa"/>
            <w:tcBorders>
              <w:top w:val="single" w:sz="4" w:space="0" w:color="auto"/>
              <w:left w:val="nil"/>
              <w:bottom w:val="nil"/>
              <w:right w:val="nil"/>
            </w:tcBorders>
            <w:noWrap/>
          </w:tcPr>
          <w:p w14:paraId="1367506F" w14:textId="77777777" w:rsidR="009B5C8F" w:rsidRPr="009B5C8F" w:rsidRDefault="009B5C8F" w:rsidP="009B5C8F">
            <w:pPr>
              <w:rPr>
                <w:color w:val="000000"/>
                <w:sz w:val="16"/>
                <w:szCs w:val="16"/>
              </w:rPr>
            </w:pPr>
            <w:r w:rsidRPr="009B5C8F">
              <w:rPr>
                <w:rFonts w:hint="eastAsia"/>
                <w:color w:val="000000"/>
                <w:sz w:val="16"/>
                <w:szCs w:val="16"/>
              </w:rPr>
              <w:t xml:space="preserve">OTU30210_Clostridiales </w:t>
            </w:r>
            <w:r w:rsidRPr="009B5C8F">
              <w:rPr>
                <w:rFonts w:hint="eastAsia"/>
                <w:i/>
                <w:iCs/>
                <w:color w:val="000000"/>
                <w:sz w:val="16"/>
                <w:szCs w:val="16"/>
              </w:rPr>
              <w:t>spp</w:t>
            </w:r>
          </w:p>
        </w:tc>
        <w:tc>
          <w:tcPr>
            <w:tcW w:w="12060" w:type="dxa"/>
            <w:gridSpan w:val="6"/>
            <w:tcBorders>
              <w:top w:val="single" w:sz="4" w:space="0" w:color="auto"/>
              <w:left w:val="nil"/>
              <w:bottom w:val="nil"/>
              <w:right w:val="nil"/>
            </w:tcBorders>
            <w:noWrap/>
          </w:tcPr>
          <w:p w14:paraId="7D856E0A" w14:textId="77777777" w:rsidR="009B5C8F" w:rsidRPr="009B5C8F" w:rsidRDefault="009B5C8F" w:rsidP="009B5C8F">
            <w:pPr>
              <w:rPr>
                <w:color w:val="000000"/>
                <w:sz w:val="16"/>
                <w:szCs w:val="16"/>
              </w:rPr>
            </w:pPr>
            <w:r w:rsidRPr="009B5C8F">
              <w:rPr>
                <w:rFonts w:hint="eastAsia"/>
                <w:color w:val="000000"/>
                <w:sz w:val="16"/>
                <w:szCs w:val="16"/>
              </w:rPr>
              <w:t>k__Bacteria; p__Firmicutes; c__Clostridia; o__Clostridiales; f__; g__; s__</w:t>
            </w:r>
          </w:p>
        </w:tc>
      </w:tr>
      <w:tr w:rsidR="009B5C8F" w:rsidRPr="009B5C8F" w14:paraId="49A22A8C" w14:textId="77777777" w:rsidTr="003B3198">
        <w:trPr>
          <w:trHeight w:val="285"/>
        </w:trPr>
        <w:tc>
          <w:tcPr>
            <w:tcW w:w="3523" w:type="dxa"/>
            <w:tcBorders>
              <w:top w:val="nil"/>
              <w:left w:val="nil"/>
              <w:bottom w:val="nil"/>
              <w:right w:val="nil"/>
            </w:tcBorders>
            <w:noWrap/>
          </w:tcPr>
          <w:p w14:paraId="36EE53CE" w14:textId="77777777" w:rsidR="009B5C8F" w:rsidRPr="009B5C8F" w:rsidRDefault="009B5C8F" w:rsidP="009B5C8F">
            <w:pPr>
              <w:rPr>
                <w:color w:val="000000"/>
                <w:sz w:val="16"/>
                <w:szCs w:val="16"/>
              </w:rPr>
            </w:pPr>
            <w:r w:rsidRPr="009B5C8F">
              <w:rPr>
                <w:rFonts w:hint="eastAsia"/>
                <w:color w:val="000000"/>
                <w:sz w:val="16"/>
                <w:szCs w:val="16"/>
              </w:rPr>
              <w:t>OTU1090_Unassigned 2</w:t>
            </w:r>
          </w:p>
        </w:tc>
        <w:tc>
          <w:tcPr>
            <w:tcW w:w="10395" w:type="dxa"/>
            <w:tcBorders>
              <w:top w:val="nil"/>
              <w:left w:val="nil"/>
              <w:bottom w:val="nil"/>
              <w:right w:val="nil"/>
            </w:tcBorders>
            <w:noWrap/>
          </w:tcPr>
          <w:p w14:paraId="7011D6E8" w14:textId="77777777" w:rsidR="009B5C8F" w:rsidRPr="009B5C8F" w:rsidRDefault="009B5C8F" w:rsidP="009B5C8F">
            <w:pPr>
              <w:rPr>
                <w:color w:val="000000"/>
                <w:sz w:val="16"/>
                <w:szCs w:val="16"/>
              </w:rPr>
            </w:pPr>
            <w:r w:rsidRPr="009B5C8F">
              <w:rPr>
                <w:rFonts w:hint="eastAsia"/>
                <w:color w:val="000000"/>
                <w:sz w:val="16"/>
                <w:szCs w:val="16"/>
              </w:rPr>
              <w:t>Unassigned</w:t>
            </w:r>
          </w:p>
        </w:tc>
        <w:tc>
          <w:tcPr>
            <w:tcW w:w="333" w:type="dxa"/>
            <w:tcBorders>
              <w:top w:val="nil"/>
              <w:left w:val="nil"/>
              <w:bottom w:val="nil"/>
              <w:right w:val="nil"/>
            </w:tcBorders>
            <w:noWrap/>
          </w:tcPr>
          <w:p w14:paraId="776E87A7" w14:textId="77777777" w:rsidR="009B5C8F" w:rsidRPr="009B5C8F" w:rsidRDefault="009B5C8F" w:rsidP="009B5C8F">
            <w:pPr>
              <w:rPr>
                <w:color w:val="000000"/>
                <w:sz w:val="16"/>
                <w:szCs w:val="16"/>
              </w:rPr>
            </w:pPr>
          </w:p>
        </w:tc>
        <w:tc>
          <w:tcPr>
            <w:tcW w:w="333" w:type="dxa"/>
            <w:tcBorders>
              <w:top w:val="nil"/>
              <w:left w:val="nil"/>
              <w:bottom w:val="nil"/>
              <w:right w:val="nil"/>
            </w:tcBorders>
            <w:noWrap/>
          </w:tcPr>
          <w:p w14:paraId="6656F7CB" w14:textId="77777777" w:rsidR="009B5C8F" w:rsidRPr="009B5C8F" w:rsidRDefault="009B5C8F" w:rsidP="009B5C8F">
            <w:pPr>
              <w:rPr>
                <w:color w:val="000000"/>
                <w:sz w:val="16"/>
                <w:szCs w:val="16"/>
              </w:rPr>
            </w:pPr>
          </w:p>
        </w:tc>
        <w:tc>
          <w:tcPr>
            <w:tcW w:w="333" w:type="dxa"/>
            <w:tcBorders>
              <w:top w:val="nil"/>
              <w:left w:val="nil"/>
              <w:bottom w:val="nil"/>
              <w:right w:val="nil"/>
            </w:tcBorders>
            <w:noWrap/>
          </w:tcPr>
          <w:p w14:paraId="316D16C4" w14:textId="77777777" w:rsidR="009B5C8F" w:rsidRPr="009B5C8F" w:rsidRDefault="009B5C8F" w:rsidP="009B5C8F">
            <w:pPr>
              <w:rPr>
                <w:color w:val="000000"/>
                <w:sz w:val="16"/>
                <w:szCs w:val="16"/>
              </w:rPr>
            </w:pPr>
          </w:p>
        </w:tc>
        <w:tc>
          <w:tcPr>
            <w:tcW w:w="333" w:type="dxa"/>
            <w:tcBorders>
              <w:top w:val="nil"/>
              <w:left w:val="nil"/>
              <w:bottom w:val="nil"/>
              <w:right w:val="nil"/>
            </w:tcBorders>
            <w:noWrap/>
          </w:tcPr>
          <w:p w14:paraId="410F25E2" w14:textId="77777777" w:rsidR="009B5C8F" w:rsidRPr="009B5C8F" w:rsidRDefault="009B5C8F" w:rsidP="009B5C8F">
            <w:pPr>
              <w:rPr>
                <w:color w:val="000000"/>
                <w:sz w:val="16"/>
                <w:szCs w:val="16"/>
              </w:rPr>
            </w:pPr>
          </w:p>
        </w:tc>
        <w:tc>
          <w:tcPr>
            <w:tcW w:w="333" w:type="dxa"/>
            <w:tcBorders>
              <w:top w:val="nil"/>
              <w:left w:val="nil"/>
              <w:bottom w:val="nil"/>
              <w:right w:val="nil"/>
            </w:tcBorders>
            <w:noWrap/>
          </w:tcPr>
          <w:p w14:paraId="7D2D3048" w14:textId="77777777" w:rsidR="009B5C8F" w:rsidRPr="009B5C8F" w:rsidRDefault="009B5C8F" w:rsidP="009B5C8F">
            <w:pPr>
              <w:rPr>
                <w:color w:val="000000"/>
                <w:sz w:val="16"/>
                <w:szCs w:val="16"/>
              </w:rPr>
            </w:pPr>
          </w:p>
        </w:tc>
      </w:tr>
      <w:tr w:rsidR="009B5C8F" w:rsidRPr="009B5C8F" w14:paraId="35DE24C4" w14:textId="77777777" w:rsidTr="003B3198">
        <w:trPr>
          <w:trHeight w:val="285"/>
        </w:trPr>
        <w:tc>
          <w:tcPr>
            <w:tcW w:w="3523" w:type="dxa"/>
            <w:tcBorders>
              <w:top w:val="nil"/>
              <w:left w:val="nil"/>
              <w:bottom w:val="nil"/>
              <w:right w:val="nil"/>
            </w:tcBorders>
            <w:noWrap/>
          </w:tcPr>
          <w:p w14:paraId="6D472861" w14:textId="77777777" w:rsidR="009B5C8F" w:rsidRPr="009B5C8F" w:rsidRDefault="009B5C8F" w:rsidP="009B5C8F">
            <w:pPr>
              <w:rPr>
                <w:color w:val="000000"/>
                <w:sz w:val="16"/>
                <w:szCs w:val="16"/>
              </w:rPr>
            </w:pPr>
            <w:r w:rsidRPr="009B5C8F">
              <w:rPr>
                <w:rFonts w:hint="eastAsia"/>
                <w:color w:val="000000"/>
                <w:sz w:val="16"/>
                <w:szCs w:val="16"/>
              </w:rPr>
              <w:t xml:space="preserve">OTU174751_Clostridium </w:t>
            </w:r>
            <w:r w:rsidRPr="009B5C8F">
              <w:rPr>
                <w:rFonts w:hint="eastAsia"/>
                <w:i/>
                <w:iCs/>
                <w:color w:val="000000"/>
                <w:sz w:val="16"/>
                <w:szCs w:val="16"/>
              </w:rPr>
              <w:t>spp</w:t>
            </w:r>
          </w:p>
        </w:tc>
        <w:tc>
          <w:tcPr>
            <w:tcW w:w="12060" w:type="dxa"/>
            <w:gridSpan w:val="6"/>
            <w:tcBorders>
              <w:top w:val="nil"/>
              <w:left w:val="nil"/>
              <w:bottom w:val="nil"/>
              <w:right w:val="nil"/>
            </w:tcBorders>
            <w:noWrap/>
          </w:tcPr>
          <w:p w14:paraId="5DE5042D" w14:textId="77777777" w:rsidR="009B5C8F" w:rsidRPr="009B5C8F" w:rsidRDefault="009B5C8F" w:rsidP="009B5C8F">
            <w:pPr>
              <w:rPr>
                <w:color w:val="000000"/>
                <w:sz w:val="16"/>
                <w:szCs w:val="16"/>
              </w:rPr>
            </w:pPr>
            <w:r w:rsidRPr="009B5C8F">
              <w:rPr>
                <w:rFonts w:hint="eastAsia"/>
                <w:color w:val="000000"/>
                <w:sz w:val="16"/>
                <w:szCs w:val="16"/>
              </w:rPr>
              <w:t>k__Bacteria; p__Firmicutes; c__Clostridia; o__Clostridiales; f__Clostridiaceae; g__Clostridium; s__</w:t>
            </w:r>
          </w:p>
        </w:tc>
      </w:tr>
      <w:tr w:rsidR="009B5C8F" w:rsidRPr="009B5C8F" w14:paraId="625FBB0B" w14:textId="77777777" w:rsidTr="003B3198">
        <w:trPr>
          <w:trHeight w:val="285"/>
        </w:trPr>
        <w:tc>
          <w:tcPr>
            <w:tcW w:w="3523" w:type="dxa"/>
            <w:tcBorders>
              <w:top w:val="nil"/>
              <w:left w:val="nil"/>
              <w:bottom w:val="nil"/>
              <w:right w:val="nil"/>
            </w:tcBorders>
            <w:noWrap/>
          </w:tcPr>
          <w:p w14:paraId="263534B1" w14:textId="77777777" w:rsidR="009B5C8F" w:rsidRPr="009B5C8F" w:rsidRDefault="009B5C8F" w:rsidP="009B5C8F">
            <w:pPr>
              <w:rPr>
                <w:color w:val="000000"/>
                <w:sz w:val="16"/>
                <w:szCs w:val="16"/>
              </w:rPr>
            </w:pPr>
            <w:r w:rsidRPr="009B5C8F">
              <w:rPr>
                <w:rFonts w:hint="eastAsia"/>
                <w:color w:val="000000"/>
                <w:sz w:val="16"/>
                <w:szCs w:val="16"/>
              </w:rPr>
              <w:t xml:space="preserve">OTU175355_Ruminococcus </w:t>
            </w:r>
            <w:r w:rsidRPr="009B5C8F">
              <w:rPr>
                <w:rFonts w:hint="eastAsia"/>
                <w:i/>
                <w:iCs/>
                <w:color w:val="000000"/>
                <w:sz w:val="16"/>
                <w:szCs w:val="16"/>
              </w:rPr>
              <w:t>gnavus</w:t>
            </w:r>
          </w:p>
        </w:tc>
        <w:tc>
          <w:tcPr>
            <w:tcW w:w="12060" w:type="dxa"/>
            <w:gridSpan w:val="6"/>
            <w:tcBorders>
              <w:top w:val="nil"/>
              <w:left w:val="nil"/>
              <w:bottom w:val="nil"/>
              <w:right w:val="nil"/>
            </w:tcBorders>
            <w:noWrap/>
          </w:tcPr>
          <w:p w14:paraId="62333AB2" w14:textId="77777777" w:rsidR="009B5C8F" w:rsidRPr="009B5C8F" w:rsidRDefault="009B5C8F" w:rsidP="009B5C8F">
            <w:pPr>
              <w:rPr>
                <w:color w:val="000000"/>
                <w:sz w:val="16"/>
                <w:szCs w:val="16"/>
              </w:rPr>
            </w:pPr>
            <w:r w:rsidRPr="009B5C8F">
              <w:rPr>
                <w:rFonts w:hint="eastAsia"/>
                <w:color w:val="000000"/>
                <w:sz w:val="16"/>
                <w:szCs w:val="16"/>
              </w:rPr>
              <w:t>k__Bacteria; p__Firmicutes; c__Clostridia; o__Clostridiales; f__Lachnospiraceae; g__[Ruminococcus]; s__gnavus</w:t>
            </w:r>
          </w:p>
        </w:tc>
      </w:tr>
      <w:tr w:rsidR="009B5C8F" w:rsidRPr="009B5C8F" w14:paraId="1FEF6B99" w14:textId="77777777" w:rsidTr="003B3198">
        <w:trPr>
          <w:trHeight w:val="285"/>
        </w:trPr>
        <w:tc>
          <w:tcPr>
            <w:tcW w:w="3523" w:type="dxa"/>
            <w:tcBorders>
              <w:top w:val="nil"/>
              <w:left w:val="nil"/>
              <w:bottom w:val="nil"/>
              <w:right w:val="nil"/>
            </w:tcBorders>
            <w:noWrap/>
          </w:tcPr>
          <w:p w14:paraId="0D9782EB" w14:textId="77777777" w:rsidR="009B5C8F" w:rsidRPr="009B5C8F" w:rsidRDefault="009B5C8F" w:rsidP="009B5C8F">
            <w:pPr>
              <w:rPr>
                <w:color w:val="000000"/>
                <w:sz w:val="16"/>
                <w:szCs w:val="16"/>
              </w:rPr>
            </w:pPr>
            <w:r w:rsidRPr="009B5C8F">
              <w:rPr>
                <w:rFonts w:hint="eastAsia"/>
                <w:color w:val="000000"/>
                <w:sz w:val="16"/>
                <w:szCs w:val="16"/>
              </w:rPr>
              <w:t>OTU1954_Unassigned 1</w:t>
            </w:r>
          </w:p>
        </w:tc>
        <w:tc>
          <w:tcPr>
            <w:tcW w:w="12060" w:type="dxa"/>
            <w:gridSpan w:val="6"/>
            <w:tcBorders>
              <w:top w:val="nil"/>
              <w:left w:val="nil"/>
              <w:bottom w:val="nil"/>
              <w:right w:val="nil"/>
            </w:tcBorders>
            <w:noWrap/>
          </w:tcPr>
          <w:p w14:paraId="088636C2" w14:textId="77777777" w:rsidR="009B5C8F" w:rsidRPr="009B5C8F" w:rsidRDefault="009B5C8F" w:rsidP="009B5C8F">
            <w:pPr>
              <w:rPr>
                <w:color w:val="000000"/>
                <w:sz w:val="16"/>
                <w:szCs w:val="16"/>
              </w:rPr>
            </w:pPr>
            <w:r w:rsidRPr="009B5C8F">
              <w:rPr>
                <w:rFonts w:hint="eastAsia"/>
                <w:color w:val="000000"/>
                <w:sz w:val="16"/>
                <w:szCs w:val="16"/>
              </w:rPr>
              <w:t>Unassigned</w:t>
            </w:r>
          </w:p>
        </w:tc>
      </w:tr>
      <w:tr w:rsidR="009B5C8F" w:rsidRPr="009B5C8F" w14:paraId="1E74C40D" w14:textId="77777777" w:rsidTr="003B3198">
        <w:trPr>
          <w:trHeight w:val="285"/>
        </w:trPr>
        <w:tc>
          <w:tcPr>
            <w:tcW w:w="3523" w:type="dxa"/>
            <w:tcBorders>
              <w:top w:val="nil"/>
              <w:left w:val="nil"/>
              <w:bottom w:val="nil"/>
              <w:right w:val="nil"/>
            </w:tcBorders>
            <w:noWrap/>
          </w:tcPr>
          <w:p w14:paraId="3EFF8C1F" w14:textId="77777777" w:rsidR="009B5C8F" w:rsidRPr="009B5C8F" w:rsidRDefault="009B5C8F" w:rsidP="009B5C8F">
            <w:pPr>
              <w:rPr>
                <w:color w:val="000000"/>
                <w:sz w:val="16"/>
                <w:szCs w:val="16"/>
              </w:rPr>
            </w:pPr>
            <w:r w:rsidRPr="009B5C8F">
              <w:rPr>
                <w:rFonts w:hint="eastAsia"/>
                <w:color w:val="000000"/>
                <w:sz w:val="16"/>
                <w:szCs w:val="16"/>
              </w:rPr>
              <w:t xml:space="preserve">OTU198475_Ruminococcaceae </w:t>
            </w:r>
            <w:r w:rsidRPr="009B5C8F">
              <w:rPr>
                <w:rFonts w:hint="eastAsia"/>
                <w:i/>
                <w:iCs/>
                <w:color w:val="000000"/>
                <w:sz w:val="16"/>
                <w:szCs w:val="16"/>
              </w:rPr>
              <w:t>spp</w:t>
            </w:r>
            <w:r w:rsidRPr="009B5C8F">
              <w:rPr>
                <w:rFonts w:hint="eastAsia"/>
                <w:color w:val="000000"/>
                <w:sz w:val="16"/>
                <w:szCs w:val="16"/>
              </w:rPr>
              <w:t xml:space="preserve"> 1</w:t>
            </w:r>
          </w:p>
        </w:tc>
        <w:tc>
          <w:tcPr>
            <w:tcW w:w="12060" w:type="dxa"/>
            <w:gridSpan w:val="6"/>
            <w:tcBorders>
              <w:top w:val="nil"/>
              <w:left w:val="nil"/>
              <w:bottom w:val="nil"/>
              <w:right w:val="nil"/>
            </w:tcBorders>
            <w:noWrap/>
          </w:tcPr>
          <w:p w14:paraId="6CAF5C4C" w14:textId="77777777" w:rsidR="009B5C8F" w:rsidRPr="009B5C8F" w:rsidRDefault="009B5C8F" w:rsidP="009B5C8F">
            <w:pPr>
              <w:rPr>
                <w:color w:val="000000"/>
                <w:sz w:val="16"/>
                <w:szCs w:val="16"/>
              </w:rPr>
            </w:pPr>
            <w:r w:rsidRPr="009B5C8F">
              <w:rPr>
                <w:rFonts w:hint="eastAsia"/>
                <w:color w:val="000000"/>
                <w:sz w:val="16"/>
                <w:szCs w:val="16"/>
              </w:rPr>
              <w:t>k__Bacteria; p__Firmicutes; c__Clostridia; o__Clostridiales; f__Ruminococcaceae; g__; s__</w:t>
            </w:r>
          </w:p>
        </w:tc>
      </w:tr>
      <w:tr w:rsidR="009B5C8F" w:rsidRPr="009B5C8F" w14:paraId="0FFF6E9D" w14:textId="77777777" w:rsidTr="003B3198">
        <w:trPr>
          <w:trHeight w:val="285"/>
        </w:trPr>
        <w:tc>
          <w:tcPr>
            <w:tcW w:w="3523" w:type="dxa"/>
            <w:tcBorders>
              <w:top w:val="nil"/>
              <w:left w:val="nil"/>
              <w:bottom w:val="nil"/>
              <w:right w:val="nil"/>
            </w:tcBorders>
            <w:noWrap/>
          </w:tcPr>
          <w:p w14:paraId="0091E4B1" w14:textId="77777777" w:rsidR="009B5C8F" w:rsidRPr="009B5C8F" w:rsidRDefault="009B5C8F" w:rsidP="009B5C8F">
            <w:pPr>
              <w:rPr>
                <w:color w:val="000000"/>
                <w:sz w:val="16"/>
                <w:szCs w:val="16"/>
              </w:rPr>
            </w:pPr>
            <w:r w:rsidRPr="009B5C8F">
              <w:rPr>
                <w:rFonts w:hint="eastAsia"/>
                <w:color w:val="000000"/>
                <w:sz w:val="16"/>
                <w:szCs w:val="16"/>
              </w:rPr>
              <w:t xml:space="preserve">OTU212681_Blautia </w:t>
            </w:r>
            <w:r w:rsidRPr="009B5C8F">
              <w:rPr>
                <w:rFonts w:hint="eastAsia"/>
                <w:i/>
                <w:iCs/>
                <w:color w:val="000000"/>
                <w:sz w:val="16"/>
                <w:szCs w:val="16"/>
              </w:rPr>
              <w:t>spp</w:t>
            </w:r>
          </w:p>
        </w:tc>
        <w:tc>
          <w:tcPr>
            <w:tcW w:w="12060" w:type="dxa"/>
            <w:gridSpan w:val="6"/>
            <w:tcBorders>
              <w:top w:val="nil"/>
              <w:left w:val="nil"/>
              <w:bottom w:val="nil"/>
              <w:right w:val="nil"/>
            </w:tcBorders>
            <w:noWrap/>
          </w:tcPr>
          <w:p w14:paraId="77FF1617" w14:textId="77777777" w:rsidR="009B5C8F" w:rsidRPr="009B5C8F" w:rsidRDefault="009B5C8F" w:rsidP="009B5C8F">
            <w:pPr>
              <w:rPr>
                <w:color w:val="000000"/>
                <w:sz w:val="16"/>
                <w:szCs w:val="16"/>
              </w:rPr>
            </w:pPr>
            <w:r w:rsidRPr="009B5C8F">
              <w:rPr>
                <w:rFonts w:hint="eastAsia"/>
                <w:color w:val="000000"/>
                <w:sz w:val="16"/>
                <w:szCs w:val="16"/>
              </w:rPr>
              <w:t>k__Bacteria; p__Firmicutes; c__Clostridia; o__Clostridiales; f__Lachnospiraceae; g__Blautia; s__</w:t>
            </w:r>
          </w:p>
        </w:tc>
      </w:tr>
      <w:tr w:rsidR="009B5C8F" w:rsidRPr="009B5C8F" w14:paraId="1ED91E2D" w14:textId="77777777" w:rsidTr="003B3198">
        <w:trPr>
          <w:trHeight w:val="285"/>
        </w:trPr>
        <w:tc>
          <w:tcPr>
            <w:tcW w:w="3523" w:type="dxa"/>
            <w:tcBorders>
              <w:top w:val="nil"/>
              <w:left w:val="nil"/>
              <w:bottom w:val="nil"/>
              <w:right w:val="nil"/>
            </w:tcBorders>
            <w:noWrap/>
          </w:tcPr>
          <w:p w14:paraId="55433E99" w14:textId="77777777" w:rsidR="009B5C8F" w:rsidRPr="009B5C8F" w:rsidRDefault="009B5C8F" w:rsidP="009B5C8F">
            <w:pPr>
              <w:rPr>
                <w:color w:val="000000"/>
                <w:sz w:val="16"/>
                <w:szCs w:val="16"/>
              </w:rPr>
            </w:pPr>
            <w:r w:rsidRPr="009B5C8F">
              <w:rPr>
                <w:rFonts w:hint="eastAsia"/>
                <w:color w:val="000000"/>
                <w:sz w:val="16"/>
                <w:szCs w:val="16"/>
              </w:rPr>
              <w:t xml:space="preserve">OTU27582_Klebsiella </w:t>
            </w:r>
            <w:r w:rsidRPr="009B5C8F">
              <w:rPr>
                <w:rFonts w:hint="eastAsia"/>
                <w:i/>
                <w:iCs/>
                <w:color w:val="000000"/>
                <w:sz w:val="16"/>
                <w:szCs w:val="16"/>
              </w:rPr>
              <w:t>spp</w:t>
            </w:r>
          </w:p>
        </w:tc>
        <w:tc>
          <w:tcPr>
            <w:tcW w:w="12060" w:type="dxa"/>
            <w:gridSpan w:val="6"/>
            <w:tcBorders>
              <w:top w:val="nil"/>
              <w:left w:val="nil"/>
              <w:bottom w:val="nil"/>
              <w:right w:val="nil"/>
            </w:tcBorders>
            <w:noWrap/>
          </w:tcPr>
          <w:p w14:paraId="0FC54AF4" w14:textId="77777777" w:rsidR="009B5C8F" w:rsidRPr="009B5C8F" w:rsidRDefault="009B5C8F" w:rsidP="009B5C8F">
            <w:pPr>
              <w:rPr>
                <w:color w:val="000000"/>
                <w:sz w:val="16"/>
                <w:szCs w:val="16"/>
              </w:rPr>
            </w:pPr>
            <w:r w:rsidRPr="009B5C8F">
              <w:rPr>
                <w:rFonts w:hint="eastAsia"/>
                <w:color w:val="000000"/>
                <w:sz w:val="16"/>
                <w:szCs w:val="16"/>
              </w:rPr>
              <w:t>k__Bacteria; p__Proteobacteria; c__Gammaproteobacteria; o__Enterobacteriales; f__Enterobacteriaceae; g__Klebsiella; s__</w:t>
            </w:r>
          </w:p>
        </w:tc>
      </w:tr>
      <w:tr w:rsidR="009B5C8F" w:rsidRPr="009B5C8F" w14:paraId="0B5334B2" w14:textId="77777777" w:rsidTr="003B3198">
        <w:trPr>
          <w:trHeight w:val="285"/>
        </w:trPr>
        <w:tc>
          <w:tcPr>
            <w:tcW w:w="3523" w:type="dxa"/>
            <w:tcBorders>
              <w:top w:val="nil"/>
              <w:left w:val="nil"/>
              <w:bottom w:val="nil"/>
              <w:right w:val="nil"/>
            </w:tcBorders>
            <w:noWrap/>
          </w:tcPr>
          <w:p w14:paraId="0A676C48" w14:textId="77777777" w:rsidR="009B5C8F" w:rsidRPr="009B5C8F" w:rsidRDefault="009B5C8F" w:rsidP="009B5C8F">
            <w:pPr>
              <w:rPr>
                <w:color w:val="000000"/>
                <w:sz w:val="16"/>
                <w:szCs w:val="16"/>
              </w:rPr>
            </w:pPr>
            <w:r w:rsidRPr="009B5C8F">
              <w:rPr>
                <w:rFonts w:hint="eastAsia"/>
                <w:color w:val="000000"/>
                <w:sz w:val="16"/>
                <w:szCs w:val="16"/>
              </w:rPr>
              <w:t xml:space="preserve">OTU30109_Streptococcus </w:t>
            </w:r>
            <w:r w:rsidRPr="009B5C8F">
              <w:rPr>
                <w:rFonts w:hint="eastAsia"/>
                <w:i/>
                <w:iCs/>
                <w:color w:val="000000"/>
                <w:sz w:val="16"/>
                <w:szCs w:val="16"/>
              </w:rPr>
              <w:t>spp</w:t>
            </w:r>
            <w:r w:rsidRPr="009B5C8F">
              <w:rPr>
                <w:rFonts w:hint="eastAsia"/>
                <w:color w:val="000000"/>
                <w:sz w:val="16"/>
                <w:szCs w:val="16"/>
              </w:rPr>
              <w:t xml:space="preserve"> 2</w:t>
            </w:r>
          </w:p>
        </w:tc>
        <w:tc>
          <w:tcPr>
            <w:tcW w:w="12060" w:type="dxa"/>
            <w:gridSpan w:val="6"/>
            <w:tcBorders>
              <w:top w:val="nil"/>
              <w:left w:val="nil"/>
              <w:bottom w:val="nil"/>
              <w:right w:val="nil"/>
            </w:tcBorders>
            <w:noWrap/>
          </w:tcPr>
          <w:p w14:paraId="3CB1C805" w14:textId="77777777" w:rsidR="009B5C8F" w:rsidRPr="009B5C8F" w:rsidRDefault="009B5C8F" w:rsidP="009B5C8F">
            <w:pPr>
              <w:rPr>
                <w:color w:val="000000"/>
                <w:sz w:val="16"/>
                <w:szCs w:val="16"/>
              </w:rPr>
            </w:pPr>
            <w:r w:rsidRPr="009B5C8F">
              <w:rPr>
                <w:rFonts w:hint="eastAsia"/>
                <w:color w:val="000000"/>
                <w:sz w:val="16"/>
                <w:szCs w:val="16"/>
              </w:rPr>
              <w:t>k__Bacteria; p__Firmicutes; c__Bacilli; o__Lactobacillales; f__Streptococcaceae; g__Streptococcus; s__</w:t>
            </w:r>
          </w:p>
        </w:tc>
      </w:tr>
      <w:tr w:rsidR="009B5C8F" w:rsidRPr="009B5C8F" w14:paraId="5CFE90CD" w14:textId="77777777" w:rsidTr="003B3198">
        <w:trPr>
          <w:trHeight w:val="285"/>
        </w:trPr>
        <w:tc>
          <w:tcPr>
            <w:tcW w:w="3523" w:type="dxa"/>
            <w:tcBorders>
              <w:top w:val="nil"/>
              <w:left w:val="nil"/>
              <w:bottom w:val="nil"/>
              <w:right w:val="nil"/>
            </w:tcBorders>
            <w:noWrap/>
          </w:tcPr>
          <w:p w14:paraId="12195214" w14:textId="77777777" w:rsidR="009B5C8F" w:rsidRPr="009B5C8F" w:rsidRDefault="009B5C8F" w:rsidP="009B5C8F">
            <w:pPr>
              <w:rPr>
                <w:color w:val="000000"/>
                <w:sz w:val="16"/>
                <w:szCs w:val="16"/>
              </w:rPr>
            </w:pPr>
            <w:r w:rsidRPr="009B5C8F">
              <w:rPr>
                <w:rFonts w:hint="eastAsia"/>
                <w:color w:val="000000"/>
                <w:sz w:val="16"/>
                <w:szCs w:val="16"/>
              </w:rPr>
              <w:t xml:space="preserve">OTU358_Bacteroides </w:t>
            </w:r>
            <w:r w:rsidRPr="009B5C8F">
              <w:rPr>
                <w:rFonts w:hint="eastAsia"/>
                <w:i/>
                <w:iCs/>
                <w:color w:val="000000"/>
                <w:sz w:val="16"/>
                <w:szCs w:val="16"/>
              </w:rPr>
              <w:t>ovatus</w:t>
            </w:r>
            <w:r w:rsidRPr="009B5C8F">
              <w:rPr>
                <w:rFonts w:hint="eastAsia"/>
                <w:color w:val="000000"/>
                <w:sz w:val="16"/>
                <w:szCs w:val="16"/>
              </w:rPr>
              <w:t xml:space="preserve"> 2</w:t>
            </w:r>
          </w:p>
        </w:tc>
        <w:tc>
          <w:tcPr>
            <w:tcW w:w="12060" w:type="dxa"/>
            <w:gridSpan w:val="6"/>
            <w:tcBorders>
              <w:top w:val="nil"/>
              <w:left w:val="nil"/>
              <w:bottom w:val="nil"/>
              <w:right w:val="nil"/>
            </w:tcBorders>
            <w:noWrap/>
          </w:tcPr>
          <w:p w14:paraId="706E92B1" w14:textId="77777777" w:rsidR="009B5C8F" w:rsidRPr="009B5C8F" w:rsidRDefault="009B5C8F" w:rsidP="009B5C8F">
            <w:pPr>
              <w:rPr>
                <w:color w:val="000000"/>
                <w:sz w:val="16"/>
                <w:szCs w:val="16"/>
              </w:rPr>
            </w:pPr>
            <w:r w:rsidRPr="009B5C8F">
              <w:rPr>
                <w:rFonts w:hint="eastAsia"/>
                <w:color w:val="000000"/>
                <w:sz w:val="16"/>
                <w:szCs w:val="16"/>
              </w:rPr>
              <w:t>k__Bacteria; p__Bacteroidetes; c__Bacteroidia; o__Bacteroidales; f__Bacteroidaceae; g__Bacteroides; s__ovatus</w:t>
            </w:r>
          </w:p>
        </w:tc>
      </w:tr>
      <w:tr w:rsidR="009B5C8F" w:rsidRPr="009B5C8F" w14:paraId="29D580D3" w14:textId="77777777" w:rsidTr="003B3198">
        <w:trPr>
          <w:trHeight w:val="285"/>
        </w:trPr>
        <w:tc>
          <w:tcPr>
            <w:tcW w:w="3523" w:type="dxa"/>
            <w:tcBorders>
              <w:top w:val="nil"/>
              <w:left w:val="nil"/>
              <w:bottom w:val="nil"/>
              <w:right w:val="nil"/>
            </w:tcBorders>
            <w:noWrap/>
          </w:tcPr>
          <w:p w14:paraId="2D05F618" w14:textId="77777777" w:rsidR="009B5C8F" w:rsidRPr="009B5C8F" w:rsidRDefault="009B5C8F" w:rsidP="009B5C8F">
            <w:pPr>
              <w:rPr>
                <w:color w:val="000000"/>
                <w:sz w:val="16"/>
                <w:szCs w:val="16"/>
              </w:rPr>
            </w:pPr>
            <w:r w:rsidRPr="009B5C8F">
              <w:rPr>
                <w:rFonts w:hint="eastAsia"/>
                <w:color w:val="000000"/>
                <w:sz w:val="16"/>
                <w:szCs w:val="16"/>
              </w:rPr>
              <w:t xml:space="preserve">OTU3653_Bacteroides </w:t>
            </w:r>
            <w:r w:rsidRPr="009B5C8F">
              <w:rPr>
                <w:rFonts w:hint="eastAsia"/>
                <w:i/>
                <w:iCs/>
                <w:color w:val="000000"/>
                <w:sz w:val="16"/>
                <w:szCs w:val="16"/>
              </w:rPr>
              <w:t xml:space="preserve">ovatus </w:t>
            </w:r>
            <w:r w:rsidRPr="009B5C8F">
              <w:rPr>
                <w:rFonts w:hint="eastAsia"/>
                <w:color w:val="000000"/>
                <w:sz w:val="16"/>
                <w:szCs w:val="16"/>
              </w:rPr>
              <w:t>1</w:t>
            </w:r>
          </w:p>
        </w:tc>
        <w:tc>
          <w:tcPr>
            <w:tcW w:w="12060" w:type="dxa"/>
            <w:gridSpan w:val="6"/>
            <w:tcBorders>
              <w:top w:val="nil"/>
              <w:left w:val="nil"/>
              <w:bottom w:val="nil"/>
              <w:right w:val="nil"/>
            </w:tcBorders>
            <w:noWrap/>
          </w:tcPr>
          <w:p w14:paraId="58BEC697" w14:textId="77777777" w:rsidR="009B5C8F" w:rsidRPr="009B5C8F" w:rsidRDefault="009B5C8F" w:rsidP="009B5C8F">
            <w:pPr>
              <w:rPr>
                <w:color w:val="000000"/>
                <w:sz w:val="16"/>
                <w:szCs w:val="16"/>
              </w:rPr>
            </w:pPr>
            <w:r w:rsidRPr="009B5C8F">
              <w:rPr>
                <w:rFonts w:hint="eastAsia"/>
                <w:color w:val="000000"/>
                <w:sz w:val="16"/>
                <w:szCs w:val="16"/>
              </w:rPr>
              <w:t>k__Bacteria; p__Bacteroidetes; c__Bacteroidia; o__Bacteroidales; f__Bacteroidaceae; g__Bacteroides; s__ovatus</w:t>
            </w:r>
          </w:p>
        </w:tc>
      </w:tr>
      <w:tr w:rsidR="009B5C8F" w:rsidRPr="009B5C8F" w14:paraId="29D63872" w14:textId="77777777" w:rsidTr="003B3198">
        <w:trPr>
          <w:trHeight w:val="285"/>
        </w:trPr>
        <w:tc>
          <w:tcPr>
            <w:tcW w:w="3523" w:type="dxa"/>
            <w:tcBorders>
              <w:top w:val="nil"/>
              <w:left w:val="nil"/>
              <w:bottom w:val="nil"/>
              <w:right w:val="nil"/>
            </w:tcBorders>
            <w:noWrap/>
          </w:tcPr>
          <w:p w14:paraId="7EBBDCB1" w14:textId="77777777" w:rsidR="009B5C8F" w:rsidRPr="009B5C8F" w:rsidRDefault="009B5C8F" w:rsidP="009B5C8F">
            <w:pPr>
              <w:rPr>
                <w:color w:val="000000"/>
                <w:sz w:val="16"/>
                <w:szCs w:val="16"/>
              </w:rPr>
            </w:pPr>
            <w:r w:rsidRPr="009B5C8F">
              <w:rPr>
                <w:rFonts w:hint="eastAsia"/>
                <w:color w:val="000000"/>
                <w:sz w:val="16"/>
                <w:szCs w:val="16"/>
              </w:rPr>
              <w:t xml:space="preserve">OTU437_Streptococcus </w:t>
            </w:r>
            <w:r w:rsidRPr="009B5C8F">
              <w:rPr>
                <w:rFonts w:hint="eastAsia"/>
                <w:i/>
                <w:iCs/>
                <w:color w:val="000000"/>
                <w:sz w:val="16"/>
                <w:szCs w:val="16"/>
              </w:rPr>
              <w:t>spp</w:t>
            </w:r>
            <w:r w:rsidRPr="009B5C8F">
              <w:rPr>
                <w:rFonts w:hint="eastAsia"/>
                <w:color w:val="000000"/>
                <w:sz w:val="16"/>
                <w:szCs w:val="16"/>
              </w:rPr>
              <w:t xml:space="preserve"> 1</w:t>
            </w:r>
          </w:p>
        </w:tc>
        <w:tc>
          <w:tcPr>
            <w:tcW w:w="12060" w:type="dxa"/>
            <w:gridSpan w:val="6"/>
            <w:tcBorders>
              <w:top w:val="nil"/>
              <w:left w:val="nil"/>
              <w:bottom w:val="nil"/>
              <w:right w:val="nil"/>
            </w:tcBorders>
            <w:noWrap/>
          </w:tcPr>
          <w:p w14:paraId="080E5B6E" w14:textId="77777777" w:rsidR="009B5C8F" w:rsidRPr="009B5C8F" w:rsidRDefault="009B5C8F" w:rsidP="009B5C8F">
            <w:pPr>
              <w:rPr>
                <w:color w:val="000000"/>
                <w:sz w:val="16"/>
                <w:szCs w:val="16"/>
              </w:rPr>
            </w:pPr>
            <w:r w:rsidRPr="009B5C8F">
              <w:rPr>
                <w:rFonts w:hint="eastAsia"/>
                <w:color w:val="000000"/>
                <w:sz w:val="16"/>
                <w:szCs w:val="16"/>
              </w:rPr>
              <w:t>k__Bacteria; p__Firmicutes; c__Bacilli; o__Lactobacillales; f__Streptococcaceae; g__Streptococcus; s__</w:t>
            </w:r>
          </w:p>
        </w:tc>
      </w:tr>
      <w:tr w:rsidR="009B5C8F" w:rsidRPr="009B5C8F" w14:paraId="369AE391" w14:textId="77777777" w:rsidTr="003B3198">
        <w:trPr>
          <w:trHeight w:val="285"/>
        </w:trPr>
        <w:tc>
          <w:tcPr>
            <w:tcW w:w="3523" w:type="dxa"/>
            <w:tcBorders>
              <w:top w:val="nil"/>
              <w:left w:val="nil"/>
              <w:bottom w:val="nil"/>
              <w:right w:val="nil"/>
            </w:tcBorders>
            <w:noWrap/>
          </w:tcPr>
          <w:p w14:paraId="1A402AB5" w14:textId="77777777" w:rsidR="009B5C8F" w:rsidRPr="009B5C8F" w:rsidRDefault="009B5C8F" w:rsidP="009B5C8F">
            <w:pPr>
              <w:rPr>
                <w:color w:val="000000"/>
                <w:sz w:val="16"/>
                <w:szCs w:val="16"/>
              </w:rPr>
            </w:pPr>
            <w:r w:rsidRPr="009B5C8F">
              <w:rPr>
                <w:rFonts w:hint="eastAsia"/>
                <w:color w:val="000000"/>
                <w:sz w:val="16"/>
                <w:szCs w:val="16"/>
              </w:rPr>
              <w:t xml:space="preserve">OTU662_Streptococcus </w:t>
            </w:r>
            <w:r w:rsidRPr="009B5C8F">
              <w:rPr>
                <w:rFonts w:hint="eastAsia"/>
                <w:i/>
                <w:iCs/>
                <w:color w:val="000000"/>
                <w:sz w:val="16"/>
                <w:szCs w:val="16"/>
              </w:rPr>
              <w:t xml:space="preserve">spp </w:t>
            </w:r>
            <w:r w:rsidRPr="009B5C8F">
              <w:rPr>
                <w:rFonts w:hint="eastAsia"/>
                <w:color w:val="000000"/>
                <w:sz w:val="16"/>
                <w:szCs w:val="16"/>
              </w:rPr>
              <w:t>3</w:t>
            </w:r>
          </w:p>
        </w:tc>
        <w:tc>
          <w:tcPr>
            <w:tcW w:w="12060" w:type="dxa"/>
            <w:gridSpan w:val="6"/>
            <w:tcBorders>
              <w:top w:val="nil"/>
              <w:left w:val="nil"/>
              <w:bottom w:val="nil"/>
              <w:right w:val="nil"/>
            </w:tcBorders>
            <w:noWrap/>
          </w:tcPr>
          <w:p w14:paraId="2AB32B8F" w14:textId="77777777" w:rsidR="009B5C8F" w:rsidRPr="009B5C8F" w:rsidRDefault="009B5C8F" w:rsidP="009B5C8F">
            <w:pPr>
              <w:rPr>
                <w:color w:val="000000"/>
                <w:sz w:val="16"/>
                <w:szCs w:val="16"/>
              </w:rPr>
            </w:pPr>
            <w:r w:rsidRPr="009B5C8F">
              <w:rPr>
                <w:rFonts w:hint="eastAsia"/>
                <w:color w:val="000000"/>
                <w:sz w:val="16"/>
                <w:szCs w:val="16"/>
              </w:rPr>
              <w:t>k__Bacteria; p__Firmicutes; c__Bacilli; o__Lactobacillales; f__Streptococcaceae; g__Streptococcus; s__</w:t>
            </w:r>
          </w:p>
        </w:tc>
      </w:tr>
      <w:tr w:rsidR="009B5C8F" w:rsidRPr="009B5C8F" w14:paraId="0E2E14FB" w14:textId="77777777" w:rsidTr="003B3198">
        <w:trPr>
          <w:trHeight w:val="285"/>
        </w:trPr>
        <w:tc>
          <w:tcPr>
            <w:tcW w:w="3523" w:type="dxa"/>
            <w:tcBorders>
              <w:top w:val="nil"/>
              <w:left w:val="nil"/>
              <w:bottom w:val="nil"/>
              <w:right w:val="nil"/>
            </w:tcBorders>
            <w:noWrap/>
          </w:tcPr>
          <w:p w14:paraId="6F190A9D" w14:textId="77777777" w:rsidR="009B5C8F" w:rsidRPr="009B5C8F" w:rsidRDefault="009B5C8F" w:rsidP="009B5C8F">
            <w:pPr>
              <w:rPr>
                <w:color w:val="000000"/>
                <w:sz w:val="16"/>
                <w:szCs w:val="16"/>
              </w:rPr>
            </w:pPr>
            <w:r w:rsidRPr="009B5C8F">
              <w:rPr>
                <w:rFonts w:hint="eastAsia"/>
                <w:color w:val="000000"/>
                <w:sz w:val="16"/>
                <w:szCs w:val="16"/>
              </w:rPr>
              <w:t>OTU743_Unassigned 3</w:t>
            </w:r>
          </w:p>
        </w:tc>
        <w:tc>
          <w:tcPr>
            <w:tcW w:w="12060" w:type="dxa"/>
            <w:gridSpan w:val="6"/>
            <w:tcBorders>
              <w:top w:val="nil"/>
              <w:left w:val="nil"/>
              <w:bottom w:val="nil"/>
              <w:right w:val="nil"/>
            </w:tcBorders>
            <w:noWrap/>
          </w:tcPr>
          <w:p w14:paraId="2EB91A2E" w14:textId="77777777" w:rsidR="009B5C8F" w:rsidRPr="009B5C8F" w:rsidRDefault="009B5C8F" w:rsidP="009B5C8F">
            <w:pPr>
              <w:rPr>
                <w:color w:val="000000"/>
                <w:sz w:val="16"/>
                <w:szCs w:val="16"/>
              </w:rPr>
            </w:pPr>
            <w:r w:rsidRPr="009B5C8F">
              <w:rPr>
                <w:rFonts w:hint="eastAsia"/>
                <w:color w:val="000000"/>
                <w:sz w:val="16"/>
                <w:szCs w:val="16"/>
              </w:rPr>
              <w:t>Unassigned</w:t>
            </w:r>
          </w:p>
        </w:tc>
      </w:tr>
      <w:tr w:rsidR="009B5C8F" w:rsidRPr="009B5C8F" w14:paraId="15860BBD" w14:textId="77777777" w:rsidTr="003B3198">
        <w:trPr>
          <w:trHeight w:val="285"/>
        </w:trPr>
        <w:tc>
          <w:tcPr>
            <w:tcW w:w="3523" w:type="dxa"/>
            <w:tcBorders>
              <w:top w:val="nil"/>
              <w:left w:val="nil"/>
              <w:bottom w:val="nil"/>
              <w:right w:val="nil"/>
            </w:tcBorders>
            <w:noWrap/>
          </w:tcPr>
          <w:p w14:paraId="18E7927D" w14:textId="77777777" w:rsidR="009B5C8F" w:rsidRPr="009B5C8F" w:rsidRDefault="009B5C8F" w:rsidP="009B5C8F">
            <w:pPr>
              <w:rPr>
                <w:color w:val="000000"/>
                <w:sz w:val="16"/>
                <w:szCs w:val="16"/>
              </w:rPr>
            </w:pPr>
            <w:r w:rsidRPr="009B5C8F">
              <w:rPr>
                <w:rFonts w:hint="eastAsia"/>
                <w:color w:val="000000"/>
                <w:sz w:val="16"/>
                <w:szCs w:val="16"/>
              </w:rPr>
              <w:t xml:space="preserve">OTU808_Lactobacillus </w:t>
            </w:r>
            <w:r w:rsidRPr="009B5C8F">
              <w:rPr>
                <w:rFonts w:hint="eastAsia"/>
                <w:i/>
                <w:iCs/>
                <w:color w:val="000000"/>
                <w:sz w:val="16"/>
                <w:szCs w:val="16"/>
              </w:rPr>
              <w:t>spp</w:t>
            </w:r>
          </w:p>
        </w:tc>
        <w:tc>
          <w:tcPr>
            <w:tcW w:w="12060" w:type="dxa"/>
            <w:gridSpan w:val="6"/>
            <w:tcBorders>
              <w:top w:val="nil"/>
              <w:left w:val="nil"/>
              <w:bottom w:val="nil"/>
              <w:right w:val="nil"/>
            </w:tcBorders>
            <w:noWrap/>
          </w:tcPr>
          <w:p w14:paraId="06EB8CD2" w14:textId="77777777" w:rsidR="009B5C8F" w:rsidRPr="009B5C8F" w:rsidRDefault="009B5C8F" w:rsidP="009B5C8F">
            <w:pPr>
              <w:rPr>
                <w:color w:val="000000"/>
                <w:sz w:val="16"/>
                <w:szCs w:val="16"/>
              </w:rPr>
            </w:pPr>
            <w:r w:rsidRPr="009B5C8F">
              <w:rPr>
                <w:rFonts w:hint="eastAsia"/>
                <w:color w:val="000000"/>
                <w:sz w:val="16"/>
                <w:szCs w:val="16"/>
              </w:rPr>
              <w:t>k__Bacteria; p__Firmicutes; c__Bacilli; o__Lactobacillales; f__Lactobacillaceae; g__Lactobacillus; s__</w:t>
            </w:r>
          </w:p>
        </w:tc>
      </w:tr>
      <w:tr w:rsidR="009B5C8F" w:rsidRPr="009B5C8F" w14:paraId="3D351D2D" w14:textId="77777777" w:rsidTr="003B3198">
        <w:trPr>
          <w:trHeight w:val="285"/>
        </w:trPr>
        <w:tc>
          <w:tcPr>
            <w:tcW w:w="3523" w:type="dxa"/>
            <w:tcBorders>
              <w:top w:val="nil"/>
              <w:left w:val="nil"/>
              <w:bottom w:val="nil"/>
              <w:right w:val="nil"/>
            </w:tcBorders>
            <w:noWrap/>
          </w:tcPr>
          <w:p w14:paraId="527D1505" w14:textId="77777777" w:rsidR="009B5C8F" w:rsidRPr="009B5C8F" w:rsidRDefault="009B5C8F" w:rsidP="009B5C8F">
            <w:pPr>
              <w:rPr>
                <w:color w:val="000000"/>
                <w:sz w:val="16"/>
                <w:szCs w:val="16"/>
              </w:rPr>
            </w:pPr>
            <w:r w:rsidRPr="009B5C8F">
              <w:rPr>
                <w:rFonts w:hint="eastAsia"/>
                <w:color w:val="000000"/>
                <w:sz w:val="16"/>
                <w:szCs w:val="16"/>
              </w:rPr>
              <w:t xml:space="preserve">OTU87798_Bacteroides </w:t>
            </w:r>
            <w:r w:rsidRPr="009B5C8F">
              <w:rPr>
                <w:rFonts w:hint="eastAsia"/>
                <w:i/>
                <w:iCs/>
                <w:color w:val="000000"/>
                <w:sz w:val="16"/>
                <w:szCs w:val="16"/>
              </w:rPr>
              <w:t>spp</w:t>
            </w:r>
            <w:r w:rsidRPr="009B5C8F">
              <w:rPr>
                <w:rFonts w:hint="eastAsia"/>
                <w:color w:val="000000"/>
                <w:sz w:val="16"/>
                <w:szCs w:val="16"/>
              </w:rPr>
              <w:t xml:space="preserve"> 2</w:t>
            </w:r>
          </w:p>
        </w:tc>
        <w:tc>
          <w:tcPr>
            <w:tcW w:w="12060" w:type="dxa"/>
            <w:gridSpan w:val="6"/>
            <w:tcBorders>
              <w:top w:val="nil"/>
              <w:left w:val="nil"/>
              <w:bottom w:val="nil"/>
              <w:right w:val="nil"/>
            </w:tcBorders>
            <w:noWrap/>
          </w:tcPr>
          <w:p w14:paraId="239C45F9" w14:textId="77777777" w:rsidR="009B5C8F" w:rsidRPr="009B5C8F" w:rsidRDefault="009B5C8F" w:rsidP="009B5C8F">
            <w:pPr>
              <w:rPr>
                <w:color w:val="000000"/>
                <w:sz w:val="16"/>
                <w:szCs w:val="16"/>
              </w:rPr>
            </w:pPr>
            <w:r w:rsidRPr="009B5C8F">
              <w:rPr>
                <w:rFonts w:hint="eastAsia"/>
                <w:color w:val="000000"/>
                <w:sz w:val="16"/>
                <w:szCs w:val="16"/>
              </w:rPr>
              <w:t>k__Bacteria; p__Bacteroidetes; c__Bacteroidia; o__Bacteroidales; f__Bacteroidaceae; g__Bacteroides; s__</w:t>
            </w:r>
          </w:p>
        </w:tc>
      </w:tr>
      <w:tr w:rsidR="009B5C8F" w:rsidRPr="009B5C8F" w14:paraId="6058D292" w14:textId="77777777" w:rsidTr="003B3198">
        <w:trPr>
          <w:trHeight w:val="285"/>
        </w:trPr>
        <w:tc>
          <w:tcPr>
            <w:tcW w:w="3523" w:type="dxa"/>
            <w:tcBorders>
              <w:top w:val="nil"/>
              <w:left w:val="nil"/>
              <w:bottom w:val="nil"/>
              <w:right w:val="nil"/>
            </w:tcBorders>
            <w:noWrap/>
          </w:tcPr>
          <w:p w14:paraId="39AD1845" w14:textId="77777777" w:rsidR="009B5C8F" w:rsidRPr="009B5C8F" w:rsidRDefault="009B5C8F" w:rsidP="009B5C8F">
            <w:pPr>
              <w:rPr>
                <w:color w:val="000000"/>
                <w:sz w:val="16"/>
                <w:szCs w:val="16"/>
              </w:rPr>
            </w:pPr>
            <w:r w:rsidRPr="009B5C8F">
              <w:rPr>
                <w:rFonts w:hint="eastAsia"/>
                <w:color w:val="000000"/>
                <w:sz w:val="16"/>
                <w:szCs w:val="16"/>
              </w:rPr>
              <w:t xml:space="preserve">OTU87996_Bacteroides </w:t>
            </w:r>
            <w:r w:rsidRPr="009B5C8F">
              <w:rPr>
                <w:rFonts w:hint="eastAsia"/>
                <w:i/>
                <w:iCs/>
                <w:color w:val="000000"/>
                <w:sz w:val="16"/>
                <w:szCs w:val="16"/>
              </w:rPr>
              <w:t>ovatus</w:t>
            </w:r>
            <w:r w:rsidRPr="009B5C8F">
              <w:rPr>
                <w:rFonts w:hint="eastAsia"/>
                <w:color w:val="000000"/>
                <w:sz w:val="16"/>
                <w:szCs w:val="16"/>
              </w:rPr>
              <w:t xml:space="preserve"> 3</w:t>
            </w:r>
          </w:p>
        </w:tc>
        <w:tc>
          <w:tcPr>
            <w:tcW w:w="12060" w:type="dxa"/>
            <w:gridSpan w:val="6"/>
            <w:tcBorders>
              <w:top w:val="nil"/>
              <w:left w:val="nil"/>
              <w:bottom w:val="nil"/>
              <w:right w:val="nil"/>
            </w:tcBorders>
            <w:noWrap/>
          </w:tcPr>
          <w:p w14:paraId="4088EF80" w14:textId="77777777" w:rsidR="009B5C8F" w:rsidRPr="009B5C8F" w:rsidRDefault="009B5C8F" w:rsidP="009B5C8F">
            <w:pPr>
              <w:rPr>
                <w:color w:val="000000"/>
                <w:sz w:val="16"/>
                <w:szCs w:val="16"/>
              </w:rPr>
            </w:pPr>
            <w:r w:rsidRPr="009B5C8F">
              <w:rPr>
                <w:rFonts w:hint="eastAsia"/>
                <w:color w:val="000000"/>
                <w:sz w:val="16"/>
                <w:szCs w:val="16"/>
              </w:rPr>
              <w:t>k__Bacteria; p__Bacteroidetes; c__Bacteroidia; o__Bacteroidales; f__Bacteroidaceae; g__Bacteroides; s__ovatus</w:t>
            </w:r>
          </w:p>
        </w:tc>
      </w:tr>
      <w:tr w:rsidR="009B5C8F" w:rsidRPr="009B5C8F" w14:paraId="7E19D492" w14:textId="77777777" w:rsidTr="003B3198">
        <w:trPr>
          <w:trHeight w:val="285"/>
        </w:trPr>
        <w:tc>
          <w:tcPr>
            <w:tcW w:w="3523" w:type="dxa"/>
            <w:tcBorders>
              <w:top w:val="nil"/>
              <w:left w:val="nil"/>
              <w:bottom w:val="nil"/>
              <w:right w:val="nil"/>
            </w:tcBorders>
            <w:noWrap/>
          </w:tcPr>
          <w:p w14:paraId="4A931968" w14:textId="77777777" w:rsidR="009B5C8F" w:rsidRPr="009B5C8F" w:rsidRDefault="009B5C8F" w:rsidP="009B5C8F">
            <w:pPr>
              <w:rPr>
                <w:color w:val="000000"/>
                <w:sz w:val="16"/>
                <w:szCs w:val="16"/>
              </w:rPr>
            </w:pPr>
            <w:r w:rsidRPr="009B5C8F">
              <w:rPr>
                <w:rFonts w:hint="eastAsia"/>
                <w:color w:val="000000"/>
                <w:sz w:val="16"/>
                <w:szCs w:val="16"/>
              </w:rPr>
              <w:t xml:space="preserve">OTU88234_Bacteroides </w:t>
            </w:r>
            <w:r w:rsidRPr="009B5C8F">
              <w:rPr>
                <w:rFonts w:hint="eastAsia"/>
                <w:i/>
                <w:iCs/>
                <w:color w:val="000000"/>
                <w:sz w:val="16"/>
                <w:szCs w:val="16"/>
              </w:rPr>
              <w:t>spp</w:t>
            </w:r>
            <w:r w:rsidRPr="009B5C8F">
              <w:rPr>
                <w:rFonts w:hint="eastAsia"/>
                <w:color w:val="000000"/>
                <w:sz w:val="16"/>
                <w:szCs w:val="16"/>
              </w:rPr>
              <w:t xml:space="preserve"> 3</w:t>
            </w:r>
          </w:p>
        </w:tc>
        <w:tc>
          <w:tcPr>
            <w:tcW w:w="12060" w:type="dxa"/>
            <w:gridSpan w:val="6"/>
            <w:tcBorders>
              <w:top w:val="nil"/>
              <w:left w:val="nil"/>
              <w:bottom w:val="nil"/>
              <w:right w:val="nil"/>
            </w:tcBorders>
            <w:noWrap/>
          </w:tcPr>
          <w:p w14:paraId="084299FB" w14:textId="77777777" w:rsidR="009B5C8F" w:rsidRPr="009B5C8F" w:rsidRDefault="009B5C8F" w:rsidP="009B5C8F">
            <w:pPr>
              <w:rPr>
                <w:color w:val="000000"/>
                <w:sz w:val="16"/>
                <w:szCs w:val="16"/>
              </w:rPr>
            </w:pPr>
            <w:r w:rsidRPr="009B5C8F">
              <w:rPr>
                <w:rFonts w:hint="eastAsia"/>
                <w:color w:val="000000"/>
                <w:sz w:val="16"/>
                <w:szCs w:val="16"/>
              </w:rPr>
              <w:t>k__Bacteria; p__Bacteroidetes; c__Bacteroidia; o__Bacteroidales; f__Bacteroidaceae; g__Bacteroides; s__</w:t>
            </w:r>
          </w:p>
        </w:tc>
      </w:tr>
      <w:tr w:rsidR="009B5C8F" w:rsidRPr="009B5C8F" w14:paraId="4E741169" w14:textId="77777777" w:rsidTr="003B3198">
        <w:trPr>
          <w:trHeight w:val="285"/>
        </w:trPr>
        <w:tc>
          <w:tcPr>
            <w:tcW w:w="3523" w:type="dxa"/>
            <w:tcBorders>
              <w:top w:val="nil"/>
              <w:left w:val="nil"/>
              <w:bottom w:val="nil"/>
              <w:right w:val="nil"/>
            </w:tcBorders>
            <w:noWrap/>
          </w:tcPr>
          <w:p w14:paraId="3FFCF38E" w14:textId="77777777" w:rsidR="009B5C8F" w:rsidRPr="009B5C8F" w:rsidRDefault="009B5C8F" w:rsidP="009B5C8F">
            <w:pPr>
              <w:rPr>
                <w:color w:val="000000"/>
                <w:sz w:val="16"/>
                <w:szCs w:val="16"/>
              </w:rPr>
            </w:pPr>
            <w:r w:rsidRPr="009B5C8F">
              <w:rPr>
                <w:rFonts w:hint="eastAsia"/>
                <w:color w:val="000000"/>
                <w:sz w:val="16"/>
                <w:szCs w:val="16"/>
              </w:rPr>
              <w:t xml:space="preserve">OTU91647_Ruminococcaceae </w:t>
            </w:r>
            <w:r w:rsidRPr="009B5C8F">
              <w:rPr>
                <w:rFonts w:hint="eastAsia"/>
                <w:i/>
                <w:iCs/>
                <w:color w:val="000000"/>
                <w:sz w:val="16"/>
                <w:szCs w:val="16"/>
              </w:rPr>
              <w:t>spp</w:t>
            </w:r>
            <w:r w:rsidRPr="009B5C8F">
              <w:rPr>
                <w:rFonts w:hint="eastAsia"/>
                <w:color w:val="000000"/>
                <w:sz w:val="16"/>
                <w:szCs w:val="16"/>
              </w:rPr>
              <w:t xml:space="preserve"> 2</w:t>
            </w:r>
          </w:p>
        </w:tc>
        <w:tc>
          <w:tcPr>
            <w:tcW w:w="12060" w:type="dxa"/>
            <w:gridSpan w:val="6"/>
            <w:tcBorders>
              <w:top w:val="nil"/>
              <w:left w:val="nil"/>
              <w:bottom w:val="nil"/>
              <w:right w:val="nil"/>
            </w:tcBorders>
            <w:noWrap/>
          </w:tcPr>
          <w:p w14:paraId="661854A4" w14:textId="77777777" w:rsidR="009B5C8F" w:rsidRPr="009B5C8F" w:rsidRDefault="009B5C8F" w:rsidP="009B5C8F">
            <w:pPr>
              <w:rPr>
                <w:color w:val="000000"/>
                <w:sz w:val="16"/>
                <w:szCs w:val="16"/>
              </w:rPr>
            </w:pPr>
            <w:r w:rsidRPr="009B5C8F">
              <w:rPr>
                <w:rFonts w:hint="eastAsia"/>
                <w:color w:val="000000"/>
                <w:sz w:val="16"/>
                <w:szCs w:val="16"/>
              </w:rPr>
              <w:t>k__Bacteria; p__Firmicutes; c__Clostridia; o__Clostridiales; f__Ruminococcaceae; g__; s__</w:t>
            </w:r>
          </w:p>
        </w:tc>
      </w:tr>
      <w:tr w:rsidR="009B5C8F" w:rsidRPr="009B5C8F" w14:paraId="72875145" w14:textId="77777777" w:rsidTr="003B3198">
        <w:trPr>
          <w:trHeight w:val="285"/>
        </w:trPr>
        <w:tc>
          <w:tcPr>
            <w:tcW w:w="3523" w:type="dxa"/>
            <w:tcBorders>
              <w:top w:val="nil"/>
              <w:left w:val="nil"/>
              <w:bottom w:val="single" w:sz="4" w:space="0" w:color="auto"/>
              <w:right w:val="nil"/>
            </w:tcBorders>
            <w:noWrap/>
          </w:tcPr>
          <w:p w14:paraId="55CCD052" w14:textId="77777777" w:rsidR="009B5C8F" w:rsidRPr="009B5C8F" w:rsidRDefault="009B5C8F" w:rsidP="009B5C8F">
            <w:pPr>
              <w:rPr>
                <w:color w:val="000000"/>
                <w:sz w:val="16"/>
                <w:szCs w:val="16"/>
              </w:rPr>
            </w:pPr>
            <w:r w:rsidRPr="009B5C8F">
              <w:rPr>
                <w:rFonts w:hint="eastAsia"/>
                <w:color w:val="000000"/>
                <w:sz w:val="16"/>
                <w:szCs w:val="16"/>
              </w:rPr>
              <w:t xml:space="preserve">OTU92227_Bacteroides </w:t>
            </w:r>
            <w:r w:rsidRPr="009B5C8F">
              <w:rPr>
                <w:rFonts w:hint="eastAsia"/>
                <w:i/>
                <w:iCs/>
                <w:color w:val="000000"/>
                <w:sz w:val="16"/>
                <w:szCs w:val="16"/>
              </w:rPr>
              <w:t>spp</w:t>
            </w:r>
            <w:r w:rsidRPr="009B5C8F">
              <w:rPr>
                <w:rFonts w:hint="eastAsia"/>
                <w:color w:val="000000"/>
                <w:sz w:val="16"/>
                <w:szCs w:val="16"/>
              </w:rPr>
              <w:t xml:space="preserve"> 1</w:t>
            </w:r>
          </w:p>
        </w:tc>
        <w:tc>
          <w:tcPr>
            <w:tcW w:w="12060" w:type="dxa"/>
            <w:gridSpan w:val="6"/>
            <w:tcBorders>
              <w:top w:val="nil"/>
              <w:left w:val="nil"/>
              <w:bottom w:val="single" w:sz="4" w:space="0" w:color="auto"/>
              <w:right w:val="nil"/>
            </w:tcBorders>
            <w:noWrap/>
          </w:tcPr>
          <w:p w14:paraId="2D60B833" w14:textId="77777777" w:rsidR="009B5C8F" w:rsidRPr="009B5C8F" w:rsidRDefault="009B5C8F" w:rsidP="009B5C8F">
            <w:pPr>
              <w:rPr>
                <w:color w:val="000000"/>
                <w:sz w:val="16"/>
                <w:szCs w:val="16"/>
              </w:rPr>
            </w:pPr>
            <w:r w:rsidRPr="009B5C8F">
              <w:rPr>
                <w:rFonts w:hint="eastAsia"/>
                <w:color w:val="000000"/>
                <w:sz w:val="16"/>
                <w:szCs w:val="16"/>
              </w:rPr>
              <w:t>k__Bacteria; p__Bacteroidetes; c__Bacteroidia; o__Bacteroidales; f__Bacteroidaceae; g__Bacteroides; s__</w:t>
            </w:r>
          </w:p>
        </w:tc>
      </w:tr>
    </w:tbl>
    <w:p w14:paraId="4C45AE9D" w14:textId="77777777" w:rsidR="009B5C8F" w:rsidRPr="009B5C8F" w:rsidRDefault="009B5C8F" w:rsidP="009B5C8F">
      <w:pPr>
        <w:rPr>
          <w:rFonts w:ascii="Times New Roman" w:eastAsia="等线" w:hAnsi="Times New Roman" w:cs="Times New Roman"/>
          <w:color w:val="000000"/>
          <w:kern w:val="0"/>
          <w:sz w:val="20"/>
          <w:szCs w:val="20"/>
        </w:rPr>
      </w:pPr>
    </w:p>
    <w:p w14:paraId="0E1F8E6E" w14:textId="0F06A620" w:rsidR="009B5C8F" w:rsidRDefault="009B5C8F" w:rsidP="009B5C8F">
      <w:pPr>
        <w:spacing w:line="360" w:lineRule="auto"/>
        <w:rPr>
          <w:rFonts w:ascii="Times New Roman" w:eastAsia="等线" w:hAnsi="Times New Roman" w:cs="Times New Roman"/>
          <w:sz w:val="24"/>
        </w:rPr>
      </w:pPr>
    </w:p>
    <w:p w14:paraId="0D1FCF34" w14:textId="4DB0FD1F" w:rsidR="00C56A2A" w:rsidRDefault="00C56A2A" w:rsidP="009B5C8F">
      <w:pPr>
        <w:spacing w:line="360" w:lineRule="auto"/>
        <w:rPr>
          <w:rFonts w:ascii="Times New Roman" w:eastAsia="等线" w:hAnsi="Times New Roman" w:cs="Times New Roman"/>
          <w:sz w:val="24"/>
        </w:rPr>
      </w:pPr>
    </w:p>
    <w:p w14:paraId="7B97836D" w14:textId="77777777" w:rsidR="006A3917" w:rsidRDefault="006A3917" w:rsidP="009B5C8F">
      <w:pPr>
        <w:spacing w:line="360" w:lineRule="auto"/>
        <w:rPr>
          <w:rFonts w:ascii="Times New Roman" w:eastAsia="等线" w:hAnsi="Times New Roman" w:cs="Times New Roman"/>
          <w:sz w:val="24"/>
        </w:rPr>
      </w:pPr>
    </w:p>
    <w:p w14:paraId="36525D3A" w14:textId="4CDAA865" w:rsidR="00C56A2A" w:rsidRPr="00C56A2A" w:rsidRDefault="00C56A2A" w:rsidP="00C56A2A">
      <w:pPr>
        <w:rPr>
          <w:rFonts w:ascii="Times New Roman" w:eastAsia="等线" w:hAnsi="Times New Roman" w:cs="Times New Roman"/>
          <w:b/>
          <w:bCs/>
          <w:color w:val="000000"/>
          <w:kern w:val="0"/>
          <w:sz w:val="20"/>
          <w:szCs w:val="20"/>
        </w:rPr>
      </w:pPr>
      <w:r w:rsidRPr="009B5C8F">
        <w:rPr>
          <w:rFonts w:ascii="Times New Roman" w:eastAsia="等线" w:hAnsi="Times New Roman" w:cs="Times New Roman"/>
          <w:b/>
          <w:bCs/>
          <w:color w:val="000000"/>
          <w:kern w:val="0"/>
          <w:sz w:val="20"/>
          <w:szCs w:val="20"/>
        </w:rPr>
        <w:lastRenderedPageBreak/>
        <w:t>Table S</w:t>
      </w:r>
      <w:r>
        <w:rPr>
          <w:rFonts w:ascii="Times New Roman" w:eastAsia="等线" w:hAnsi="Times New Roman" w:cs="Times New Roman"/>
          <w:b/>
          <w:bCs/>
          <w:color w:val="000000"/>
          <w:kern w:val="0"/>
          <w:sz w:val="20"/>
          <w:szCs w:val="20"/>
        </w:rPr>
        <w:t>4.</w:t>
      </w:r>
      <w:r w:rsidRPr="009B5C8F">
        <w:rPr>
          <w:rFonts w:ascii="Times New Roman" w:eastAsia="等线" w:hAnsi="Times New Roman" w:cs="Times New Roman"/>
          <w:b/>
          <w:bCs/>
          <w:color w:val="000000"/>
          <w:kern w:val="0"/>
          <w:sz w:val="20"/>
          <w:szCs w:val="20"/>
        </w:rPr>
        <w:t xml:space="preserve"> </w:t>
      </w:r>
      <w:r>
        <w:rPr>
          <w:rFonts w:ascii="Times New Roman" w:eastAsia="等线" w:hAnsi="Times New Roman" w:cs="Times New Roman"/>
          <w:b/>
          <w:bCs/>
          <w:color w:val="000000"/>
          <w:kern w:val="0"/>
          <w:sz w:val="20"/>
          <w:szCs w:val="20"/>
        </w:rPr>
        <w:t>I</w:t>
      </w:r>
      <w:r w:rsidRPr="00C56A2A">
        <w:rPr>
          <w:rFonts w:ascii="Times New Roman" w:eastAsia="等线" w:hAnsi="Times New Roman" w:cs="Times New Roman"/>
          <w:b/>
          <w:bCs/>
          <w:color w:val="000000"/>
          <w:kern w:val="0"/>
          <w:sz w:val="20"/>
          <w:szCs w:val="20"/>
        </w:rPr>
        <w:t>solation variable windows of SWATH-MS method</w:t>
      </w:r>
    </w:p>
    <w:tbl>
      <w:tblPr>
        <w:tblW w:w="7655" w:type="dxa"/>
        <w:tblLook w:val="04A0" w:firstRow="1" w:lastRow="0" w:firstColumn="1" w:lastColumn="0" w:noHBand="0" w:noVBand="1"/>
      </w:tblPr>
      <w:tblGrid>
        <w:gridCol w:w="3119"/>
        <w:gridCol w:w="4536"/>
      </w:tblGrid>
      <w:tr w:rsidR="00C56A2A" w:rsidRPr="00C56A2A" w14:paraId="6141679C" w14:textId="77777777" w:rsidTr="00C56A2A">
        <w:trPr>
          <w:trHeight w:val="285"/>
        </w:trPr>
        <w:tc>
          <w:tcPr>
            <w:tcW w:w="3119" w:type="dxa"/>
            <w:tcBorders>
              <w:top w:val="single" w:sz="4" w:space="0" w:color="auto"/>
              <w:left w:val="nil"/>
              <w:bottom w:val="single" w:sz="4" w:space="0" w:color="auto"/>
              <w:right w:val="nil"/>
            </w:tcBorders>
            <w:shd w:val="clear" w:color="auto" w:fill="auto"/>
            <w:noWrap/>
            <w:vAlign w:val="center"/>
            <w:hideMark/>
          </w:tcPr>
          <w:p w14:paraId="4D773E13"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Start_</w:t>
            </w:r>
            <w:r w:rsidRPr="00C56A2A">
              <w:rPr>
                <w:rFonts w:ascii="Times New Roman" w:eastAsia="等线" w:hAnsi="Times New Roman" w:cs="Times New Roman"/>
                <w:i/>
                <w:iCs/>
                <w:color w:val="000000"/>
                <w:kern w:val="0"/>
                <w:sz w:val="16"/>
                <w:szCs w:val="16"/>
              </w:rPr>
              <w:t>m/z</w:t>
            </w:r>
          </w:p>
        </w:tc>
        <w:tc>
          <w:tcPr>
            <w:tcW w:w="4536" w:type="dxa"/>
            <w:tcBorders>
              <w:top w:val="single" w:sz="4" w:space="0" w:color="auto"/>
              <w:left w:val="nil"/>
              <w:bottom w:val="single" w:sz="4" w:space="0" w:color="auto"/>
              <w:right w:val="nil"/>
            </w:tcBorders>
            <w:shd w:val="clear" w:color="auto" w:fill="auto"/>
            <w:noWrap/>
            <w:vAlign w:val="center"/>
            <w:hideMark/>
          </w:tcPr>
          <w:p w14:paraId="729535E4"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End_</w:t>
            </w:r>
            <w:r w:rsidRPr="00C56A2A">
              <w:rPr>
                <w:rFonts w:ascii="Times New Roman" w:eastAsia="等线" w:hAnsi="Times New Roman" w:cs="Times New Roman"/>
                <w:i/>
                <w:iCs/>
                <w:color w:val="000000"/>
                <w:kern w:val="0"/>
                <w:sz w:val="16"/>
                <w:szCs w:val="16"/>
              </w:rPr>
              <w:t>m/z</w:t>
            </w:r>
          </w:p>
        </w:tc>
      </w:tr>
      <w:tr w:rsidR="00C56A2A" w:rsidRPr="00C56A2A" w14:paraId="00DC1BCC" w14:textId="77777777" w:rsidTr="00C56A2A">
        <w:trPr>
          <w:trHeight w:val="285"/>
        </w:trPr>
        <w:tc>
          <w:tcPr>
            <w:tcW w:w="3119" w:type="dxa"/>
            <w:tcBorders>
              <w:top w:val="single" w:sz="4" w:space="0" w:color="auto"/>
              <w:left w:val="nil"/>
              <w:bottom w:val="nil"/>
              <w:right w:val="nil"/>
            </w:tcBorders>
            <w:shd w:val="clear" w:color="auto" w:fill="auto"/>
            <w:noWrap/>
            <w:vAlign w:val="center"/>
            <w:hideMark/>
          </w:tcPr>
          <w:p w14:paraId="2530A83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349.5</w:t>
            </w:r>
          </w:p>
        </w:tc>
        <w:tc>
          <w:tcPr>
            <w:tcW w:w="4536" w:type="dxa"/>
            <w:tcBorders>
              <w:top w:val="single" w:sz="4" w:space="0" w:color="auto"/>
              <w:left w:val="nil"/>
              <w:bottom w:val="nil"/>
              <w:right w:val="nil"/>
            </w:tcBorders>
            <w:shd w:val="clear" w:color="auto" w:fill="auto"/>
            <w:noWrap/>
            <w:vAlign w:val="center"/>
            <w:hideMark/>
          </w:tcPr>
          <w:p w14:paraId="56B1DF9B"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358.1</w:t>
            </w:r>
          </w:p>
        </w:tc>
      </w:tr>
      <w:tr w:rsidR="00C56A2A" w:rsidRPr="00C56A2A" w14:paraId="755CD76A" w14:textId="77777777" w:rsidTr="00C56A2A">
        <w:trPr>
          <w:trHeight w:val="285"/>
        </w:trPr>
        <w:tc>
          <w:tcPr>
            <w:tcW w:w="3119" w:type="dxa"/>
            <w:tcBorders>
              <w:top w:val="nil"/>
              <w:left w:val="nil"/>
              <w:bottom w:val="nil"/>
              <w:right w:val="nil"/>
            </w:tcBorders>
            <w:shd w:val="clear" w:color="auto" w:fill="auto"/>
            <w:noWrap/>
            <w:vAlign w:val="center"/>
            <w:hideMark/>
          </w:tcPr>
          <w:p w14:paraId="1723167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357.1</w:t>
            </w:r>
          </w:p>
        </w:tc>
        <w:tc>
          <w:tcPr>
            <w:tcW w:w="4536" w:type="dxa"/>
            <w:tcBorders>
              <w:top w:val="nil"/>
              <w:left w:val="nil"/>
              <w:bottom w:val="nil"/>
              <w:right w:val="nil"/>
            </w:tcBorders>
            <w:shd w:val="clear" w:color="auto" w:fill="auto"/>
            <w:noWrap/>
            <w:vAlign w:val="center"/>
            <w:hideMark/>
          </w:tcPr>
          <w:p w14:paraId="38216CEF"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365.8</w:t>
            </w:r>
          </w:p>
        </w:tc>
      </w:tr>
      <w:tr w:rsidR="00C56A2A" w:rsidRPr="00C56A2A" w14:paraId="350396B7" w14:textId="77777777" w:rsidTr="00C56A2A">
        <w:trPr>
          <w:trHeight w:val="285"/>
        </w:trPr>
        <w:tc>
          <w:tcPr>
            <w:tcW w:w="3119" w:type="dxa"/>
            <w:tcBorders>
              <w:top w:val="nil"/>
              <w:left w:val="nil"/>
              <w:bottom w:val="nil"/>
              <w:right w:val="nil"/>
            </w:tcBorders>
            <w:shd w:val="clear" w:color="auto" w:fill="auto"/>
            <w:noWrap/>
            <w:vAlign w:val="center"/>
            <w:hideMark/>
          </w:tcPr>
          <w:p w14:paraId="05C0E3B7"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364.8</w:t>
            </w:r>
          </w:p>
        </w:tc>
        <w:tc>
          <w:tcPr>
            <w:tcW w:w="4536" w:type="dxa"/>
            <w:tcBorders>
              <w:top w:val="nil"/>
              <w:left w:val="nil"/>
              <w:bottom w:val="nil"/>
              <w:right w:val="nil"/>
            </w:tcBorders>
            <w:shd w:val="clear" w:color="auto" w:fill="auto"/>
            <w:noWrap/>
            <w:vAlign w:val="center"/>
            <w:hideMark/>
          </w:tcPr>
          <w:p w14:paraId="53EC8DA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373.5</w:t>
            </w:r>
          </w:p>
        </w:tc>
      </w:tr>
      <w:tr w:rsidR="00C56A2A" w:rsidRPr="00C56A2A" w14:paraId="706FCDF6" w14:textId="77777777" w:rsidTr="00C56A2A">
        <w:trPr>
          <w:trHeight w:val="285"/>
        </w:trPr>
        <w:tc>
          <w:tcPr>
            <w:tcW w:w="3119" w:type="dxa"/>
            <w:tcBorders>
              <w:top w:val="nil"/>
              <w:left w:val="nil"/>
              <w:bottom w:val="nil"/>
              <w:right w:val="nil"/>
            </w:tcBorders>
            <w:shd w:val="clear" w:color="auto" w:fill="auto"/>
            <w:noWrap/>
            <w:vAlign w:val="center"/>
            <w:hideMark/>
          </w:tcPr>
          <w:p w14:paraId="65B9A9CB"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372.5</w:t>
            </w:r>
          </w:p>
        </w:tc>
        <w:tc>
          <w:tcPr>
            <w:tcW w:w="4536" w:type="dxa"/>
            <w:tcBorders>
              <w:top w:val="nil"/>
              <w:left w:val="nil"/>
              <w:bottom w:val="nil"/>
              <w:right w:val="nil"/>
            </w:tcBorders>
            <w:shd w:val="clear" w:color="auto" w:fill="auto"/>
            <w:noWrap/>
            <w:vAlign w:val="center"/>
            <w:hideMark/>
          </w:tcPr>
          <w:p w14:paraId="1EB3BD3F"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379.8</w:t>
            </w:r>
          </w:p>
        </w:tc>
      </w:tr>
      <w:tr w:rsidR="00C56A2A" w:rsidRPr="00C56A2A" w14:paraId="1ADC27C8" w14:textId="77777777" w:rsidTr="00C56A2A">
        <w:trPr>
          <w:trHeight w:val="285"/>
        </w:trPr>
        <w:tc>
          <w:tcPr>
            <w:tcW w:w="3119" w:type="dxa"/>
            <w:tcBorders>
              <w:top w:val="nil"/>
              <w:left w:val="nil"/>
              <w:bottom w:val="nil"/>
              <w:right w:val="nil"/>
            </w:tcBorders>
            <w:shd w:val="clear" w:color="auto" w:fill="auto"/>
            <w:noWrap/>
            <w:vAlign w:val="center"/>
            <w:hideMark/>
          </w:tcPr>
          <w:p w14:paraId="0C3D396D"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378.8</w:t>
            </w:r>
          </w:p>
        </w:tc>
        <w:tc>
          <w:tcPr>
            <w:tcW w:w="4536" w:type="dxa"/>
            <w:tcBorders>
              <w:top w:val="nil"/>
              <w:left w:val="nil"/>
              <w:bottom w:val="nil"/>
              <w:right w:val="nil"/>
            </w:tcBorders>
            <w:shd w:val="clear" w:color="auto" w:fill="auto"/>
            <w:noWrap/>
            <w:vAlign w:val="center"/>
            <w:hideMark/>
          </w:tcPr>
          <w:p w14:paraId="23D0C32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384</w:t>
            </w:r>
          </w:p>
        </w:tc>
      </w:tr>
      <w:tr w:rsidR="00C56A2A" w:rsidRPr="00C56A2A" w14:paraId="30D2564D" w14:textId="77777777" w:rsidTr="00C56A2A">
        <w:trPr>
          <w:trHeight w:val="285"/>
        </w:trPr>
        <w:tc>
          <w:tcPr>
            <w:tcW w:w="3119" w:type="dxa"/>
            <w:tcBorders>
              <w:top w:val="nil"/>
              <w:left w:val="nil"/>
              <w:bottom w:val="nil"/>
              <w:right w:val="nil"/>
            </w:tcBorders>
            <w:shd w:val="clear" w:color="auto" w:fill="auto"/>
            <w:noWrap/>
            <w:vAlign w:val="center"/>
            <w:hideMark/>
          </w:tcPr>
          <w:p w14:paraId="0AEEF15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383</w:t>
            </w:r>
          </w:p>
        </w:tc>
        <w:tc>
          <w:tcPr>
            <w:tcW w:w="4536" w:type="dxa"/>
            <w:tcBorders>
              <w:top w:val="nil"/>
              <w:left w:val="nil"/>
              <w:bottom w:val="nil"/>
              <w:right w:val="nil"/>
            </w:tcBorders>
            <w:shd w:val="clear" w:color="auto" w:fill="auto"/>
            <w:noWrap/>
            <w:vAlign w:val="center"/>
            <w:hideMark/>
          </w:tcPr>
          <w:p w14:paraId="0BAE17C3"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388.2</w:t>
            </w:r>
          </w:p>
        </w:tc>
      </w:tr>
      <w:tr w:rsidR="00C56A2A" w:rsidRPr="00C56A2A" w14:paraId="396190BC" w14:textId="77777777" w:rsidTr="00C56A2A">
        <w:trPr>
          <w:trHeight w:val="285"/>
        </w:trPr>
        <w:tc>
          <w:tcPr>
            <w:tcW w:w="3119" w:type="dxa"/>
            <w:tcBorders>
              <w:top w:val="nil"/>
              <w:left w:val="nil"/>
              <w:bottom w:val="nil"/>
              <w:right w:val="nil"/>
            </w:tcBorders>
            <w:shd w:val="clear" w:color="auto" w:fill="auto"/>
            <w:noWrap/>
            <w:vAlign w:val="center"/>
            <w:hideMark/>
          </w:tcPr>
          <w:p w14:paraId="1045A63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387.2</w:t>
            </w:r>
          </w:p>
        </w:tc>
        <w:tc>
          <w:tcPr>
            <w:tcW w:w="4536" w:type="dxa"/>
            <w:tcBorders>
              <w:top w:val="nil"/>
              <w:left w:val="nil"/>
              <w:bottom w:val="nil"/>
              <w:right w:val="nil"/>
            </w:tcBorders>
            <w:shd w:val="clear" w:color="auto" w:fill="auto"/>
            <w:noWrap/>
            <w:vAlign w:val="center"/>
            <w:hideMark/>
          </w:tcPr>
          <w:p w14:paraId="5B07129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391.7</w:t>
            </w:r>
          </w:p>
        </w:tc>
      </w:tr>
      <w:tr w:rsidR="00C56A2A" w:rsidRPr="00C56A2A" w14:paraId="0B98EE33" w14:textId="77777777" w:rsidTr="00C56A2A">
        <w:trPr>
          <w:trHeight w:val="285"/>
        </w:trPr>
        <w:tc>
          <w:tcPr>
            <w:tcW w:w="3119" w:type="dxa"/>
            <w:tcBorders>
              <w:top w:val="nil"/>
              <w:left w:val="nil"/>
              <w:bottom w:val="nil"/>
              <w:right w:val="nil"/>
            </w:tcBorders>
            <w:shd w:val="clear" w:color="auto" w:fill="auto"/>
            <w:noWrap/>
            <w:vAlign w:val="center"/>
            <w:hideMark/>
          </w:tcPr>
          <w:p w14:paraId="6EFA60A0"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390.7</w:t>
            </w:r>
          </w:p>
        </w:tc>
        <w:tc>
          <w:tcPr>
            <w:tcW w:w="4536" w:type="dxa"/>
            <w:tcBorders>
              <w:top w:val="nil"/>
              <w:left w:val="nil"/>
              <w:bottom w:val="nil"/>
              <w:right w:val="nil"/>
            </w:tcBorders>
            <w:shd w:val="clear" w:color="auto" w:fill="auto"/>
            <w:noWrap/>
            <w:vAlign w:val="center"/>
            <w:hideMark/>
          </w:tcPr>
          <w:p w14:paraId="1659BC49"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395.2</w:t>
            </w:r>
          </w:p>
        </w:tc>
      </w:tr>
      <w:tr w:rsidR="00C56A2A" w:rsidRPr="00C56A2A" w14:paraId="7FAE9EB6" w14:textId="77777777" w:rsidTr="00C56A2A">
        <w:trPr>
          <w:trHeight w:val="285"/>
        </w:trPr>
        <w:tc>
          <w:tcPr>
            <w:tcW w:w="3119" w:type="dxa"/>
            <w:tcBorders>
              <w:top w:val="nil"/>
              <w:left w:val="nil"/>
              <w:bottom w:val="nil"/>
              <w:right w:val="nil"/>
            </w:tcBorders>
            <w:shd w:val="clear" w:color="auto" w:fill="auto"/>
            <w:noWrap/>
            <w:vAlign w:val="center"/>
            <w:hideMark/>
          </w:tcPr>
          <w:p w14:paraId="04F6DE6B"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394.2</w:t>
            </w:r>
          </w:p>
        </w:tc>
        <w:tc>
          <w:tcPr>
            <w:tcW w:w="4536" w:type="dxa"/>
            <w:tcBorders>
              <w:top w:val="nil"/>
              <w:left w:val="nil"/>
              <w:bottom w:val="nil"/>
              <w:right w:val="nil"/>
            </w:tcBorders>
            <w:shd w:val="clear" w:color="auto" w:fill="auto"/>
            <w:noWrap/>
            <w:vAlign w:val="center"/>
            <w:hideMark/>
          </w:tcPr>
          <w:p w14:paraId="0DBF51B7"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398.7</w:t>
            </w:r>
          </w:p>
        </w:tc>
      </w:tr>
      <w:tr w:rsidR="00C56A2A" w:rsidRPr="00C56A2A" w14:paraId="6A4D844F" w14:textId="77777777" w:rsidTr="00C56A2A">
        <w:trPr>
          <w:trHeight w:val="285"/>
        </w:trPr>
        <w:tc>
          <w:tcPr>
            <w:tcW w:w="3119" w:type="dxa"/>
            <w:tcBorders>
              <w:top w:val="nil"/>
              <w:left w:val="nil"/>
              <w:bottom w:val="nil"/>
              <w:right w:val="nil"/>
            </w:tcBorders>
            <w:shd w:val="clear" w:color="auto" w:fill="auto"/>
            <w:noWrap/>
            <w:vAlign w:val="center"/>
            <w:hideMark/>
          </w:tcPr>
          <w:p w14:paraId="690BA60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397.7</w:t>
            </w:r>
          </w:p>
        </w:tc>
        <w:tc>
          <w:tcPr>
            <w:tcW w:w="4536" w:type="dxa"/>
            <w:tcBorders>
              <w:top w:val="nil"/>
              <w:left w:val="nil"/>
              <w:bottom w:val="nil"/>
              <w:right w:val="nil"/>
            </w:tcBorders>
            <w:shd w:val="clear" w:color="auto" w:fill="auto"/>
            <w:noWrap/>
            <w:vAlign w:val="center"/>
            <w:hideMark/>
          </w:tcPr>
          <w:p w14:paraId="7EED226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402.2</w:t>
            </w:r>
          </w:p>
        </w:tc>
      </w:tr>
      <w:tr w:rsidR="00C56A2A" w:rsidRPr="00C56A2A" w14:paraId="43126BEE" w14:textId="77777777" w:rsidTr="00C56A2A">
        <w:trPr>
          <w:trHeight w:val="285"/>
        </w:trPr>
        <w:tc>
          <w:tcPr>
            <w:tcW w:w="3119" w:type="dxa"/>
            <w:tcBorders>
              <w:top w:val="nil"/>
              <w:left w:val="nil"/>
              <w:bottom w:val="nil"/>
              <w:right w:val="nil"/>
            </w:tcBorders>
            <w:shd w:val="clear" w:color="auto" w:fill="auto"/>
            <w:noWrap/>
            <w:vAlign w:val="center"/>
            <w:hideMark/>
          </w:tcPr>
          <w:p w14:paraId="3AD9C23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401.2</w:t>
            </w:r>
          </w:p>
        </w:tc>
        <w:tc>
          <w:tcPr>
            <w:tcW w:w="4536" w:type="dxa"/>
            <w:tcBorders>
              <w:top w:val="nil"/>
              <w:left w:val="nil"/>
              <w:bottom w:val="nil"/>
              <w:right w:val="nil"/>
            </w:tcBorders>
            <w:shd w:val="clear" w:color="auto" w:fill="auto"/>
            <w:noWrap/>
            <w:vAlign w:val="center"/>
            <w:hideMark/>
          </w:tcPr>
          <w:p w14:paraId="4EFC6097"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405</w:t>
            </w:r>
          </w:p>
        </w:tc>
      </w:tr>
      <w:tr w:rsidR="00C56A2A" w:rsidRPr="00C56A2A" w14:paraId="0BAA1FB7" w14:textId="77777777" w:rsidTr="00C56A2A">
        <w:trPr>
          <w:trHeight w:val="285"/>
        </w:trPr>
        <w:tc>
          <w:tcPr>
            <w:tcW w:w="3119" w:type="dxa"/>
            <w:tcBorders>
              <w:top w:val="nil"/>
              <w:left w:val="nil"/>
              <w:bottom w:val="nil"/>
              <w:right w:val="nil"/>
            </w:tcBorders>
            <w:shd w:val="clear" w:color="auto" w:fill="auto"/>
            <w:noWrap/>
            <w:vAlign w:val="center"/>
            <w:hideMark/>
          </w:tcPr>
          <w:p w14:paraId="34C35298"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404</w:t>
            </w:r>
          </w:p>
        </w:tc>
        <w:tc>
          <w:tcPr>
            <w:tcW w:w="4536" w:type="dxa"/>
            <w:tcBorders>
              <w:top w:val="nil"/>
              <w:left w:val="nil"/>
              <w:bottom w:val="nil"/>
              <w:right w:val="nil"/>
            </w:tcBorders>
            <w:shd w:val="clear" w:color="auto" w:fill="auto"/>
            <w:noWrap/>
            <w:vAlign w:val="center"/>
            <w:hideMark/>
          </w:tcPr>
          <w:p w14:paraId="44444F7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408.5</w:t>
            </w:r>
          </w:p>
        </w:tc>
      </w:tr>
      <w:tr w:rsidR="00C56A2A" w:rsidRPr="00C56A2A" w14:paraId="2D6D2728" w14:textId="77777777" w:rsidTr="00C56A2A">
        <w:trPr>
          <w:trHeight w:val="285"/>
        </w:trPr>
        <w:tc>
          <w:tcPr>
            <w:tcW w:w="3119" w:type="dxa"/>
            <w:tcBorders>
              <w:top w:val="nil"/>
              <w:left w:val="nil"/>
              <w:bottom w:val="nil"/>
              <w:right w:val="nil"/>
            </w:tcBorders>
            <w:shd w:val="clear" w:color="auto" w:fill="auto"/>
            <w:noWrap/>
            <w:vAlign w:val="center"/>
            <w:hideMark/>
          </w:tcPr>
          <w:p w14:paraId="188F76E4"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407.5</w:t>
            </w:r>
          </w:p>
        </w:tc>
        <w:tc>
          <w:tcPr>
            <w:tcW w:w="4536" w:type="dxa"/>
            <w:tcBorders>
              <w:top w:val="nil"/>
              <w:left w:val="nil"/>
              <w:bottom w:val="nil"/>
              <w:right w:val="nil"/>
            </w:tcBorders>
            <w:shd w:val="clear" w:color="auto" w:fill="auto"/>
            <w:noWrap/>
            <w:vAlign w:val="center"/>
            <w:hideMark/>
          </w:tcPr>
          <w:p w14:paraId="52D0C04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412</w:t>
            </w:r>
          </w:p>
        </w:tc>
      </w:tr>
      <w:tr w:rsidR="00C56A2A" w:rsidRPr="00C56A2A" w14:paraId="188E02F0" w14:textId="77777777" w:rsidTr="00C56A2A">
        <w:trPr>
          <w:trHeight w:val="285"/>
        </w:trPr>
        <w:tc>
          <w:tcPr>
            <w:tcW w:w="3119" w:type="dxa"/>
            <w:tcBorders>
              <w:top w:val="nil"/>
              <w:left w:val="nil"/>
              <w:bottom w:val="nil"/>
              <w:right w:val="nil"/>
            </w:tcBorders>
            <w:shd w:val="clear" w:color="auto" w:fill="auto"/>
            <w:noWrap/>
            <w:vAlign w:val="center"/>
            <w:hideMark/>
          </w:tcPr>
          <w:p w14:paraId="4F83E852"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411</w:t>
            </w:r>
          </w:p>
        </w:tc>
        <w:tc>
          <w:tcPr>
            <w:tcW w:w="4536" w:type="dxa"/>
            <w:tcBorders>
              <w:top w:val="nil"/>
              <w:left w:val="nil"/>
              <w:bottom w:val="nil"/>
              <w:right w:val="nil"/>
            </w:tcBorders>
            <w:shd w:val="clear" w:color="auto" w:fill="auto"/>
            <w:noWrap/>
            <w:vAlign w:val="center"/>
            <w:hideMark/>
          </w:tcPr>
          <w:p w14:paraId="127473E0"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415.5</w:t>
            </w:r>
          </w:p>
        </w:tc>
      </w:tr>
      <w:tr w:rsidR="00C56A2A" w:rsidRPr="00C56A2A" w14:paraId="3E6A7EBB" w14:textId="77777777" w:rsidTr="00C56A2A">
        <w:trPr>
          <w:trHeight w:val="285"/>
        </w:trPr>
        <w:tc>
          <w:tcPr>
            <w:tcW w:w="3119" w:type="dxa"/>
            <w:tcBorders>
              <w:top w:val="nil"/>
              <w:left w:val="nil"/>
              <w:bottom w:val="nil"/>
              <w:right w:val="nil"/>
            </w:tcBorders>
            <w:shd w:val="clear" w:color="auto" w:fill="auto"/>
            <w:noWrap/>
            <w:vAlign w:val="center"/>
            <w:hideMark/>
          </w:tcPr>
          <w:p w14:paraId="1B136B42"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414.5</w:t>
            </w:r>
          </w:p>
        </w:tc>
        <w:tc>
          <w:tcPr>
            <w:tcW w:w="4536" w:type="dxa"/>
            <w:tcBorders>
              <w:top w:val="nil"/>
              <w:left w:val="nil"/>
              <w:bottom w:val="nil"/>
              <w:right w:val="nil"/>
            </w:tcBorders>
            <w:shd w:val="clear" w:color="auto" w:fill="auto"/>
            <w:noWrap/>
            <w:vAlign w:val="center"/>
            <w:hideMark/>
          </w:tcPr>
          <w:p w14:paraId="5306940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419</w:t>
            </w:r>
          </w:p>
        </w:tc>
      </w:tr>
      <w:tr w:rsidR="00C56A2A" w:rsidRPr="00C56A2A" w14:paraId="24EFFE28" w14:textId="77777777" w:rsidTr="00C56A2A">
        <w:trPr>
          <w:trHeight w:val="285"/>
        </w:trPr>
        <w:tc>
          <w:tcPr>
            <w:tcW w:w="3119" w:type="dxa"/>
            <w:tcBorders>
              <w:top w:val="nil"/>
              <w:left w:val="nil"/>
              <w:bottom w:val="nil"/>
              <w:right w:val="nil"/>
            </w:tcBorders>
            <w:shd w:val="clear" w:color="auto" w:fill="auto"/>
            <w:noWrap/>
            <w:vAlign w:val="center"/>
            <w:hideMark/>
          </w:tcPr>
          <w:p w14:paraId="168C94C4"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418</w:t>
            </w:r>
          </w:p>
        </w:tc>
        <w:tc>
          <w:tcPr>
            <w:tcW w:w="4536" w:type="dxa"/>
            <w:tcBorders>
              <w:top w:val="nil"/>
              <w:left w:val="nil"/>
              <w:bottom w:val="nil"/>
              <w:right w:val="nil"/>
            </w:tcBorders>
            <w:shd w:val="clear" w:color="auto" w:fill="auto"/>
            <w:noWrap/>
            <w:vAlign w:val="center"/>
            <w:hideMark/>
          </w:tcPr>
          <w:p w14:paraId="2A33EBF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421.8</w:t>
            </w:r>
          </w:p>
        </w:tc>
      </w:tr>
      <w:tr w:rsidR="00C56A2A" w:rsidRPr="00C56A2A" w14:paraId="4735818C" w14:textId="77777777" w:rsidTr="00C56A2A">
        <w:trPr>
          <w:trHeight w:val="285"/>
        </w:trPr>
        <w:tc>
          <w:tcPr>
            <w:tcW w:w="3119" w:type="dxa"/>
            <w:tcBorders>
              <w:top w:val="nil"/>
              <w:left w:val="nil"/>
              <w:bottom w:val="nil"/>
              <w:right w:val="nil"/>
            </w:tcBorders>
            <w:shd w:val="clear" w:color="auto" w:fill="auto"/>
            <w:noWrap/>
            <w:vAlign w:val="center"/>
            <w:hideMark/>
          </w:tcPr>
          <w:p w14:paraId="25F60A71"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420.8</w:t>
            </w:r>
          </w:p>
        </w:tc>
        <w:tc>
          <w:tcPr>
            <w:tcW w:w="4536" w:type="dxa"/>
            <w:tcBorders>
              <w:top w:val="nil"/>
              <w:left w:val="nil"/>
              <w:bottom w:val="nil"/>
              <w:right w:val="nil"/>
            </w:tcBorders>
            <w:shd w:val="clear" w:color="auto" w:fill="auto"/>
            <w:noWrap/>
            <w:vAlign w:val="center"/>
            <w:hideMark/>
          </w:tcPr>
          <w:p w14:paraId="6AFB569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425.3</w:t>
            </w:r>
          </w:p>
        </w:tc>
      </w:tr>
      <w:tr w:rsidR="00C56A2A" w:rsidRPr="00C56A2A" w14:paraId="381ABBBB" w14:textId="77777777" w:rsidTr="00C56A2A">
        <w:trPr>
          <w:trHeight w:val="285"/>
        </w:trPr>
        <w:tc>
          <w:tcPr>
            <w:tcW w:w="3119" w:type="dxa"/>
            <w:tcBorders>
              <w:top w:val="nil"/>
              <w:left w:val="nil"/>
              <w:bottom w:val="nil"/>
              <w:right w:val="nil"/>
            </w:tcBorders>
            <w:shd w:val="clear" w:color="auto" w:fill="auto"/>
            <w:noWrap/>
            <w:vAlign w:val="center"/>
            <w:hideMark/>
          </w:tcPr>
          <w:p w14:paraId="6AB7B598"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424.3</w:t>
            </w:r>
          </w:p>
        </w:tc>
        <w:tc>
          <w:tcPr>
            <w:tcW w:w="4536" w:type="dxa"/>
            <w:tcBorders>
              <w:top w:val="nil"/>
              <w:left w:val="nil"/>
              <w:bottom w:val="nil"/>
              <w:right w:val="nil"/>
            </w:tcBorders>
            <w:shd w:val="clear" w:color="auto" w:fill="auto"/>
            <w:noWrap/>
            <w:vAlign w:val="center"/>
            <w:hideMark/>
          </w:tcPr>
          <w:p w14:paraId="24BE6AF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428.8</w:t>
            </w:r>
          </w:p>
        </w:tc>
      </w:tr>
      <w:tr w:rsidR="00C56A2A" w:rsidRPr="00C56A2A" w14:paraId="7F5A82ED" w14:textId="77777777" w:rsidTr="00C56A2A">
        <w:trPr>
          <w:trHeight w:val="285"/>
        </w:trPr>
        <w:tc>
          <w:tcPr>
            <w:tcW w:w="3119" w:type="dxa"/>
            <w:tcBorders>
              <w:top w:val="nil"/>
              <w:left w:val="nil"/>
              <w:bottom w:val="nil"/>
              <w:right w:val="nil"/>
            </w:tcBorders>
            <w:shd w:val="clear" w:color="auto" w:fill="auto"/>
            <w:noWrap/>
            <w:vAlign w:val="center"/>
            <w:hideMark/>
          </w:tcPr>
          <w:p w14:paraId="74A0D6A3"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427.8</w:t>
            </w:r>
          </w:p>
        </w:tc>
        <w:tc>
          <w:tcPr>
            <w:tcW w:w="4536" w:type="dxa"/>
            <w:tcBorders>
              <w:top w:val="nil"/>
              <w:left w:val="nil"/>
              <w:bottom w:val="nil"/>
              <w:right w:val="nil"/>
            </w:tcBorders>
            <w:shd w:val="clear" w:color="auto" w:fill="auto"/>
            <w:noWrap/>
            <w:vAlign w:val="center"/>
            <w:hideMark/>
          </w:tcPr>
          <w:p w14:paraId="5957260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432.3</w:t>
            </w:r>
          </w:p>
        </w:tc>
      </w:tr>
      <w:tr w:rsidR="00C56A2A" w:rsidRPr="00C56A2A" w14:paraId="73EC4B6D" w14:textId="77777777" w:rsidTr="00C56A2A">
        <w:trPr>
          <w:trHeight w:val="285"/>
        </w:trPr>
        <w:tc>
          <w:tcPr>
            <w:tcW w:w="3119" w:type="dxa"/>
            <w:tcBorders>
              <w:top w:val="nil"/>
              <w:left w:val="nil"/>
              <w:bottom w:val="nil"/>
              <w:right w:val="nil"/>
            </w:tcBorders>
            <w:shd w:val="clear" w:color="auto" w:fill="auto"/>
            <w:noWrap/>
            <w:vAlign w:val="center"/>
            <w:hideMark/>
          </w:tcPr>
          <w:p w14:paraId="4E5DBAA1"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431.3</w:t>
            </w:r>
          </w:p>
        </w:tc>
        <w:tc>
          <w:tcPr>
            <w:tcW w:w="4536" w:type="dxa"/>
            <w:tcBorders>
              <w:top w:val="nil"/>
              <w:left w:val="nil"/>
              <w:bottom w:val="nil"/>
              <w:right w:val="nil"/>
            </w:tcBorders>
            <w:shd w:val="clear" w:color="auto" w:fill="auto"/>
            <w:noWrap/>
            <w:vAlign w:val="center"/>
            <w:hideMark/>
          </w:tcPr>
          <w:p w14:paraId="7CCD8821"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435.8</w:t>
            </w:r>
          </w:p>
        </w:tc>
      </w:tr>
      <w:tr w:rsidR="00C56A2A" w:rsidRPr="00C56A2A" w14:paraId="357A4244" w14:textId="77777777" w:rsidTr="00C56A2A">
        <w:trPr>
          <w:trHeight w:val="285"/>
        </w:trPr>
        <w:tc>
          <w:tcPr>
            <w:tcW w:w="3119" w:type="dxa"/>
            <w:tcBorders>
              <w:top w:val="nil"/>
              <w:left w:val="nil"/>
              <w:bottom w:val="nil"/>
              <w:right w:val="nil"/>
            </w:tcBorders>
            <w:shd w:val="clear" w:color="auto" w:fill="auto"/>
            <w:noWrap/>
            <w:vAlign w:val="center"/>
            <w:hideMark/>
          </w:tcPr>
          <w:p w14:paraId="4B169519"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434.8</w:t>
            </w:r>
          </w:p>
        </w:tc>
        <w:tc>
          <w:tcPr>
            <w:tcW w:w="4536" w:type="dxa"/>
            <w:tcBorders>
              <w:top w:val="nil"/>
              <w:left w:val="nil"/>
              <w:bottom w:val="nil"/>
              <w:right w:val="nil"/>
            </w:tcBorders>
            <w:shd w:val="clear" w:color="auto" w:fill="auto"/>
            <w:noWrap/>
            <w:vAlign w:val="center"/>
            <w:hideMark/>
          </w:tcPr>
          <w:p w14:paraId="3C62CDB4"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439.3</w:t>
            </w:r>
          </w:p>
        </w:tc>
      </w:tr>
      <w:tr w:rsidR="00C56A2A" w:rsidRPr="00C56A2A" w14:paraId="4F1A25C9" w14:textId="77777777" w:rsidTr="00C56A2A">
        <w:trPr>
          <w:trHeight w:val="285"/>
        </w:trPr>
        <w:tc>
          <w:tcPr>
            <w:tcW w:w="3119" w:type="dxa"/>
            <w:tcBorders>
              <w:top w:val="nil"/>
              <w:left w:val="nil"/>
              <w:bottom w:val="nil"/>
              <w:right w:val="nil"/>
            </w:tcBorders>
            <w:shd w:val="clear" w:color="auto" w:fill="auto"/>
            <w:noWrap/>
            <w:vAlign w:val="center"/>
            <w:hideMark/>
          </w:tcPr>
          <w:p w14:paraId="2E4CF64F"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438.3</w:t>
            </w:r>
          </w:p>
        </w:tc>
        <w:tc>
          <w:tcPr>
            <w:tcW w:w="4536" w:type="dxa"/>
            <w:tcBorders>
              <w:top w:val="nil"/>
              <w:left w:val="nil"/>
              <w:bottom w:val="nil"/>
              <w:right w:val="nil"/>
            </w:tcBorders>
            <w:shd w:val="clear" w:color="auto" w:fill="auto"/>
            <w:noWrap/>
            <w:vAlign w:val="center"/>
            <w:hideMark/>
          </w:tcPr>
          <w:p w14:paraId="5991F2BD"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442.1</w:t>
            </w:r>
          </w:p>
        </w:tc>
      </w:tr>
      <w:tr w:rsidR="00C56A2A" w:rsidRPr="00C56A2A" w14:paraId="6F939576" w14:textId="77777777" w:rsidTr="00C56A2A">
        <w:trPr>
          <w:trHeight w:val="285"/>
        </w:trPr>
        <w:tc>
          <w:tcPr>
            <w:tcW w:w="3119" w:type="dxa"/>
            <w:tcBorders>
              <w:top w:val="nil"/>
              <w:left w:val="nil"/>
              <w:bottom w:val="nil"/>
              <w:right w:val="nil"/>
            </w:tcBorders>
            <w:shd w:val="clear" w:color="auto" w:fill="auto"/>
            <w:noWrap/>
            <w:vAlign w:val="center"/>
            <w:hideMark/>
          </w:tcPr>
          <w:p w14:paraId="392863C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441.1</w:t>
            </w:r>
          </w:p>
        </w:tc>
        <w:tc>
          <w:tcPr>
            <w:tcW w:w="4536" w:type="dxa"/>
            <w:tcBorders>
              <w:top w:val="nil"/>
              <w:left w:val="nil"/>
              <w:bottom w:val="nil"/>
              <w:right w:val="nil"/>
            </w:tcBorders>
            <w:shd w:val="clear" w:color="auto" w:fill="auto"/>
            <w:noWrap/>
            <w:vAlign w:val="center"/>
            <w:hideMark/>
          </w:tcPr>
          <w:p w14:paraId="5D891911"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445.6</w:t>
            </w:r>
          </w:p>
        </w:tc>
      </w:tr>
      <w:tr w:rsidR="00C56A2A" w:rsidRPr="00C56A2A" w14:paraId="5CB33A20" w14:textId="77777777" w:rsidTr="00C56A2A">
        <w:trPr>
          <w:trHeight w:val="285"/>
        </w:trPr>
        <w:tc>
          <w:tcPr>
            <w:tcW w:w="3119" w:type="dxa"/>
            <w:tcBorders>
              <w:top w:val="nil"/>
              <w:left w:val="nil"/>
              <w:bottom w:val="nil"/>
              <w:right w:val="nil"/>
            </w:tcBorders>
            <w:shd w:val="clear" w:color="auto" w:fill="auto"/>
            <w:noWrap/>
            <w:vAlign w:val="center"/>
            <w:hideMark/>
          </w:tcPr>
          <w:p w14:paraId="0BD9CC7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444.6</w:t>
            </w:r>
          </w:p>
        </w:tc>
        <w:tc>
          <w:tcPr>
            <w:tcW w:w="4536" w:type="dxa"/>
            <w:tcBorders>
              <w:top w:val="nil"/>
              <w:left w:val="nil"/>
              <w:bottom w:val="nil"/>
              <w:right w:val="nil"/>
            </w:tcBorders>
            <w:shd w:val="clear" w:color="auto" w:fill="auto"/>
            <w:noWrap/>
            <w:vAlign w:val="center"/>
            <w:hideMark/>
          </w:tcPr>
          <w:p w14:paraId="3D861A7E"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449.1</w:t>
            </w:r>
          </w:p>
        </w:tc>
      </w:tr>
      <w:tr w:rsidR="00C56A2A" w:rsidRPr="00C56A2A" w14:paraId="3C7F1987" w14:textId="77777777" w:rsidTr="00C56A2A">
        <w:trPr>
          <w:trHeight w:val="285"/>
        </w:trPr>
        <w:tc>
          <w:tcPr>
            <w:tcW w:w="3119" w:type="dxa"/>
            <w:tcBorders>
              <w:top w:val="nil"/>
              <w:left w:val="nil"/>
              <w:bottom w:val="nil"/>
              <w:right w:val="nil"/>
            </w:tcBorders>
            <w:shd w:val="clear" w:color="auto" w:fill="auto"/>
            <w:noWrap/>
            <w:vAlign w:val="center"/>
            <w:hideMark/>
          </w:tcPr>
          <w:p w14:paraId="62C9BC1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448.1</w:t>
            </w:r>
          </w:p>
        </w:tc>
        <w:tc>
          <w:tcPr>
            <w:tcW w:w="4536" w:type="dxa"/>
            <w:tcBorders>
              <w:top w:val="nil"/>
              <w:left w:val="nil"/>
              <w:bottom w:val="nil"/>
              <w:right w:val="nil"/>
            </w:tcBorders>
            <w:shd w:val="clear" w:color="auto" w:fill="auto"/>
            <w:noWrap/>
            <w:vAlign w:val="center"/>
            <w:hideMark/>
          </w:tcPr>
          <w:p w14:paraId="704259E2"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452.6</w:t>
            </w:r>
          </w:p>
        </w:tc>
      </w:tr>
      <w:tr w:rsidR="00C56A2A" w:rsidRPr="00C56A2A" w14:paraId="55C2D069" w14:textId="77777777" w:rsidTr="00C56A2A">
        <w:trPr>
          <w:trHeight w:val="285"/>
        </w:trPr>
        <w:tc>
          <w:tcPr>
            <w:tcW w:w="3119" w:type="dxa"/>
            <w:tcBorders>
              <w:top w:val="nil"/>
              <w:left w:val="nil"/>
              <w:bottom w:val="nil"/>
              <w:right w:val="nil"/>
            </w:tcBorders>
            <w:shd w:val="clear" w:color="auto" w:fill="auto"/>
            <w:noWrap/>
            <w:vAlign w:val="center"/>
            <w:hideMark/>
          </w:tcPr>
          <w:p w14:paraId="73033591"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451.6</w:t>
            </w:r>
          </w:p>
        </w:tc>
        <w:tc>
          <w:tcPr>
            <w:tcW w:w="4536" w:type="dxa"/>
            <w:tcBorders>
              <w:top w:val="nil"/>
              <w:left w:val="nil"/>
              <w:bottom w:val="nil"/>
              <w:right w:val="nil"/>
            </w:tcBorders>
            <w:shd w:val="clear" w:color="auto" w:fill="auto"/>
            <w:noWrap/>
            <w:vAlign w:val="center"/>
            <w:hideMark/>
          </w:tcPr>
          <w:p w14:paraId="5D2B0099"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456.1</w:t>
            </w:r>
          </w:p>
        </w:tc>
      </w:tr>
      <w:tr w:rsidR="00C56A2A" w:rsidRPr="00C56A2A" w14:paraId="2891190B" w14:textId="77777777" w:rsidTr="00C56A2A">
        <w:trPr>
          <w:trHeight w:val="285"/>
        </w:trPr>
        <w:tc>
          <w:tcPr>
            <w:tcW w:w="3119" w:type="dxa"/>
            <w:tcBorders>
              <w:top w:val="nil"/>
              <w:left w:val="nil"/>
              <w:bottom w:val="nil"/>
              <w:right w:val="nil"/>
            </w:tcBorders>
            <w:shd w:val="clear" w:color="auto" w:fill="auto"/>
            <w:noWrap/>
            <w:vAlign w:val="center"/>
            <w:hideMark/>
          </w:tcPr>
          <w:p w14:paraId="2DC23C63"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455.1</w:t>
            </w:r>
          </w:p>
        </w:tc>
        <w:tc>
          <w:tcPr>
            <w:tcW w:w="4536" w:type="dxa"/>
            <w:tcBorders>
              <w:top w:val="nil"/>
              <w:left w:val="nil"/>
              <w:bottom w:val="nil"/>
              <w:right w:val="nil"/>
            </w:tcBorders>
            <w:shd w:val="clear" w:color="auto" w:fill="auto"/>
            <w:noWrap/>
            <w:vAlign w:val="center"/>
            <w:hideMark/>
          </w:tcPr>
          <w:p w14:paraId="0F937F8E"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459.6</w:t>
            </w:r>
          </w:p>
        </w:tc>
      </w:tr>
      <w:tr w:rsidR="00C56A2A" w:rsidRPr="00C56A2A" w14:paraId="2AB65454" w14:textId="77777777" w:rsidTr="00C56A2A">
        <w:trPr>
          <w:trHeight w:val="285"/>
        </w:trPr>
        <w:tc>
          <w:tcPr>
            <w:tcW w:w="3119" w:type="dxa"/>
            <w:tcBorders>
              <w:top w:val="nil"/>
              <w:left w:val="nil"/>
              <w:bottom w:val="nil"/>
              <w:right w:val="nil"/>
            </w:tcBorders>
            <w:shd w:val="clear" w:color="auto" w:fill="auto"/>
            <w:noWrap/>
            <w:vAlign w:val="center"/>
            <w:hideMark/>
          </w:tcPr>
          <w:p w14:paraId="617A862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458.6</w:t>
            </w:r>
          </w:p>
        </w:tc>
        <w:tc>
          <w:tcPr>
            <w:tcW w:w="4536" w:type="dxa"/>
            <w:tcBorders>
              <w:top w:val="nil"/>
              <w:left w:val="nil"/>
              <w:bottom w:val="nil"/>
              <w:right w:val="nil"/>
            </w:tcBorders>
            <w:shd w:val="clear" w:color="auto" w:fill="auto"/>
            <w:noWrap/>
            <w:vAlign w:val="center"/>
            <w:hideMark/>
          </w:tcPr>
          <w:p w14:paraId="347940C3"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463.1</w:t>
            </w:r>
          </w:p>
        </w:tc>
      </w:tr>
      <w:tr w:rsidR="00C56A2A" w:rsidRPr="00C56A2A" w14:paraId="324DAD76" w14:textId="77777777" w:rsidTr="00C56A2A">
        <w:trPr>
          <w:trHeight w:val="285"/>
        </w:trPr>
        <w:tc>
          <w:tcPr>
            <w:tcW w:w="3119" w:type="dxa"/>
            <w:tcBorders>
              <w:top w:val="nil"/>
              <w:left w:val="nil"/>
              <w:bottom w:val="nil"/>
              <w:right w:val="nil"/>
            </w:tcBorders>
            <w:shd w:val="clear" w:color="auto" w:fill="auto"/>
            <w:noWrap/>
            <w:vAlign w:val="center"/>
            <w:hideMark/>
          </w:tcPr>
          <w:p w14:paraId="2FCDEC0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462.1</w:t>
            </w:r>
          </w:p>
        </w:tc>
        <w:tc>
          <w:tcPr>
            <w:tcW w:w="4536" w:type="dxa"/>
            <w:tcBorders>
              <w:top w:val="nil"/>
              <w:left w:val="nil"/>
              <w:bottom w:val="nil"/>
              <w:right w:val="nil"/>
            </w:tcBorders>
            <w:shd w:val="clear" w:color="auto" w:fill="auto"/>
            <w:noWrap/>
            <w:vAlign w:val="center"/>
            <w:hideMark/>
          </w:tcPr>
          <w:p w14:paraId="09E50717"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466.6</w:t>
            </w:r>
          </w:p>
        </w:tc>
      </w:tr>
      <w:tr w:rsidR="00C56A2A" w:rsidRPr="00C56A2A" w14:paraId="2AFCFEA3" w14:textId="77777777" w:rsidTr="00C56A2A">
        <w:trPr>
          <w:trHeight w:val="285"/>
        </w:trPr>
        <w:tc>
          <w:tcPr>
            <w:tcW w:w="3119" w:type="dxa"/>
            <w:tcBorders>
              <w:top w:val="nil"/>
              <w:left w:val="nil"/>
              <w:bottom w:val="nil"/>
              <w:right w:val="nil"/>
            </w:tcBorders>
            <w:shd w:val="clear" w:color="auto" w:fill="auto"/>
            <w:noWrap/>
            <w:vAlign w:val="center"/>
            <w:hideMark/>
          </w:tcPr>
          <w:p w14:paraId="690452DE"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465.6</w:t>
            </w:r>
          </w:p>
        </w:tc>
        <w:tc>
          <w:tcPr>
            <w:tcW w:w="4536" w:type="dxa"/>
            <w:tcBorders>
              <w:top w:val="nil"/>
              <w:left w:val="nil"/>
              <w:bottom w:val="nil"/>
              <w:right w:val="nil"/>
            </w:tcBorders>
            <w:shd w:val="clear" w:color="auto" w:fill="auto"/>
            <w:noWrap/>
            <w:vAlign w:val="center"/>
            <w:hideMark/>
          </w:tcPr>
          <w:p w14:paraId="65EC0808"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470.1</w:t>
            </w:r>
          </w:p>
        </w:tc>
      </w:tr>
      <w:tr w:rsidR="00C56A2A" w:rsidRPr="00C56A2A" w14:paraId="2D199619" w14:textId="77777777" w:rsidTr="00C56A2A">
        <w:trPr>
          <w:trHeight w:val="285"/>
        </w:trPr>
        <w:tc>
          <w:tcPr>
            <w:tcW w:w="3119" w:type="dxa"/>
            <w:tcBorders>
              <w:top w:val="nil"/>
              <w:left w:val="nil"/>
              <w:bottom w:val="nil"/>
              <w:right w:val="nil"/>
            </w:tcBorders>
            <w:shd w:val="clear" w:color="auto" w:fill="auto"/>
            <w:noWrap/>
            <w:vAlign w:val="center"/>
            <w:hideMark/>
          </w:tcPr>
          <w:p w14:paraId="46C183FD"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469.1</w:t>
            </w:r>
          </w:p>
        </w:tc>
        <w:tc>
          <w:tcPr>
            <w:tcW w:w="4536" w:type="dxa"/>
            <w:tcBorders>
              <w:top w:val="nil"/>
              <w:left w:val="nil"/>
              <w:bottom w:val="nil"/>
              <w:right w:val="nil"/>
            </w:tcBorders>
            <w:shd w:val="clear" w:color="auto" w:fill="auto"/>
            <w:noWrap/>
            <w:vAlign w:val="center"/>
            <w:hideMark/>
          </w:tcPr>
          <w:p w14:paraId="08F15369"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474.3</w:t>
            </w:r>
          </w:p>
        </w:tc>
      </w:tr>
      <w:tr w:rsidR="00C56A2A" w:rsidRPr="00C56A2A" w14:paraId="37503349" w14:textId="77777777" w:rsidTr="00C56A2A">
        <w:trPr>
          <w:trHeight w:val="285"/>
        </w:trPr>
        <w:tc>
          <w:tcPr>
            <w:tcW w:w="3119" w:type="dxa"/>
            <w:tcBorders>
              <w:top w:val="nil"/>
              <w:left w:val="nil"/>
              <w:bottom w:val="nil"/>
              <w:right w:val="nil"/>
            </w:tcBorders>
            <w:shd w:val="clear" w:color="auto" w:fill="auto"/>
            <w:noWrap/>
            <w:vAlign w:val="center"/>
            <w:hideMark/>
          </w:tcPr>
          <w:p w14:paraId="49A00457"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473.3</w:t>
            </w:r>
          </w:p>
        </w:tc>
        <w:tc>
          <w:tcPr>
            <w:tcW w:w="4536" w:type="dxa"/>
            <w:tcBorders>
              <w:top w:val="nil"/>
              <w:left w:val="nil"/>
              <w:bottom w:val="nil"/>
              <w:right w:val="nil"/>
            </w:tcBorders>
            <w:shd w:val="clear" w:color="auto" w:fill="auto"/>
            <w:noWrap/>
            <w:vAlign w:val="center"/>
            <w:hideMark/>
          </w:tcPr>
          <w:p w14:paraId="1AD34D7B"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477.8</w:t>
            </w:r>
          </w:p>
        </w:tc>
      </w:tr>
      <w:tr w:rsidR="00C56A2A" w:rsidRPr="00C56A2A" w14:paraId="74BDACB0" w14:textId="77777777" w:rsidTr="00C56A2A">
        <w:trPr>
          <w:trHeight w:val="285"/>
        </w:trPr>
        <w:tc>
          <w:tcPr>
            <w:tcW w:w="3119" w:type="dxa"/>
            <w:tcBorders>
              <w:top w:val="nil"/>
              <w:left w:val="nil"/>
              <w:bottom w:val="nil"/>
              <w:right w:val="nil"/>
            </w:tcBorders>
            <w:shd w:val="clear" w:color="auto" w:fill="auto"/>
            <w:noWrap/>
            <w:vAlign w:val="center"/>
            <w:hideMark/>
          </w:tcPr>
          <w:p w14:paraId="1ACC5BED"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476.8</w:t>
            </w:r>
          </w:p>
        </w:tc>
        <w:tc>
          <w:tcPr>
            <w:tcW w:w="4536" w:type="dxa"/>
            <w:tcBorders>
              <w:top w:val="nil"/>
              <w:left w:val="nil"/>
              <w:bottom w:val="nil"/>
              <w:right w:val="nil"/>
            </w:tcBorders>
            <w:shd w:val="clear" w:color="auto" w:fill="auto"/>
            <w:noWrap/>
            <w:vAlign w:val="center"/>
            <w:hideMark/>
          </w:tcPr>
          <w:p w14:paraId="2CEF55D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482</w:t>
            </w:r>
          </w:p>
        </w:tc>
      </w:tr>
      <w:tr w:rsidR="00C56A2A" w:rsidRPr="00C56A2A" w14:paraId="412090DB" w14:textId="77777777" w:rsidTr="00C56A2A">
        <w:trPr>
          <w:trHeight w:val="285"/>
        </w:trPr>
        <w:tc>
          <w:tcPr>
            <w:tcW w:w="3119" w:type="dxa"/>
            <w:tcBorders>
              <w:top w:val="nil"/>
              <w:left w:val="nil"/>
              <w:bottom w:val="nil"/>
              <w:right w:val="nil"/>
            </w:tcBorders>
            <w:shd w:val="clear" w:color="auto" w:fill="auto"/>
            <w:noWrap/>
            <w:vAlign w:val="center"/>
            <w:hideMark/>
          </w:tcPr>
          <w:p w14:paraId="2B96DEFD"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481</w:t>
            </w:r>
          </w:p>
        </w:tc>
        <w:tc>
          <w:tcPr>
            <w:tcW w:w="4536" w:type="dxa"/>
            <w:tcBorders>
              <w:top w:val="nil"/>
              <w:left w:val="nil"/>
              <w:bottom w:val="nil"/>
              <w:right w:val="nil"/>
            </w:tcBorders>
            <w:shd w:val="clear" w:color="auto" w:fill="auto"/>
            <w:noWrap/>
            <w:vAlign w:val="center"/>
            <w:hideMark/>
          </w:tcPr>
          <w:p w14:paraId="55F55DE9"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487.6</w:t>
            </w:r>
          </w:p>
        </w:tc>
      </w:tr>
      <w:tr w:rsidR="00C56A2A" w:rsidRPr="00C56A2A" w14:paraId="0BF6F826" w14:textId="77777777" w:rsidTr="00C56A2A">
        <w:trPr>
          <w:trHeight w:val="285"/>
        </w:trPr>
        <w:tc>
          <w:tcPr>
            <w:tcW w:w="3119" w:type="dxa"/>
            <w:tcBorders>
              <w:top w:val="nil"/>
              <w:left w:val="nil"/>
              <w:bottom w:val="nil"/>
              <w:right w:val="nil"/>
            </w:tcBorders>
            <w:shd w:val="clear" w:color="auto" w:fill="auto"/>
            <w:noWrap/>
            <w:vAlign w:val="center"/>
            <w:hideMark/>
          </w:tcPr>
          <w:p w14:paraId="1961F9E7"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486.6</w:t>
            </w:r>
          </w:p>
        </w:tc>
        <w:tc>
          <w:tcPr>
            <w:tcW w:w="4536" w:type="dxa"/>
            <w:tcBorders>
              <w:top w:val="nil"/>
              <w:left w:val="nil"/>
              <w:bottom w:val="nil"/>
              <w:right w:val="nil"/>
            </w:tcBorders>
            <w:shd w:val="clear" w:color="auto" w:fill="auto"/>
            <w:noWrap/>
            <w:vAlign w:val="center"/>
            <w:hideMark/>
          </w:tcPr>
          <w:p w14:paraId="5EBCCC50"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495.3</w:t>
            </w:r>
          </w:p>
        </w:tc>
      </w:tr>
      <w:tr w:rsidR="00C56A2A" w:rsidRPr="00C56A2A" w14:paraId="6F07604E" w14:textId="77777777" w:rsidTr="00C56A2A">
        <w:trPr>
          <w:trHeight w:val="285"/>
        </w:trPr>
        <w:tc>
          <w:tcPr>
            <w:tcW w:w="3119" w:type="dxa"/>
            <w:tcBorders>
              <w:top w:val="nil"/>
              <w:left w:val="nil"/>
              <w:bottom w:val="nil"/>
              <w:right w:val="nil"/>
            </w:tcBorders>
            <w:shd w:val="clear" w:color="auto" w:fill="auto"/>
            <w:noWrap/>
            <w:vAlign w:val="center"/>
            <w:hideMark/>
          </w:tcPr>
          <w:p w14:paraId="1C9A908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494.3</w:t>
            </w:r>
          </w:p>
        </w:tc>
        <w:tc>
          <w:tcPr>
            <w:tcW w:w="4536" w:type="dxa"/>
            <w:tcBorders>
              <w:top w:val="nil"/>
              <w:left w:val="nil"/>
              <w:bottom w:val="nil"/>
              <w:right w:val="nil"/>
            </w:tcBorders>
            <w:shd w:val="clear" w:color="auto" w:fill="auto"/>
            <w:noWrap/>
            <w:vAlign w:val="center"/>
            <w:hideMark/>
          </w:tcPr>
          <w:p w14:paraId="70A7C397"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506.5</w:t>
            </w:r>
          </w:p>
        </w:tc>
      </w:tr>
      <w:tr w:rsidR="00C56A2A" w:rsidRPr="00C56A2A" w14:paraId="468BAF45" w14:textId="77777777" w:rsidTr="00C56A2A">
        <w:trPr>
          <w:trHeight w:val="285"/>
        </w:trPr>
        <w:tc>
          <w:tcPr>
            <w:tcW w:w="3119" w:type="dxa"/>
            <w:tcBorders>
              <w:top w:val="nil"/>
              <w:left w:val="nil"/>
              <w:bottom w:val="nil"/>
              <w:right w:val="nil"/>
            </w:tcBorders>
            <w:shd w:val="clear" w:color="auto" w:fill="auto"/>
            <w:noWrap/>
            <w:vAlign w:val="center"/>
            <w:hideMark/>
          </w:tcPr>
          <w:p w14:paraId="0906724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505.5</w:t>
            </w:r>
          </w:p>
        </w:tc>
        <w:tc>
          <w:tcPr>
            <w:tcW w:w="4536" w:type="dxa"/>
            <w:tcBorders>
              <w:top w:val="nil"/>
              <w:left w:val="nil"/>
              <w:bottom w:val="nil"/>
              <w:right w:val="nil"/>
            </w:tcBorders>
            <w:shd w:val="clear" w:color="auto" w:fill="auto"/>
            <w:noWrap/>
            <w:vAlign w:val="center"/>
            <w:hideMark/>
          </w:tcPr>
          <w:p w14:paraId="575A8420"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517.7</w:t>
            </w:r>
          </w:p>
        </w:tc>
      </w:tr>
      <w:tr w:rsidR="00C56A2A" w:rsidRPr="00C56A2A" w14:paraId="17A05DEF" w14:textId="77777777" w:rsidTr="00C56A2A">
        <w:trPr>
          <w:trHeight w:val="285"/>
        </w:trPr>
        <w:tc>
          <w:tcPr>
            <w:tcW w:w="3119" w:type="dxa"/>
            <w:tcBorders>
              <w:top w:val="nil"/>
              <w:left w:val="nil"/>
              <w:bottom w:val="nil"/>
              <w:right w:val="nil"/>
            </w:tcBorders>
            <w:shd w:val="clear" w:color="auto" w:fill="auto"/>
            <w:noWrap/>
            <w:vAlign w:val="center"/>
            <w:hideMark/>
          </w:tcPr>
          <w:p w14:paraId="77CFB644"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516.7</w:t>
            </w:r>
          </w:p>
        </w:tc>
        <w:tc>
          <w:tcPr>
            <w:tcW w:w="4536" w:type="dxa"/>
            <w:tcBorders>
              <w:top w:val="nil"/>
              <w:left w:val="nil"/>
              <w:bottom w:val="nil"/>
              <w:right w:val="nil"/>
            </w:tcBorders>
            <w:shd w:val="clear" w:color="auto" w:fill="auto"/>
            <w:noWrap/>
            <w:vAlign w:val="center"/>
            <w:hideMark/>
          </w:tcPr>
          <w:p w14:paraId="7690447D"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528.9</w:t>
            </w:r>
          </w:p>
        </w:tc>
      </w:tr>
      <w:tr w:rsidR="00C56A2A" w:rsidRPr="00C56A2A" w14:paraId="61D58BDA" w14:textId="77777777" w:rsidTr="00C56A2A">
        <w:trPr>
          <w:trHeight w:val="285"/>
        </w:trPr>
        <w:tc>
          <w:tcPr>
            <w:tcW w:w="3119" w:type="dxa"/>
            <w:tcBorders>
              <w:top w:val="nil"/>
              <w:left w:val="nil"/>
              <w:bottom w:val="nil"/>
              <w:right w:val="nil"/>
            </w:tcBorders>
            <w:shd w:val="clear" w:color="auto" w:fill="auto"/>
            <w:noWrap/>
            <w:vAlign w:val="center"/>
            <w:hideMark/>
          </w:tcPr>
          <w:p w14:paraId="7E404A4D"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527.9</w:t>
            </w:r>
          </w:p>
        </w:tc>
        <w:tc>
          <w:tcPr>
            <w:tcW w:w="4536" w:type="dxa"/>
            <w:tcBorders>
              <w:top w:val="nil"/>
              <w:left w:val="nil"/>
              <w:bottom w:val="nil"/>
              <w:right w:val="nil"/>
            </w:tcBorders>
            <w:shd w:val="clear" w:color="auto" w:fill="auto"/>
            <w:noWrap/>
            <w:vAlign w:val="center"/>
            <w:hideMark/>
          </w:tcPr>
          <w:p w14:paraId="036F59D2"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540.1</w:t>
            </w:r>
          </w:p>
        </w:tc>
      </w:tr>
      <w:tr w:rsidR="00C56A2A" w:rsidRPr="00C56A2A" w14:paraId="459C3D70" w14:textId="77777777" w:rsidTr="00C56A2A">
        <w:trPr>
          <w:trHeight w:val="285"/>
        </w:trPr>
        <w:tc>
          <w:tcPr>
            <w:tcW w:w="3119" w:type="dxa"/>
            <w:tcBorders>
              <w:top w:val="nil"/>
              <w:left w:val="nil"/>
              <w:bottom w:val="nil"/>
              <w:right w:val="nil"/>
            </w:tcBorders>
            <w:shd w:val="clear" w:color="auto" w:fill="auto"/>
            <w:noWrap/>
            <w:vAlign w:val="center"/>
            <w:hideMark/>
          </w:tcPr>
          <w:p w14:paraId="58631DB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539.1</w:t>
            </w:r>
          </w:p>
        </w:tc>
        <w:tc>
          <w:tcPr>
            <w:tcW w:w="4536" w:type="dxa"/>
            <w:tcBorders>
              <w:top w:val="nil"/>
              <w:left w:val="nil"/>
              <w:bottom w:val="nil"/>
              <w:right w:val="nil"/>
            </w:tcBorders>
            <w:shd w:val="clear" w:color="auto" w:fill="auto"/>
            <w:noWrap/>
            <w:vAlign w:val="center"/>
            <w:hideMark/>
          </w:tcPr>
          <w:p w14:paraId="6D78929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551.3</w:t>
            </w:r>
          </w:p>
        </w:tc>
      </w:tr>
      <w:tr w:rsidR="00C56A2A" w:rsidRPr="00C56A2A" w14:paraId="701EF23E" w14:textId="77777777" w:rsidTr="00C56A2A">
        <w:trPr>
          <w:trHeight w:val="285"/>
        </w:trPr>
        <w:tc>
          <w:tcPr>
            <w:tcW w:w="3119" w:type="dxa"/>
            <w:tcBorders>
              <w:top w:val="nil"/>
              <w:left w:val="nil"/>
              <w:bottom w:val="nil"/>
              <w:right w:val="nil"/>
            </w:tcBorders>
            <w:shd w:val="clear" w:color="auto" w:fill="auto"/>
            <w:noWrap/>
            <w:vAlign w:val="center"/>
            <w:hideMark/>
          </w:tcPr>
          <w:p w14:paraId="15EDCD54"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550.3</w:t>
            </w:r>
          </w:p>
        </w:tc>
        <w:tc>
          <w:tcPr>
            <w:tcW w:w="4536" w:type="dxa"/>
            <w:tcBorders>
              <w:top w:val="nil"/>
              <w:left w:val="nil"/>
              <w:bottom w:val="nil"/>
              <w:right w:val="nil"/>
            </w:tcBorders>
            <w:shd w:val="clear" w:color="auto" w:fill="auto"/>
            <w:noWrap/>
            <w:vAlign w:val="center"/>
            <w:hideMark/>
          </w:tcPr>
          <w:p w14:paraId="5EEAC89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563.2</w:t>
            </w:r>
          </w:p>
        </w:tc>
      </w:tr>
      <w:tr w:rsidR="00C56A2A" w:rsidRPr="00C56A2A" w14:paraId="3250CAD1" w14:textId="77777777" w:rsidTr="00C56A2A">
        <w:trPr>
          <w:trHeight w:val="285"/>
        </w:trPr>
        <w:tc>
          <w:tcPr>
            <w:tcW w:w="3119" w:type="dxa"/>
            <w:tcBorders>
              <w:top w:val="nil"/>
              <w:left w:val="nil"/>
              <w:bottom w:val="nil"/>
              <w:right w:val="nil"/>
            </w:tcBorders>
            <w:shd w:val="clear" w:color="auto" w:fill="auto"/>
            <w:noWrap/>
            <w:vAlign w:val="center"/>
            <w:hideMark/>
          </w:tcPr>
          <w:p w14:paraId="6E40321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562.2</w:t>
            </w:r>
          </w:p>
        </w:tc>
        <w:tc>
          <w:tcPr>
            <w:tcW w:w="4536" w:type="dxa"/>
            <w:tcBorders>
              <w:top w:val="nil"/>
              <w:left w:val="nil"/>
              <w:bottom w:val="nil"/>
              <w:right w:val="nil"/>
            </w:tcBorders>
            <w:shd w:val="clear" w:color="auto" w:fill="auto"/>
            <w:noWrap/>
            <w:vAlign w:val="center"/>
            <w:hideMark/>
          </w:tcPr>
          <w:p w14:paraId="2FCEF9C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575.8</w:t>
            </w:r>
          </w:p>
        </w:tc>
      </w:tr>
      <w:tr w:rsidR="00C56A2A" w:rsidRPr="00C56A2A" w14:paraId="434287AD" w14:textId="77777777" w:rsidTr="00C56A2A">
        <w:trPr>
          <w:trHeight w:val="285"/>
        </w:trPr>
        <w:tc>
          <w:tcPr>
            <w:tcW w:w="3119" w:type="dxa"/>
            <w:tcBorders>
              <w:top w:val="nil"/>
              <w:left w:val="nil"/>
              <w:bottom w:val="nil"/>
              <w:right w:val="nil"/>
            </w:tcBorders>
            <w:shd w:val="clear" w:color="auto" w:fill="auto"/>
            <w:noWrap/>
            <w:vAlign w:val="center"/>
            <w:hideMark/>
          </w:tcPr>
          <w:p w14:paraId="60817C01"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lastRenderedPageBreak/>
              <w:t>574.8</w:t>
            </w:r>
          </w:p>
        </w:tc>
        <w:tc>
          <w:tcPr>
            <w:tcW w:w="4536" w:type="dxa"/>
            <w:tcBorders>
              <w:top w:val="nil"/>
              <w:left w:val="nil"/>
              <w:bottom w:val="nil"/>
              <w:right w:val="nil"/>
            </w:tcBorders>
            <w:shd w:val="clear" w:color="auto" w:fill="auto"/>
            <w:noWrap/>
            <w:vAlign w:val="center"/>
            <w:hideMark/>
          </w:tcPr>
          <w:p w14:paraId="627F288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589.1</w:t>
            </w:r>
          </w:p>
        </w:tc>
      </w:tr>
      <w:tr w:rsidR="00C56A2A" w:rsidRPr="00C56A2A" w14:paraId="71F432A1" w14:textId="77777777" w:rsidTr="00C56A2A">
        <w:trPr>
          <w:trHeight w:val="285"/>
        </w:trPr>
        <w:tc>
          <w:tcPr>
            <w:tcW w:w="3119" w:type="dxa"/>
            <w:tcBorders>
              <w:top w:val="nil"/>
              <w:left w:val="nil"/>
              <w:bottom w:val="nil"/>
              <w:right w:val="nil"/>
            </w:tcBorders>
            <w:shd w:val="clear" w:color="auto" w:fill="auto"/>
            <w:noWrap/>
            <w:vAlign w:val="center"/>
            <w:hideMark/>
          </w:tcPr>
          <w:p w14:paraId="6A5BE05F"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588.1</w:t>
            </w:r>
          </w:p>
        </w:tc>
        <w:tc>
          <w:tcPr>
            <w:tcW w:w="4536" w:type="dxa"/>
            <w:tcBorders>
              <w:top w:val="nil"/>
              <w:left w:val="nil"/>
              <w:bottom w:val="nil"/>
              <w:right w:val="nil"/>
            </w:tcBorders>
            <w:shd w:val="clear" w:color="auto" w:fill="auto"/>
            <w:noWrap/>
            <w:vAlign w:val="center"/>
            <w:hideMark/>
          </w:tcPr>
          <w:p w14:paraId="61BB8542"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603.8</w:t>
            </w:r>
          </w:p>
        </w:tc>
      </w:tr>
      <w:tr w:rsidR="00C56A2A" w:rsidRPr="00C56A2A" w14:paraId="66458E9A" w14:textId="77777777" w:rsidTr="00C56A2A">
        <w:trPr>
          <w:trHeight w:val="285"/>
        </w:trPr>
        <w:tc>
          <w:tcPr>
            <w:tcW w:w="3119" w:type="dxa"/>
            <w:tcBorders>
              <w:top w:val="nil"/>
              <w:left w:val="nil"/>
              <w:bottom w:val="nil"/>
              <w:right w:val="nil"/>
            </w:tcBorders>
            <w:shd w:val="clear" w:color="auto" w:fill="auto"/>
            <w:noWrap/>
            <w:vAlign w:val="center"/>
            <w:hideMark/>
          </w:tcPr>
          <w:p w14:paraId="40473BC8"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602.8</w:t>
            </w:r>
          </w:p>
        </w:tc>
        <w:tc>
          <w:tcPr>
            <w:tcW w:w="4536" w:type="dxa"/>
            <w:tcBorders>
              <w:top w:val="nil"/>
              <w:left w:val="nil"/>
              <w:bottom w:val="nil"/>
              <w:right w:val="nil"/>
            </w:tcBorders>
            <w:shd w:val="clear" w:color="auto" w:fill="auto"/>
            <w:noWrap/>
            <w:vAlign w:val="center"/>
            <w:hideMark/>
          </w:tcPr>
          <w:p w14:paraId="07CD33B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618.5</w:t>
            </w:r>
          </w:p>
        </w:tc>
      </w:tr>
      <w:tr w:rsidR="00C56A2A" w:rsidRPr="00C56A2A" w14:paraId="2806147D" w14:textId="77777777" w:rsidTr="00C56A2A">
        <w:trPr>
          <w:trHeight w:val="285"/>
        </w:trPr>
        <w:tc>
          <w:tcPr>
            <w:tcW w:w="3119" w:type="dxa"/>
            <w:tcBorders>
              <w:top w:val="nil"/>
              <w:left w:val="nil"/>
              <w:bottom w:val="nil"/>
              <w:right w:val="nil"/>
            </w:tcBorders>
            <w:shd w:val="clear" w:color="auto" w:fill="auto"/>
            <w:noWrap/>
            <w:vAlign w:val="center"/>
            <w:hideMark/>
          </w:tcPr>
          <w:p w14:paraId="157CA0B6"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617.5</w:t>
            </w:r>
          </w:p>
        </w:tc>
        <w:tc>
          <w:tcPr>
            <w:tcW w:w="4536" w:type="dxa"/>
            <w:tcBorders>
              <w:top w:val="nil"/>
              <w:left w:val="nil"/>
              <w:bottom w:val="nil"/>
              <w:right w:val="nil"/>
            </w:tcBorders>
            <w:shd w:val="clear" w:color="auto" w:fill="auto"/>
            <w:noWrap/>
            <w:vAlign w:val="center"/>
            <w:hideMark/>
          </w:tcPr>
          <w:p w14:paraId="692E15C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633.9</w:t>
            </w:r>
          </w:p>
        </w:tc>
      </w:tr>
      <w:tr w:rsidR="00C56A2A" w:rsidRPr="00C56A2A" w14:paraId="783873F8" w14:textId="77777777" w:rsidTr="00C56A2A">
        <w:trPr>
          <w:trHeight w:val="285"/>
        </w:trPr>
        <w:tc>
          <w:tcPr>
            <w:tcW w:w="3119" w:type="dxa"/>
            <w:tcBorders>
              <w:top w:val="nil"/>
              <w:left w:val="nil"/>
              <w:bottom w:val="nil"/>
              <w:right w:val="nil"/>
            </w:tcBorders>
            <w:shd w:val="clear" w:color="auto" w:fill="auto"/>
            <w:noWrap/>
            <w:vAlign w:val="center"/>
            <w:hideMark/>
          </w:tcPr>
          <w:p w14:paraId="0C4CC4C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632.9</w:t>
            </w:r>
          </w:p>
        </w:tc>
        <w:tc>
          <w:tcPr>
            <w:tcW w:w="4536" w:type="dxa"/>
            <w:tcBorders>
              <w:top w:val="nil"/>
              <w:left w:val="nil"/>
              <w:bottom w:val="nil"/>
              <w:right w:val="nil"/>
            </w:tcBorders>
            <w:shd w:val="clear" w:color="auto" w:fill="auto"/>
            <w:noWrap/>
            <w:vAlign w:val="center"/>
            <w:hideMark/>
          </w:tcPr>
          <w:p w14:paraId="7826813A"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649.3</w:t>
            </w:r>
          </w:p>
        </w:tc>
      </w:tr>
      <w:tr w:rsidR="00C56A2A" w:rsidRPr="00C56A2A" w14:paraId="64819BAA" w14:textId="77777777" w:rsidTr="00C56A2A">
        <w:trPr>
          <w:trHeight w:val="285"/>
        </w:trPr>
        <w:tc>
          <w:tcPr>
            <w:tcW w:w="3119" w:type="dxa"/>
            <w:tcBorders>
              <w:top w:val="nil"/>
              <w:left w:val="nil"/>
              <w:bottom w:val="nil"/>
              <w:right w:val="nil"/>
            </w:tcBorders>
            <w:shd w:val="clear" w:color="auto" w:fill="auto"/>
            <w:noWrap/>
            <w:vAlign w:val="center"/>
            <w:hideMark/>
          </w:tcPr>
          <w:p w14:paraId="28C5F27F"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648.3</w:t>
            </w:r>
          </w:p>
        </w:tc>
        <w:tc>
          <w:tcPr>
            <w:tcW w:w="4536" w:type="dxa"/>
            <w:tcBorders>
              <w:top w:val="nil"/>
              <w:left w:val="nil"/>
              <w:bottom w:val="nil"/>
              <w:right w:val="nil"/>
            </w:tcBorders>
            <w:shd w:val="clear" w:color="auto" w:fill="auto"/>
            <w:noWrap/>
            <w:vAlign w:val="center"/>
            <w:hideMark/>
          </w:tcPr>
          <w:p w14:paraId="4CF4C049"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664.7</w:t>
            </w:r>
          </w:p>
        </w:tc>
      </w:tr>
      <w:tr w:rsidR="00C56A2A" w:rsidRPr="00C56A2A" w14:paraId="547D2E3C" w14:textId="77777777" w:rsidTr="00C56A2A">
        <w:trPr>
          <w:trHeight w:val="285"/>
        </w:trPr>
        <w:tc>
          <w:tcPr>
            <w:tcW w:w="3119" w:type="dxa"/>
            <w:tcBorders>
              <w:top w:val="nil"/>
              <w:left w:val="nil"/>
              <w:bottom w:val="nil"/>
              <w:right w:val="nil"/>
            </w:tcBorders>
            <w:shd w:val="clear" w:color="auto" w:fill="auto"/>
            <w:noWrap/>
            <w:vAlign w:val="center"/>
            <w:hideMark/>
          </w:tcPr>
          <w:p w14:paraId="5B3DBF38"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663.7</w:t>
            </w:r>
          </w:p>
        </w:tc>
        <w:tc>
          <w:tcPr>
            <w:tcW w:w="4536" w:type="dxa"/>
            <w:tcBorders>
              <w:top w:val="nil"/>
              <w:left w:val="nil"/>
              <w:bottom w:val="nil"/>
              <w:right w:val="nil"/>
            </w:tcBorders>
            <w:shd w:val="clear" w:color="auto" w:fill="auto"/>
            <w:noWrap/>
            <w:vAlign w:val="center"/>
            <w:hideMark/>
          </w:tcPr>
          <w:p w14:paraId="6ADDA7D9"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682.2</w:t>
            </w:r>
          </w:p>
        </w:tc>
      </w:tr>
      <w:tr w:rsidR="00C56A2A" w:rsidRPr="00C56A2A" w14:paraId="6CB018CC" w14:textId="77777777" w:rsidTr="00C56A2A">
        <w:trPr>
          <w:trHeight w:val="285"/>
        </w:trPr>
        <w:tc>
          <w:tcPr>
            <w:tcW w:w="3119" w:type="dxa"/>
            <w:tcBorders>
              <w:top w:val="nil"/>
              <w:left w:val="nil"/>
              <w:bottom w:val="nil"/>
              <w:right w:val="nil"/>
            </w:tcBorders>
            <w:shd w:val="clear" w:color="auto" w:fill="auto"/>
            <w:noWrap/>
            <w:vAlign w:val="center"/>
            <w:hideMark/>
          </w:tcPr>
          <w:p w14:paraId="61639E1E"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681.2</w:t>
            </w:r>
          </w:p>
        </w:tc>
        <w:tc>
          <w:tcPr>
            <w:tcW w:w="4536" w:type="dxa"/>
            <w:tcBorders>
              <w:top w:val="nil"/>
              <w:left w:val="nil"/>
              <w:bottom w:val="nil"/>
              <w:right w:val="nil"/>
            </w:tcBorders>
            <w:shd w:val="clear" w:color="auto" w:fill="auto"/>
            <w:noWrap/>
            <w:vAlign w:val="center"/>
            <w:hideMark/>
          </w:tcPr>
          <w:p w14:paraId="45B5DB6F"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701.1</w:t>
            </w:r>
          </w:p>
        </w:tc>
      </w:tr>
      <w:tr w:rsidR="00C56A2A" w:rsidRPr="00C56A2A" w14:paraId="02354854" w14:textId="77777777" w:rsidTr="00C56A2A">
        <w:trPr>
          <w:trHeight w:val="285"/>
        </w:trPr>
        <w:tc>
          <w:tcPr>
            <w:tcW w:w="3119" w:type="dxa"/>
            <w:tcBorders>
              <w:top w:val="nil"/>
              <w:left w:val="nil"/>
              <w:bottom w:val="nil"/>
              <w:right w:val="nil"/>
            </w:tcBorders>
            <w:shd w:val="clear" w:color="auto" w:fill="auto"/>
            <w:noWrap/>
            <w:vAlign w:val="center"/>
            <w:hideMark/>
          </w:tcPr>
          <w:p w14:paraId="3AB4446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700.1</w:t>
            </w:r>
          </w:p>
        </w:tc>
        <w:tc>
          <w:tcPr>
            <w:tcW w:w="4536" w:type="dxa"/>
            <w:tcBorders>
              <w:top w:val="nil"/>
              <w:left w:val="nil"/>
              <w:bottom w:val="nil"/>
              <w:right w:val="nil"/>
            </w:tcBorders>
            <w:shd w:val="clear" w:color="auto" w:fill="auto"/>
            <w:noWrap/>
            <w:vAlign w:val="center"/>
            <w:hideMark/>
          </w:tcPr>
          <w:p w14:paraId="30B09AF4"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720</w:t>
            </w:r>
          </w:p>
        </w:tc>
      </w:tr>
      <w:tr w:rsidR="00C56A2A" w:rsidRPr="00C56A2A" w14:paraId="17A8F277" w14:textId="77777777" w:rsidTr="00C56A2A">
        <w:trPr>
          <w:trHeight w:val="285"/>
        </w:trPr>
        <w:tc>
          <w:tcPr>
            <w:tcW w:w="3119" w:type="dxa"/>
            <w:tcBorders>
              <w:top w:val="nil"/>
              <w:left w:val="nil"/>
              <w:bottom w:val="nil"/>
              <w:right w:val="nil"/>
            </w:tcBorders>
            <w:shd w:val="clear" w:color="auto" w:fill="auto"/>
            <w:noWrap/>
            <w:vAlign w:val="center"/>
            <w:hideMark/>
          </w:tcPr>
          <w:p w14:paraId="51246F25"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719</w:t>
            </w:r>
          </w:p>
        </w:tc>
        <w:tc>
          <w:tcPr>
            <w:tcW w:w="4536" w:type="dxa"/>
            <w:tcBorders>
              <w:top w:val="nil"/>
              <w:left w:val="nil"/>
              <w:bottom w:val="nil"/>
              <w:right w:val="nil"/>
            </w:tcBorders>
            <w:shd w:val="clear" w:color="auto" w:fill="auto"/>
            <w:noWrap/>
            <w:vAlign w:val="center"/>
            <w:hideMark/>
          </w:tcPr>
          <w:p w14:paraId="7DC8B3DC"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743.8</w:t>
            </w:r>
          </w:p>
        </w:tc>
      </w:tr>
      <w:tr w:rsidR="00C56A2A" w:rsidRPr="00C56A2A" w14:paraId="4A5718BD" w14:textId="77777777" w:rsidTr="00C56A2A">
        <w:trPr>
          <w:trHeight w:val="285"/>
        </w:trPr>
        <w:tc>
          <w:tcPr>
            <w:tcW w:w="3119" w:type="dxa"/>
            <w:tcBorders>
              <w:top w:val="nil"/>
              <w:left w:val="nil"/>
              <w:bottom w:val="nil"/>
              <w:right w:val="nil"/>
            </w:tcBorders>
            <w:shd w:val="clear" w:color="auto" w:fill="auto"/>
            <w:noWrap/>
            <w:vAlign w:val="center"/>
            <w:hideMark/>
          </w:tcPr>
          <w:p w14:paraId="476A764D"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742.8</w:t>
            </w:r>
          </w:p>
        </w:tc>
        <w:tc>
          <w:tcPr>
            <w:tcW w:w="4536" w:type="dxa"/>
            <w:tcBorders>
              <w:top w:val="nil"/>
              <w:left w:val="nil"/>
              <w:bottom w:val="nil"/>
              <w:right w:val="nil"/>
            </w:tcBorders>
            <w:shd w:val="clear" w:color="auto" w:fill="auto"/>
            <w:noWrap/>
            <w:vAlign w:val="center"/>
            <w:hideMark/>
          </w:tcPr>
          <w:p w14:paraId="5A495538"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778.1</w:t>
            </w:r>
          </w:p>
        </w:tc>
      </w:tr>
      <w:tr w:rsidR="00C56A2A" w:rsidRPr="00C56A2A" w14:paraId="26579E15" w14:textId="77777777" w:rsidTr="00C56A2A">
        <w:trPr>
          <w:trHeight w:val="285"/>
        </w:trPr>
        <w:tc>
          <w:tcPr>
            <w:tcW w:w="3119" w:type="dxa"/>
            <w:tcBorders>
              <w:top w:val="nil"/>
              <w:left w:val="nil"/>
              <w:right w:val="nil"/>
            </w:tcBorders>
            <w:shd w:val="clear" w:color="auto" w:fill="auto"/>
            <w:noWrap/>
            <w:vAlign w:val="center"/>
            <w:hideMark/>
          </w:tcPr>
          <w:p w14:paraId="0A5CEADF"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777.1</w:t>
            </w:r>
          </w:p>
        </w:tc>
        <w:tc>
          <w:tcPr>
            <w:tcW w:w="4536" w:type="dxa"/>
            <w:tcBorders>
              <w:top w:val="nil"/>
              <w:left w:val="nil"/>
              <w:right w:val="nil"/>
            </w:tcBorders>
            <w:shd w:val="clear" w:color="auto" w:fill="auto"/>
            <w:noWrap/>
            <w:vAlign w:val="center"/>
            <w:hideMark/>
          </w:tcPr>
          <w:p w14:paraId="29AB292E"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835.5</w:t>
            </w:r>
          </w:p>
        </w:tc>
      </w:tr>
      <w:tr w:rsidR="00C56A2A" w:rsidRPr="00C56A2A" w14:paraId="061DB68E" w14:textId="77777777" w:rsidTr="00C56A2A">
        <w:trPr>
          <w:trHeight w:val="285"/>
        </w:trPr>
        <w:tc>
          <w:tcPr>
            <w:tcW w:w="3119" w:type="dxa"/>
            <w:tcBorders>
              <w:top w:val="nil"/>
              <w:left w:val="nil"/>
              <w:bottom w:val="single" w:sz="4" w:space="0" w:color="auto"/>
              <w:right w:val="nil"/>
            </w:tcBorders>
            <w:shd w:val="clear" w:color="auto" w:fill="auto"/>
            <w:noWrap/>
            <w:vAlign w:val="center"/>
            <w:hideMark/>
          </w:tcPr>
          <w:p w14:paraId="0A585357"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834.5</w:t>
            </w:r>
          </w:p>
        </w:tc>
        <w:tc>
          <w:tcPr>
            <w:tcW w:w="4536" w:type="dxa"/>
            <w:tcBorders>
              <w:top w:val="nil"/>
              <w:left w:val="nil"/>
              <w:bottom w:val="single" w:sz="4" w:space="0" w:color="auto"/>
              <w:right w:val="nil"/>
            </w:tcBorders>
            <w:shd w:val="clear" w:color="auto" w:fill="auto"/>
            <w:noWrap/>
            <w:vAlign w:val="center"/>
            <w:hideMark/>
          </w:tcPr>
          <w:p w14:paraId="7981DD8F" w14:textId="77777777" w:rsidR="00C56A2A" w:rsidRPr="00C56A2A" w:rsidRDefault="00C56A2A" w:rsidP="00C56A2A">
            <w:pPr>
              <w:widowControl/>
              <w:jc w:val="center"/>
              <w:rPr>
                <w:rFonts w:ascii="Times New Roman" w:eastAsia="等线" w:hAnsi="Times New Roman" w:cs="Times New Roman"/>
                <w:color w:val="000000"/>
                <w:kern w:val="0"/>
                <w:sz w:val="16"/>
                <w:szCs w:val="16"/>
              </w:rPr>
            </w:pPr>
            <w:r w:rsidRPr="00C56A2A">
              <w:rPr>
                <w:rFonts w:ascii="Times New Roman" w:eastAsia="等线" w:hAnsi="Times New Roman" w:cs="Times New Roman"/>
                <w:color w:val="000000"/>
                <w:kern w:val="0"/>
                <w:sz w:val="16"/>
                <w:szCs w:val="16"/>
              </w:rPr>
              <w:t>1100.8</w:t>
            </w:r>
          </w:p>
        </w:tc>
      </w:tr>
    </w:tbl>
    <w:p w14:paraId="7CA7C541" w14:textId="77777777" w:rsidR="00C56A2A" w:rsidRPr="009B5C8F" w:rsidRDefault="00C56A2A" w:rsidP="009B5C8F">
      <w:pPr>
        <w:spacing w:line="360" w:lineRule="auto"/>
        <w:rPr>
          <w:rFonts w:ascii="Times New Roman" w:eastAsia="等线" w:hAnsi="Times New Roman" w:cs="Times New Roman"/>
          <w:sz w:val="24"/>
        </w:rPr>
      </w:pPr>
    </w:p>
    <w:sectPr w:rsidR="00C56A2A" w:rsidRPr="009B5C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B30A42" w14:textId="77777777" w:rsidR="00AA4028" w:rsidRDefault="00AA4028" w:rsidP="00A31A6D">
      <w:r>
        <w:separator/>
      </w:r>
    </w:p>
  </w:endnote>
  <w:endnote w:type="continuationSeparator" w:id="0">
    <w:p w14:paraId="4591F337" w14:textId="77777777" w:rsidR="00AA4028" w:rsidRDefault="00AA4028" w:rsidP="00A31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AC2B10" w14:textId="77777777" w:rsidR="00AA4028" w:rsidRDefault="00AA4028" w:rsidP="00A31A6D">
      <w:r>
        <w:separator/>
      </w:r>
    </w:p>
  </w:footnote>
  <w:footnote w:type="continuationSeparator" w:id="0">
    <w:p w14:paraId="14D09D92" w14:textId="77777777" w:rsidR="00AA4028" w:rsidRDefault="00AA4028" w:rsidP="00A31A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59C"/>
    <w:rsid w:val="00186654"/>
    <w:rsid w:val="00256D2D"/>
    <w:rsid w:val="00313B89"/>
    <w:rsid w:val="00376D12"/>
    <w:rsid w:val="003B3198"/>
    <w:rsid w:val="003F33F2"/>
    <w:rsid w:val="00405921"/>
    <w:rsid w:val="004A0256"/>
    <w:rsid w:val="00553453"/>
    <w:rsid w:val="00562C31"/>
    <w:rsid w:val="00586FDA"/>
    <w:rsid w:val="005A6C54"/>
    <w:rsid w:val="00670651"/>
    <w:rsid w:val="006868BA"/>
    <w:rsid w:val="006A3917"/>
    <w:rsid w:val="006C4C56"/>
    <w:rsid w:val="00771AAF"/>
    <w:rsid w:val="00796F42"/>
    <w:rsid w:val="007D10DC"/>
    <w:rsid w:val="00846162"/>
    <w:rsid w:val="00882DAD"/>
    <w:rsid w:val="00987E46"/>
    <w:rsid w:val="009B5C8F"/>
    <w:rsid w:val="00A31A6D"/>
    <w:rsid w:val="00A41216"/>
    <w:rsid w:val="00A93D22"/>
    <w:rsid w:val="00AA4028"/>
    <w:rsid w:val="00BE5AD0"/>
    <w:rsid w:val="00C12697"/>
    <w:rsid w:val="00C14C57"/>
    <w:rsid w:val="00C20590"/>
    <w:rsid w:val="00C539AF"/>
    <w:rsid w:val="00C56A2A"/>
    <w:rsid w:val="00D83001"/>
    <w:rsid w:val="00DF67AD"/>
    <w:rsid w:val="00EE759C"/>
    <w:rsid w:val="00F13516"/>
    <w:rsid w:val="00F71B27"/>
    <w:rsid w:val="00FE21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596FA"/>
  <w15:chartTrackingRefBased/>
  <w15:docId w15:val="{F301B779-7AF4-45B2-953B-C13931E11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6A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1A6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31A6D"/>
    <w:rPr>
      <w:sz w:val="18"/>
      <w:szCs w:val="18"/>
    </w:rPr>
  </w:style>
  <w:style w:type="paragraph" w:styleId="a5">
    <w:name w:val="footer"/>
    <w:basedOn w:val="a"/>
    <w:link w:val="a6"/>
    <w:uiPriority w:val="99"/>
    <w:unhideWhenUsed/>
    <w:rsid w:val="00A31A6D"/>
    <w:pPr>
      <w:tabs>
        <w:tab w:val="center" w:pos="4153"/>
        <w:tab w:val="right" w:pos="8306"/>
      </w:tabs>
      <w:snapToGrid w:val="0"/>
      <w:jc w:val="left"/>
    </w:pPr>
    <w:rPr>
      <w:sz w:val="18"/>
      <w:szCs w:val="18"/>
    </w:rPr>
  </w:style>
  <w:style w:type="character" w:customStyle="1" w:styleId="a6">
    <w:name w:val="页脚 字符"/>
    <w:basedOn w:val="a0"/>
    <w:link w:val="a5"/>
    <w:uiPriority w:val="99"/>
    <w:rsid w:val="00A31A6D"/>
    <w:rPr>
      <w:sz w:val="18"/>
      <w:szCs w:val="18"/>
    </w:rPr>
  </w:style>
  <w:style w:type="table" w:styleId="a7">
    <w:name w:val="Table Grid"/>
    <w:basedOn w:val="a1"/>
    <w:uiPriority w:val="99"/>
    <w:qFormat/>
    <w:rsid w:val="009B5C8F"/>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B5C8F"/>
    <w:rPr>
      <w:sz w:val="18"/>
      <w:szCs w:val="18"/>
    </w:rPr>
  </w:style>
  <w:style w:type="character" w:customStyle="1" w:styleId="a9">
    <w:name w:val="批注框文本 字符"/>
    <w:basedOn w:val="a0"/>
    <w:link w:val="a8"/>
    <w:uiPriority w:val="99"/>
    <w:semiHidden/>
    <w:rsid w:val="009B5C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18582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24DD1C-A23D-4B62-99A8-EF17A0AE7F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20</Pages>
  <Words>8509</Words>
  <Characters>48504</Characters>
  <Application>Microsoft Office Word</Application>
  <DocSecurity>0</DocSecurity>
  <Lines>404</Lines>
  <Paragraphs>113</Paragraphs>
  <ScaleCrop>false</ScaleCrop>
  <Company/>
  <LinksUpToDate>false</LinksUpToDate>
  <CharactersWithSpaces>56900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xihuyy8</dc:creator>
  <cp:keywords/>
  <dc:description/>
  <cp:lastModifiedBy>xihuyy8</cp:lastModifiedBy>
  <cp:revision>22</cp:revision>
  <dcterms:created xsi:type="dcterms:W3CDTF">2020-06-27T11:29:00Z</dcterms:created>
  <dcterms:modified xsi:type="dcterms:W3CDTF">2020-07-19T06:23:00Z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http://www.zotero.org/styles/genome-medicine</vt:lpwstr>
  </property>
  <property fmtid="{D5CDD505-2E9C-101B-9397-08002B2CF9AE}" pid="9" name="Mendeley Recent Style Name 3_1">
    <vt:lpwstr>Genome Medicine</vt:lpwstr>
  </property>
  <property fmtid="{D5CDD505-2E9C-101B-9397-08002B2CF9AE}" pid="10" name="Mendeley Recent Style Id 4_1">
    <vt:lpwstr>http://www.zotero.org/styles/gut</vt:lpwstr>
  </property>
  <property fmtid="{D5CDD505-2E9C-101B-9397-08002B2CF9AE}" pid="11" name="Mendeley Recent Style Name 4_1">
    <vt:lpwstr>Gut</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http://www.zotero.org/styles/microbiome</vt:lpwstr>
  </property>
  <property fmtid="{D5CDD505-2E9C-101B-9397-08002B2CF9AE}" pid="15" name="Mendeley Recent Style Name 6_1">
    <vt:lpwstr>Microbiome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http://www.zotero.org/styles/oxford-university-press-scimed-numeric</vt:lpwstr>
  </property>
  <property fmtid="{D5CDD505-2E9C-101B-9397-08002B2CF9AE}" pid="21" name="Mendeley Recent Style Name 9_1">
    <vt:lpwstr>Oxford University Press SciMed (numeric)</vt:lpwstr>
  </property>
  <property fmtid="{D5CDD505-2E9C-101B-9397-08002B2CF9AE}" pid="22" name="Mendeley Document_1">
    <vt:lpwstr>True</vt:lpwstr>
  </property>
  <property fmtid="{D5CDD505-2E9C-101B-9397-08002B2CF9AE}" pid="23" name="Mendeley Unique User Id_1">
    <vt:lpwstr>00b223b3-f48f-39fc-a0ed-11412c30e9b3</vt:lpwstr>
  </property>
  <property fmtid="{D5CDD505-2E9C-101B-9397-08002B2CF9AE}" pid="24" name="Mendeley Citation Style_1">
    <vt:lpwstr>http://www.zotero.org/styles/microbiome</vt:lpwstr>
  </property>
</Properties>
</file>