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B5D33" w14:textId="77777777" w:rsidR="001F0DAF" w:rsidRPr="007202E9" w:rsidRDefault="001F0DAF" w:rsidP="001F0D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bidi="fa-IR"/>
        </w:rPr>
      </w:pPr>
      <w:r w:rsidRPr="007202E9">
        <w:rPr>
          <w:rFonts w:cstheme="minorHAnsi"/>
          <w:b/>
          <w:sz w:val="24"/>
          <w:szCs w:val="24"/>
          <w:lang w:bidi="fa-IR"/>
        </w:rPr>
        <w:t>Effect of process variable on production of thermoplastic vulcanizates based on SEBS/PP/LLDPE via reactive extrusion</w:t>
      </w:r>
    </w:p>
    <w:p w14:paraId="189338AF" w14:textId="77777777" w:rsidR="001F0DAF" w:rsidRPr="007202E9" w:rsidRDefault="001F0DAF" w:rsidP="001F0DA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12"/>
          <w:szCs w:val="12"/>
          <w:lang w:bidi="fa-IR"/>
        </w:rPr>
      </w:pPr>
    </w:p>
    <w:p w14:paraId="62F24C2B" w14:textId="1E4FA286" w:rsidR="001F0DAF" w:rsidRPr="007202E9" w:rsidRDefault="001F0DAF" w:rsidP="001F0DAF">
      <w:pPr>
        <w:spacing w:after="0" w:line="360" w:lineRule="auto"/>
        <w:jc w:val="both"/>
        <w:rPr>
          <w:rFonts w:eastAsia="Times New Roman" w:cstheme="minorHAnsi"/>
          <w:noProof/>
          <w:vertAlign w:val="superscript"/>
        </w:rPr>
      </w:pPr>
      <w:r w:rsidRPr="007202E9">
        <w:rPr>
          <w:rFonts w:eastAsia="Times New Roman" w:cstheme="minorHAnsi"/>
          <w:noProof/>
        </w:rPr>
        <w:t>Mehri Dana</w:t>
      </w:r>
      <w:r w:rsidRPr="007202E9">
        <w:rPr>
          <w:rFonts w:eastAsia="Times New Roman" w:cstheme="minorHAnsi"/>
          <w:noProof/>
          <w:vertAlign w:val="superscript"/>
        </w:rPr>
        <w:t>1,2</w:t>
      </w:r>
      <w:r w:rsidRPr="007202E9">
        <w:rPr>
          <w:rFonts w:eastAsia="Times New Roman" w:cstheme="minorHAnsi"/>
          <w:noProof/>
        </w:rPr>
        <w:t xml:space="preserve">, </w:t>
      </w:r>
      <w:bookmarkStart w:id="0" w:name="_Hlk146711665"/>
      <w:r w:rsidRPr="007202E9">
        <w:rPr>
          <w:rFonts w:eastAsia="Times New Roman" w:cstheme="minorHAnsi"/>
          <w:noProof/>
        </w:rPr>
        <w:t>Mohammad Reza Nabid</w:t>
      </w:r>
      <w:r w:rsidR="00CB0E61">
        <w:rPr>
          <w:rFonts w:eastAsia="Times New Roman" w:cstheme="minorHAnsi"/>
          <w:noProof/>
          <w:vertAlign w:val="superscript"/>
        </w:rPr>
        <w:t>1</w:t>
      </w:r>
      <w:r w:rsidRPr="007202E9">
        <w:rPr>
          <w:rFonts w:eastAsia="Times New Roman" w:cstheme="minorHAnsi"/>
          <w:noProof/>
          <w:vertAlign w:val="superscript"/>
        </w:rPr>
        <w:t>,</w:t>
      </w:r>
      <w:r w:rsidRPr="007202E9">
        <w:rPr>
          <w:rFonts w:eastAsia="Times New Roman" w:cstheme="minorHAnsi"/>
          <w:noProof/>
        </w:rPr>
        <w:t>*, Gholam Hossein Zohuri</w:t>
      </w:r>
      <w:r w:rsidRPr="007202E9">
        <w:rPr>
          <w:rFonts w:eastAsia="Times New Roman" w:cstheme="minorHAnsi"/>
          <w:noProof/>
          <w:vertAlign w:val="superscript"/>
        </w:rPr>
        <w:t>3,4,*</w:t>
      </w:r>
      <w:r w:rsidRPr="007202E9">
        <w:rPr>
          <w:rFonts w:eastAsia="Times New Roman" w:cstheme="minorHAnsi"/>
          <w:noProof/>
        </w:rPr>
        <w:t>, Saeid Asadi Shahidi</w:t>
      </w:r>
      <w:bookmarkEnd w:id="0"/>
      <w:r w:rsidR="00CB0E61">
        <w:rPr>
          <w:rFonts w:eastAsia="Times New Roman" w:cstheme="minorHAnsi"/>
          <w:noProof/>
          <w:vertAlign w:val="superscript"/>
        </w:rPr>
        <w:t>2</w:t>
      </w:r>
      <w:r w:rsidRPr="007202E9">
        <w:rPr>
          <w:rFonts w:eastAsia="Times New Roman" w:cstheme="minorHAnsi"/>
          <w:noProof/>
        </w:rPr>
        <w:t>, Sohail Yazdanbakhsh</w:t>
      </w:r>
      <w:r w:rsidR="00CB0E61">
        <w:rPr>
          <w:rFonts w:eastAsia="Times New Roman" w:cstheme="minorHAnsi"/>
          <w:noProof/>
          <w:vertAlign w:val="superscript"/>
        </w:rPr>
        <w:t>2</w:t>
      </w:r>
    </w:p>
    <w:p w14:paraId="0460E91D" w14:textId="77777777" w:rsidR="001F0DAF" w:rsidRPr="007202E9" w:rsidRDefault="001F0DAF" w:rsidP="001F0DAF">
      <w:pPr>
        <w:spacing w:after="0" w:line="360" w:lineRule="auto"/>
        <w:rPr>
          <w:rFonts w:eastAsia="Times New Roman" w:cstheme="minorHAnsi"/>
          <w:noProof/>
          <w:sz w:val="14"/>
          <w:szCs w:val="14"/>
          <w:lang w:bidi="fa-IR"/>
        </w:rPr>
      </w:pPr>
    </w:p>
    <w:p w14:paraId="14DBA8B2" w14:textId="77777777" w:rsidR="001F0DAF" w:rsidRPr="007202E9" w:rsidRDefault="001F0DAF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  <w:r w:rsidRPr="007202E9">
        <w:rPr>
          <w:rFonts w:eastAsia="Times New Roman" w:cstheme="minorHAnsi"/>
          <w:noProof/>
          <w:sz w:val="20"/>
          <w:szCs w:val="20"/>
          <w:vertAlign w:val="superscript"/>
        </w:rPr>
        <w:t>1</w:t>
      </w:r>
      <w:r w:rsidRPr="007202E9">
        <w:rPr>
          <w:rFonts w:eastAsia="Times New Roman" w:cstheme="minorHAnsi"/>
          <w:noProof/>
          <w:sz w:val="20"/>
          <w:szCs w:val="20"/>
        </w:rPr>
        <w:t>Department of Polymer &amp; Materials Chemistry, Faculty of Chemistry and Petroleum Science, Shahid Beheshti University, GC, 1983969411Tehran, Iran.</w:t>
      </w:r>
    </w:p>
    <w:p w14:paraId="49E3801E" w14:textId="77777777" w:rsidR="001F0DAF" w:rsidRPr="007202E9" w:rsidRDefault="001F0DAF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  <w:r w:rsidRPr="007202E9">
        <w:rPr>
          <w:rFonts w:eastAsia="Times New Roman" w:cstheme="minorHAnsi"/>
          <w:noProof/>
          <w:sz w:val="20"/>
          <w:szCs w:val="20"/>
          <w:vertAlign w:val="superscript"/>
        </w:rPr>
        <w:t>2</w:t>
      </w:r>
      <w:r w:rsidRPr="007202E9">
        <w:rPr>
          <w:rFonts w:eastAsia="Times New Roman" w:cstheme="minorHAnsi"/>
          <w:noProof/>
          <w:sz w:val="20"/>
          <w:szCs w:val="20"/>
        </w:rPr>
        <w:t>Department of Materials Engineering, Pouya Gostar Khorasan Co. of Part Lastic Group, Mashhad, Iran.</w:t>
      </w:r>
    </w:p>
    <w:p w14:paraId="37B6D55E" w14:textId="77777777" w:rsidR="001F0DAF" w:rsidRPr="007202E9" w:rsidRDefault="001F0DAF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  <w:r w:rsidRPr="007202E9">
        <w:rPr>
          <w:rFonts w:eastAsia="Times New Roman" w:cstheme="minorHAnsi"/>
          <w:noProof/>
          <w:sz w:val="20"/>
          <w:szCs w:val="20"/>
          <w:vertAlign w:val="superscript"/>
        </w:rPr>
        <w:t>3</w:t>
      </w:r>
      <w:r w:rsidRPr="007202E9">
        <w:rPr>
          <w:rFonts w:eastAsia="Times New Roman" w:cstheme="minorHAnsi"/>
          <w:noProof/>
          <w:sz w:val="20"/>
          <w:szCs w:val="20"/>
        </w:rPr>
        <w:t>Department of Chemistry, Faculty of Science, Ferdowsi University of Mashhad, Mashhad, Iran.</w:t>
      </w:r>
    </w:p>
    <w:p w14:paraId="7C244226" w14:textId="77777777" w:rsidR="001F0DAF" w:rsidRPr="007202E9" w:rsidRDefault="001F0DAF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  <w:r w:rsidRPr="007202E9">
        <w:rPr>
          <w:rFonts w:eastAsia="Times New Roman" w:cstheme="minorHAnsi"/>
          <w:noProof/>
          <w:sz w:val="20"/>
          <w:szCs w:val="20"/>
          <w:vertAlign w:val="superscript"/>
        </w:rPr>
        <w:t>4</w:t>
      </w:r>
      <w:r w:rsidRPr="007202E9">
        <w:rPr>
          <w:rFonts w:eastAsia="Times New Roman" w:cstheme="minorHAnsi"/>
          <w:noProof/>
          <w:sz w:val="20"/>
          <w:szCs w:val="20"/>
        </w:rPr>
        <w:t>Environmental Chemistry Research Centre, Department of Chemistry, Faculty of Science, Ferdowsi University of Mashhad, Mashhad, Iran.</w:t>
      </w:r>
    </w:p>
    <w:p w14:paraId="160AA531" w14:textId="46ADAD64" w:rsidR="001F0DAF" w:rsidRDefault="001F0DAF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  <w:r w:rsidRPr="007202E9">
        <w:rPr>
          <w:rFonts w:eastAsia="Times New Roman" w:cstheme="minorHAnsi"/>
          <w:noProof/>
          <w:sz w:val="20"/>
          <w:szCs w:val="20"/>
        </w:rPr>
        <w:t>Correspondence to:</w:t>
      </w:r>
      <w:r w:rsidRPr="007202E9">
        <w:rPr>
          <w:rFonts w:eastAsia="Calibri" w:cstheme="minorHAnsi"/>
          <w:sz w:val="20"/>
          <w:szCs w:val="20"/>
        </w:rPr>
        <w:t xml:space="preserve"> </w:t>
      </w:r>
      <w:r w:rsidRPr="007202E9">
        <w:rPr>
          <w:rFonts w:eastAsia="Times New Roman" w:cstheme="minorHAnsi"/>
          <w:noProof/>
          <w:sz w:val="20"/>
          <w:szCs w:val="20"/>
        </w:rPr>
        <w:t>Mohammad Reza Nabid (</w:t>
      </w:r>
      <w:hyperlink r:id="rId5" w:history="1">
        <w:r w:rsidRPr="007202E9">
          <w:rPr>
            <w:rStyle w:val="Hyperlink"/>
            <w:rFonts w:cstheme="minorHAnsi"/>
            <w:sz w:val="20"/>
            <w:szCs w:val="20"/>
          </w:rPr>
          <w:t>m-nabid@sbu.ac.ir</w:t>
        </w:r>
      </w:hyperlink>
      <w:r w:rsidRPr="007202E9">
        <w:rPr>
          <w:rFonts w:cstheme="minorHAnsi"/>
          <w:sz w:val="20"/>
          <w:szCs w:val="20"/>
        </w:rPr>
        <w:t xml:space="preserve"> </w:t>
      </w:r>
      <w:r w:rsidRPr="007202E9">
        <w:rPr>
          <w:rFonts w:eastAsia="Times New Roman" w:cstheme="minorHAnsi"/>
          <w:noProof/>
          <w:sz w:val="20"/>
          <w:szCs w:val="20"/>
        </w:rPr>
        <w:t>), Gholam Hossein Zohuri (</w:t>
      </w:r>
      <w:hyperlink r:id="rId6" w:history="1">
        <w:r w:rsidRPr="007202E9">
          <w:rPr>
            <w:rStyle w:val="Hyperlink"/>
            <w:rFonts w:eastAsia="Times New Roman" w:cstheme="minorHAnsi"/>
            <w:noProof/>
            <w:sz w:val="20"/>
            <w:szCs w:val="20"/>
          </w:rPr>
          <w:t>zohuri@um.ac.ir</w:t>
        </w:r>
      </w:hyperlink>
      <w:r w:rsidRPr="007202E9">
        <w:rPr>
          <w:rFonts w:eastAsia="Times New Roman" w:cstheme="minorHAnsi"/>
          <w:noProof/>
          <w:sz w:val="20"/>
          <w:szCs w:val="20"/>
        </w:rPr>
        <w:t xml:space="preserve"> )</w:t>
      </w:r>
    </w:p>
    <w:p w14:paraId="0FE1A295" w14:textId="77777777" w:rsidR="00310B69" w:rsidRDefault="00310B69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</w:p>
    <w:p w14:paraId="2C7A26E5" w14:textId="6532F282" w:rsidR="00310B69" w:rsidRDefault="00310B69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</w:p>
    <w:p w14:paraId="6E8E64D4" w14:textId="350DA2B4" w:rsidR="00310B69" w:rsidRPr="00310B69" w:rsidRDefault="00310B69" w:rsidP="00310B69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theme="minorHAnsi"/>
          <w:noProof/>
          <w:sz w:val="24"/>
          <w:szCs w:val="24"/>
        </w:rPr>
      </w:pPr>
      <w:r w:rsidRPr="00310B69">
        <w:rPr>
          <w:rFonts w:eastAsia="Times New Roman" w:cstheme="minorHAnsi"/>
          <w:noProof/>
          <w:sz w:val="24"/>
          <w:szCs w:val="24"/>
        </w:rPr>
        <w:t>A comprehensive experimental study was performed to identify the optimal process conditions for the production of the TPVs based on SEBS/PP/LLDPE.</w:t>
      </w:r>
    </w:p>
    <w:p w14:paraId="6727AC07" w14:textId="1EC85E9A" w:rsidR="00310B69" w:rsidRPr="00310B69" w:rsidRDefault="00310B69" w:rsidP="00310B69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theme="minorHAnsi"/>
          <w:noProof/>
          <w:sz w:val="24"/>
          <w:szCs w:val="24"/>
        </w:rPr>
      </w:pPr>
      <w:r w:rsidRPr="00310B69">
        <w:rPr>
          <w:rFonts w:eastAsia="Times New Roman" w:cstheme="minorHAnsi"/>
          <w:noProof/>
          <w:sz w:val="24"/>
          <w:szCs w:val="24"/>
        </w:rPr>
        <w:t>the properties of the prepared TPV via the two-step method are superior to the one-step method.</w:t>
      </w:r>
    </w:p>
    <w:p w14:paraId="07E20015" w14:textId="01EB02DF" w:rsidR="00310B69" w:rsidRPr="00310B69" w:rsidRDefault="00310B69" w:rsidP="00310B69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theme="minorHAnsi"/>
          <w:noProof/>
          <w:sz w:val="24"/>
          <w:szCs w:val="24"/>
        </w:rPr>
      </w:pPr>
      <w:r w:rsidRPr="00310B69">
        <w:rPr>
          <w:rFonts w:eastAsia="Times New Roman" w:cstheme="minorHAnsi"/>
          <w:noProof/>
          <w:sz w:val="24"/>
          <w:szCs w:val="24"/>
        </w:rPr>
        <w:t>the properties of the prepared TPV by the method B are superior to the method A.</w:t>
      </w:r>
    </w:p>
    <w:p w14:paraId="599B0EF9" w14:textId="7B92B81A" w:rsidR="00310B69" w:rsidRPr="00310B69" w:rsidRDefault="00310B69" w:rsidP="00310B69">
      <w:pPr>
        <w:pStyle w:val="ListParagraph"/>
        <w:numPr>
          <w:ilvl w:val="0"/>
          <w:numId w:val="1"/>
        </w:numPr>
        <w:rPr>
          <w:rFonts w:eastAsia="Times New Roman" w:cstheme="minorHAnsi"/>
          <w:noProof/>
          <w:sz w:val="24"/>
          <w:szCs w:val="24"/>
        </w:rPr>
      </w:pPr>
      <w:r w:rsidRPr="00310B69">
        <w:rPr>
          <w:rFonts w:eastAsia="Times New Roman" w:cstheme="minorHAnsi"/>
          <w:noProof/>
          <w:sz w:val="24"/>
          <w:szCs w:val="24"/>
        </w:rPr>
        <w:t>In investigating the effect of process temperature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Pr="00310B69">
        <w:rPr>
          <w:rFonts w:eastAsia="Times New Roman" w:cstheme="minorHAnsi"/>
          <w:noProof/>
          <w:sz w:val="24"/>
          <w:szCs w:val="24"/>
        </w:rPr>
        <w:t>(210-230 °C, 170-190 °C, 150-170 °C and 140-160 °C)</w:t>
      </w:r>
      <w:r>
        <w:rPr>
          <w:rFonts w:eastAsia="Times New Roman" w:cstheme="minorHAnsi"/>
          <w:noProof/>
          <w:sz w:val="24"/>
          <w:szCs w:val="24"/>
        </w:rPr>
        <w:t xml:space="preserve">, </w:t>
      </w:r>
      <w:r w:rsidRPr="00310B69">
        <w:rPr>
          <w:rFonts w:eastAsia="Times New Roman" w:cstheme="minorHAnsi"/>
          <w:noProof/>
          <w:sz w:val="24"/>
          <w:szCs w:val="24"/>
        </w:rPr>
        <w:t>According to the observed result of properties of the TPV and of its surface quality improvement in the temperature profile of 140-160 °C, this temperature was chosen as the optimal temperature profile.</w:t>
      </w:r>
    </w:p>
    <w:p w14:paraId="047B92CA" w14:textId="050AA6A8" w:rsidR="00310B69" w:rsidRPr="00310B69" w:rsidRDefault="00310B69" w:rsidP="00310B69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theme="minorHAnsi"/>
          <w:noProof/>
          <w:sz w:val="24"/>
          <w:szCs w:val="24"/>
        </w:rPr>
      </w:pPr>
      <w:r w:rsidRPr="00310B69">
        <w:rPr>
          <w:rFonts w:eastAsia="Times New Roman" w:cstheme="minorHAnsi"/>
          <w:noProof/>
          <w:sz w:val="24"/>
          <w:szCs w:val="24"/>
        </w:rPr>
        <w:t>Due to the increase in speeds of the twin screw extruder (from 180 to 250 rpm) in 140-160 °C, surface quality was suitable and smooth.</w:t>
      </w:r>
    </w:p>
    <w:p w14:paraId="04A83794" w14:textId="77777777" w:rsidR="00310B69" w:rsidRPr="007202E9" w:rsidRDefault="00310B69" w:rsidP="001F0DAF">
      <w:pPr>
        <w:spacing w:after="0" w:line="360" w:lineRule="auto"/>
        <w:rPr>
          <w:rFonts w:eastAsia="Times New Roman" w:cstheme="minorHAnsi"/>
          <w:noProof/>
          <w:sz w:val="20"/>
          <w:szCs w:val="20"/>
        </w:rPr>
      </w:pPr>
    </w:p>
    <w:p w14:paraId="4AACE6AF" w14:textId="562EF110" w:rsidR="0047285C" w:rsidRDefault="0047285C"/>
    <w:p w14:paraId="61E2C66E" w14:textId="77777777" w:rsidR="001F0DAF" w:rsidRDefault="001F0DAF"/>
    <w:sectPr w:rsidR="001F0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9192A"/>
    <w:multiLevelType w:val="hybridMultilevel"/>
    <w:tmpl w:val="0CC64F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AF"/>
    <w:rsid w:val="001F0DAF"/>
    <w:rsid w:val="00310B69"/>
    <w:rsid w:val="0047285C"/>
    <w:rsid w:val="00CB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74E43"/>
  <w15:chartTrackingRefBased/>
  <w15:docId w15:val="{A7CE7D2F-0E66-42B6-ADD6-72B584DC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D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0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huri@um.ac.ir" TargetMode="External"/><Relationship Id="rId5" Type="http://schemas.openxmlformats.org/officeDocument/2006/relationships/hyperlink" Target="mailto:m-nabid@sbu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مهري دانا</dc:creator>
  <cp:keywords/>
  <dc:description/>
  <cp:lastModifiedBy>مهري دانا</cp:lastModifiedBy>
  <cp:revision>11</cp:revision>
  <dcterms:created xsi:type="dcterms:W3CDTF">2024-02-27T08:01:00Z</dcterms:created>
  <dcterms:modified xsi:type="dcterms:W3CDTF">2024-02-27T08:15:00Z</dcterms:modified>
</cp:coreProperties>
</file>