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85190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Oral compound ossotide</w:t>
      </w:r>
      <w:bookmarkStart w:id="0" w:name="OLE_LINK16"/>
      <w:bookmarkStart w:id="1" w:name="OLE_LINK15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End w:id="0"/>
      <w:bookmarkEnd w:id="1"/>
      <w:r>
        <w:rPr>
          <w:rFonts w:ascii="Times New Roman" w:hAnsi="Times New Roman" w:cs="Times New Roman"/>
          <w:b/>
          <w:sz w:val="28"/>
          <w:szCs w:val="28"/>
        </w:rPr>
        <w:t>prevents bone destruction in retinoic acid-induced mice osteoporosis model</w:t>
      </w:r>
    </w:p>
    <w:p w14:paraId="1FECB5E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Jianheng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Ying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Mali Lin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Mengfan Sun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Chang Gao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Shiyin Wen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Feng Xu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, Jianshuang Guo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1, </w:t>
      </w:r>
      <w:r>
        <w:rPr>
          <w:rFonts w:ascii="Times New Roman" w:hAnsi="Times New Roman" w:cs="Times New Roman"/>
          <w:sz w:val="24"/>
          <w:szCs w:val="24"/>
        </w:rPr>
        <w:t>*, Guo-Qiang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</w:rPr>
        <w:t xml:space="preserve"> *</w:t>
      </w:r>
    </w:p>
    <w:p w14:paraId="4AFB3A66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Key Laboratory of Medicinal Chemistry and Molecular Diagnosis, Ministry of Education, College of Pharmaceutical Sciences, Hebei University, Baoding 071002, China</w:t>
      </w:r>
    </w:p>
    <w:p w14:paraId="6A8FFE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2. </w:t>
      </w:r>
      <w:r>
        <w:rPr>
          <w:rFonts w:ascii="Times New Roman" w:hAnsi="Times New Roman" w:cs="Times New Roman"/>
          <w:sz w:val="24"/>
          <w:szCs w:val="24"/>
        </w:rPr>
        <w:t>Hebei Zhitong biopharmaceutical Co., LTD, Baoding 071002, China</w:t>
      </w:r>
    </w:p>
    <w:p w14:paraId="0F89E190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C38C778">
      <w:pPr>
        <w:snapToGri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sz w:val="24"/>
          <w:szCs w:val="24"/>
        </w:rPr>
        <w:t>Corresponding authors.</w:t>
      </w:r>
    </w:p>
    <w:p w14:paraId="60E65B2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 addresses: </w:t>
      </w:r>
      <w:r>
        <w:rPr>
          <w:rStyle w:val="6"/>
          <w:rFonts w:ascii="Times New Roman" w:hAnsi="Times New Roman" w:cs="Times New Roman"/>
          <w:sz w:val="24"/>
          <w:szCs w:val="24"/>
        </w:rPr>
        <w:t>jshguo@hbu.edu.cn</w:t>
      </w:r>
      <w:r>
        <w:rPr>
          <w:rFonts w:ascii="Times New Roman" w:hAnsi="Times New Roman" w:cs="Times New Roman"/>
          <w:sz w:val="24"/>
          <w:szCs w:val="24"/>
        </w:rPr>
        <w:t xml:space="preserve"> (Jianshuang Guo), </w:t>
      </w:r>
      <w:r>
        <w:rPr>
          <w:rStyle w:val="6"/>
          <w:rFonts w:ascii="Times New Roman" w:hAnsi="Times New Roman" w:cs="Times New Roman"/>
          <w:sz w:val="24"/>
          <w:szCs w:val="24"/>
        </w:rPr>
        <w:t>gqzhang@hbu.edu.cn (Gu</w:t>
      </w:r>
      <w:r>
        <w:rPr>
          <w:rFonts w:ascii="Times New Roman" w:hAnsi="Times New Roman" w:cs="Times New Roman"/>
          <w:sz w:val="24"/>
          <w:szCs w:val="24"/>
        </w:rPr>
        <w:t>o-Qiang Zhang).</w:t>
      </w:r>
    </w:p>
    <w:p w14:paraId="208139BF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 w:type="page"/>
      </w:r>
    </w:p>
    <w:p w14:paraId="73199C34">
      <w:r>
        <w:drawing>
          <wp:inline distT="0" distB="0" distL="0" distR="0">
            <wp:extent cx="5274310" cy="2267585"/>
            <wp:effectExtent l="0" t="0" r="0" b="0"/>
            <wp:docPr id="4" name="图片 4" descr="D:\360MoveData\Users\guoqi\Desktop\Fig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360MoveData\Users\guoqi\Desktop\Figs1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7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A7568C"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Figure S1. Amino acid PITC derivative condition optimization. (A) Derivative time; (B) PITC volume. The PITC was dissolved in acetonitrile at 100 μM.</w:t>
      </w:r>
    </w:p>
    <w:p w14:paraId="64CB3AD7">
      <w:pPr>
        <w:jc w:val="center"/>
      </w:pPr>
      <w:r>
        <w:drawing>
          <wp:inline distT="0" distB="0" distL="0" distR="0">
            <wp:extent cx="2540635" cy="1944370"/>
            <wp:effectExtent l="0" t="0" r="0" b="0"/>
            <wp:docPr id="2" name="图片 2" descr="D:\360MoveData\Users\guoqi\Desktop\Fig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360MoveData\Users\guoqi\Desktop\Figs2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40635" cy="194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370969">
      <w:pPr>
        <w:rPr>
          <w:rFonts w:ascii="Calibri" w:hAnsi="Calibri" w:cs="Calibri"/>
        </w:rPr>
      </w:pPr>
      <w:r>
        <w:rPr>
          <w:rFonts w:ascii="Calibri" w:hAnsi="Calibri" w:cs="Calibri"/>
        </w:rPr>
        <w:t>Figure S2. Distribution of COT in isolated organs of mice after 10 h oral and intravenous administration.</w:t>
      </w:r>
    </w:p>
    <w:p w14:paraId="3BC1F4B0">
      <w:pPr>
        <w:jc w:val="center"/>
      </w:pPr>
    </w:p>
    <w:p w14:paraId="3A59D7D0">
      <w:pPr>
        <w:jc w:val="center"/>
      </w:pPr>
      <w:r>
        <w:drawing>
          <wp:inline distT="0" distB="0" distL="0" distR="0">
            <wp:extent cx="5274310" cy="4625340"/>
            <wp:effectExtent l="0" t="0" r="0" b="3810"/>
            <wp:docPr id="3" name="图片 3" descr="D:\360MoveData\Users\guoqi\Desktop\Fig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360MoveData\Users\guoqi\Desktop\Figs3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2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61EA6">
      <w:pPr>
        <w:rPr>
          <w:rFonts w:ascii="Calibri" w:hAnsi="Calibri" w:cs="Calibri"/>
        </w:rPr>
      </w:pPr>
      <w:r>
        <w:rPr>
          <w:rFonts w:ascii="Calibri" w:hAnsi="Calibri" w:cs="Calibri"/>
        </w:rPr>
        <w:t>Figure S3. Safety evaluation for COT. (A) Acute toxicity experiment within 48 h; (B) cumulative toxicity assessment for 7 days; (C) The long-term safety evaluation for 28 days and the body weights changes; (D) The liver and kidney indexes; (E) The AST, ALT and CRE levels in serum; (F) H&amp;E stain of liver and kidney.</w:t>
      </w:r>
    </w:p>
    <w:p w14:paraId="4581063C">
      <w:pPr>
        <w:jc w:val="center"/>
      </w:pPr>
    </w:p>
    <w:p w14:paraId="4A1B4CF1">
      <w:pPr>
        <w:bidi w:val="0"/>
        <w:jc w:val="left"/>
      </w:pPr>
    </w:p>
    <w:p w14:paraId="4ADDD4E9">
      <w:pPr>
        <w:bidi w:val="0"/>
        <w:jc w:val="left"/>
      </w:pPr>
    </w:p>
    <w:p w14:paraId="5E9A4B50">
      <w:pPr>
        <w:bidi w:val="0"/>
        <w:jc w:val="left"/>
      </w:pPr>
    </w:p>
    <w:p w14:paraId="60867438">
      <w:pPr>
        <w:bidi w:val="0"/>
        <w:jc w:val="left"/>
      </w:pPr>
    </w:p>
    <w:p w14:paraId="18324755">
      <w:pPr>
        <w:bidi w:val="0"/>
        <w:jc w:val="left"/>
      </w:pPr>
      <w:r>
        <w:drawing>
          <wp:inline distT="0" distB="0" distL="114300" distR="114300">
            <wp:extent cx="6134735" cy="4450080"/>
            <wp:effectExtent l="0" t="0" r="0" b="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34735" cy="445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C6D2C">
      <w:pPr>
        <w:bidi w:val="0"/>
        <w:jc w:val="left"/>
      </w:pPr>
    </w:p>
    <w:p w14:paraId="2E28C487">
      <w:pPr>
        <w:bidi w:val="0"/>
        <w:jc w:val="left"/>
      </w:pPr>
    </w:p>
    <w:p w14:paraId="190A01E9">
      <w:pPr>
        <w:bidi w:val="0"/>
        <w:jc w:val="left"/>
      </w:pPr>
    </w:p>
    <w:p w14:paraId="44EF1EC9">
      <w:pPr>
        <w:bidi w:val="0"/>
        <w:jc w:val="left"/>
      </w:pPr>
    </w:p>
    <w:p w14:paraId="232DDF64">
      <w:pPr>
        <w:bidi w:val="0"/>
        <w:jc w:val="left"/>
      </w:pPr>
    </w:p>
    <w:p w14:paraId="7469AA44">
      <w:pPr>
        <w:bidi w:val="0"/>
        <w:jc w:val="left"/>
        <w:rPr>
          <w:lang w:val="en-US" w:eastAsia="zh-CN"/>
        </w:rPr>
      </w:pPr>
      <w:bookmarkStart w:id="2" w:name="_GoBack"/>
      <w:r>
        <w:drawing>
          <wp:inline distT="0" distB="0" distL="114300" distR="114300">
            <wp:extent cx="6606540" cy="4732020"/>
            <wp:effectExtent l="0" t="0" r="7620" b="7620"/>
            <wp:docPr id="1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06540" cy="473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3F188B"/>
    <w:multiLevelType w:val="singleLevel"/>
    <w:tmpl w:val="1E3F188B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VmZjdiNjk1MjAwOGEyMWJkYjNhYWI4NzY1NWFjZjkifQ=="/>
  </w:docVars>
  <w:rsids>
    <w:rsidRoot w:val="004149F2"/>
    <w:rsid w:val="001F261D"/>
    <w:rsid w:val="002264A2"/>
    <w:rsid w:val="002D65BD"/>
    <w:rsid w:val="00325FF8"/>
    <w:rsid w:val="003579F1"/>
    <w:rsid w:val="003B650F"/>
    <w:rsid w:val="004149F2"/>
    <w:rsid w:val="00594AC4"/>
    <w:rsid w:val="00664D9E"/>
    <w:rsid w:val="009C51DC"/>
    <w:rsid w:val="00A97AA9"/>
    <w:rsid w:val="00AF0944"/>
    <w:rsid w:val="00B11C52"/>
    <w:rsid w:val="00BD72DD"/>
    <w:rsid w:val="00E26079"/>
    <w:rsid w:val="00E72639"/>
    <w:rsid w:val="00FB364C"/>
    <w:rsid w:val="1E314A40"/>
    <w:rsid w:val="20E36C01"/>
    <w:rsid w:val="5C731EAE"/>
    <w:rsid w:val="66A26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166</Words>
  <Characters>976</Characters>
  <Lines>8</Lines>
  <Paragraphs>2</Paragraphs>
  <TotalTime>0</TotalTime>
  <ScaleCrop>false</ScaleCrop>
  <LinksUpToDate>false</LinksUpToDate>
  <CharactersWithSpaces>1133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2024-03-06T08:50:00Z</dcterms:created>
  <dc:creator>guoqi</dc:creator>
  <cp:lastModifiedBy>YING</cp:lastModifiedBy>
  <dcterms:modified xsi:type="dcterms:W3CDTF">2024-06-25T01:26:14Z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AC068DB64B53478D9418EFC45674708B_13</vt:lpwstr>
  </property>
</Properties>
</file>